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智能仪器仪表行业相关公司设立可行性研究报告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(七)、智能仪器仪表项目建设必要性分析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三、智能仪器仪表筹建公司基本信息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(一)、智能仪器仪表项目选址原则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(五)、智能仪器仪表项目选址综合评价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(一)、智能仪器仪表项目背景分析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(二)、智能仪器仪表项目建设必要性分析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(五)、智能仪器仪表项目总投资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九、智能仪器仪表项目风险分析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(一)、智能仪器仪表项目风险分析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(二)、智能仪器仪表项目风险对策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_Toc25843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9" w:history="1">
        <w:r>
          <w:rPr>
            <w:rFonts w:ascii="仿宋" w:eastAsia="仿宋" w:hAnsi="仿宋" w:cs="仿宋" w:hint="eastAsia"/>
            <w:lang w:eastAsia="zh-CN"/>
          </w:rPr>
          <w:t>(二)、合作智能仪器仪表项目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2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https://d.book118.com/445010210331011043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01021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2024-01-03T21:48:00Z</dcterms:created>
  <dcterms:modified xsi:type="dcterms:W3CDTF">2024-01-03T21:48:51Z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C6467341FC894C618D40666306F655CA_11</vt:lpwstr>
  </property>
  <property fmtid="{D5CDD505-2E9C-101B-9397-08002B2CF9AE}" pid="3" name="KSOProductBuildVer">
    <vt:lpwstr>2052-12.1.0.16120</vt:lpwstr>
  </property>
</Properties>
</file>