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2024年腕部防护用品行业分析报告及未来五到十年行业发展趋势报告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3270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腕部防护用品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_Toc23270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3982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腕部防护用品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_Toc13982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89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_Toc11789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16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_Toc12016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74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腕部防护用品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_Toc8674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94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腕部防护用品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_Toc9894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86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腕部防护用品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_Toc1086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7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腕部防护用品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_Toc22970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0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腕部防护用品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_Toc14504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69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腕部防护用品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_Toc16169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33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腕部防护用品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_Toc15733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061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腕部防护用品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_Toc23061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4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腕部防护用品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_Toc5847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3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腕部防护用品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_Toc23835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82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腕部防护用品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_Toc14182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29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腕部防护用品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_Toc31029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06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腕部防护用品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_Toc31206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590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腕部防护用品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_Toc15590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7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腕部防护用品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_Toc7774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37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腕部防护用品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_Toc19837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6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腕部防护用品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_Toc3256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25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_Toc21425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52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腕部防护用品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_Toc29052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32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_Toc32232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632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腕部防护用品</w:t>
        </w:r>
        <w:r>
          <w:rPr>
            <w:rFonts w:eastAsia="微软雅黑" w:hint="eastAsia"/>
            <w:snapToGrid/>
            <w:lang w:val="en-US" w:eastAsia="en-US"/>
          </w:rPr>
          <w:t>产业发展战略分析</w:t>
        </w:r>
        <w:r>
          <w:tab/>
        </w:r>
        <w:r>
          <w:fldChar w:fldCharType="begin"/>
        </w:r>
        <w:r>
          <w:instrText xml:space="preserve"> PAGEREF _Toc11632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38" w:history="1">
        <w:r>
          <w:rPr>
            <w:rFonts w:eastAsia="微软雅黑" w:hint="eastAsia"/>
            <w:snapToGrid/>
            <w:lang w:val="en-US" w:eastAsia="en-US"/>
          </w:rPr>
          <w:t>(一)、树立</w:t>
        </w:r>
        <w:r>
          <w:rPr>
            <w:rFonts w:eastAsia="微软雅黑" w:hint="eastAsia"/>
            <w:snapToGrid/>
            <w:lang w:val="en-US" w:eastAsia="en-US"/>
          </w:rPr>
          <w:t>腕部防护用品</w:t>
        </w:r>
        <w:r>
          <w:rPr>
            <w:rFonts w:eastAsia="微软雅黑" w:hint="eastAsia"/>
            <w:snapToGrid/>
            <w:lang w:val="en-US" w:eastAsia="en-US"/>
          </w:rPr>
          <w:t>行业“战略突围”理念</w:t>
        </w:r>
        <w:r>
          <w:tab/>
        </w:r>
        <w:r>
          <w:fldChar w:fldCharType="begin"/>
        </w:r>
        <w:r>
          <w:instrText xml:space="preserve"> PAGEREF _Toc19938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17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腕部防护用品</w:t>
        </w:r>
        <w:r>
          <w:rPr>
            <w:rFonts w:eastAsia="微软雅黑" w:hint="eastAsia"/>
            <w:snapToGrid/>
            <w:lang w:val="en-US" w:eastAsia="zh-CN"/>
          </w:rPr>
          <w:t>行业市场定位，产品定位和品牌定位</w:t>
        </w:r>
        <w:r>
          <w:tab/>
        </w:r>
        <w:r>
          <w:fldChar w:fldCharType="begin"/>
        </w:r>
        <w:r>
          <w:instrText xml:space="preserve"> PAGEREF _Toc5917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671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_Toc21671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798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_Toc17798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241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_Toc22241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528" w:history="1">
        <w:r>
          <w:rPr>
            <w:rFonts w:eastAsia="微软雅黑" w:hint="eastAsia"/>
            <w:snapToGrid/>
            <w:lang w:val="en-US" w:eastAsia="zh-CN"/>
          </w:rPr>
          <w:t>(三)、创新力求突破</w:t>
        </w:r>
        <w:r>
          <w:tab/>
        </w:r>
        <w:r>
          <w:fldChar w:fldCharType="begin"/>
        </w:r>
        <w:r>
          <w:instrText xml:space="preserve"> PAGEREF _Toc5528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868" w:history="1">
        <w:r>
          <w:rPr>
            <w:rFonts w:eastAsia="微软雅黑" w:hint="eastAsia"/>
            <w:snapToGrid/>
            <w:lang w:val="en-US" w:eastAsia="zh-CN"/>
          </w:rPr>
          <w:t>1、基于消费升级的技术创新模型</w:t>
        </w:r>
        <w:r>
          <w:tab/>
        </w:r>
        <w:r>
          <w:fldChar w:fldCharType="begin"/>
        </w:r>
        <w:r>
          <w:instrText xml:space="preserve"> PAGEREF _Toc25868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651" w:history="1">
        <w:r>
          <w:rPr>
            <w:rFonts w:eastAsia="微软雅黑" w:hint="eastAsia"/>
            <w:snapToGrid/>
            <w:lang w:val="en-US" w:eastAsia="zh-CN"/>
          </w:rPr>
          <w:t>2、创新促进行业更高品质的发展</w:t>
        </w:r>
        <w:r>
          <w:tab/>
        </w:r>
        <w:r>
          <w:fldChar w:fldCharType="begin"/>
        </w:r>
        <w:r>
          <w:instrText xml:space="preserve"> PAGEREF _Toc26651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615" w:history="1">
        <w:r>
          <w:rPr>
            <w:rFonts w:eastAsia="微软雅黑" w:hint="eastAsia"/>
            <w:snapToGrid/>
            <w:lang w:val="en-US" w:eastAsia="zh-CN"/>
          </w:rPr>
          <w:t>3、尝试格式创新和品牌创新</w:t>
        </w:r>
        <w:r>
          <w:tab/>
        </w:r>
        <w:r>
          <w:fldChar w:fldCharType="begin"/>
        </w:r>
        <w:r>
          <w:instrText xml:space="preserve"> PAGEREF _Toc3615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7452" w:history="1">
        <w:r>
          <w:rPr>
            <w:rFonts w:eastAsia="微软雅黑" w:hint="eastAsia"/>
            <w:snapToGrid/>
            <w:lang w:val="en-US" w:eastAsia="zh-CN"/>
          </w:rPr>
          <w:t>4、自主创新打响品牌</w:t>
        </w:r>
        <w:r>
          <w:tab/>
        </w:r>
        <w:r>
          <w:fldChar w:fldCharType="begin"/>
        </w:r>
        <w:r>
          <w:instrText xml:space="preserve"> PAGEREF _Toc17452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98" w:history="1">
        <w:r>
          <w:rPr>
            <w:rFonts w:eastAsia="微软雅黑" w:hint="eastAsia"/>
            <w:snapToGrid/>
            <w:lang w:val="en-US" w:eastAsia="zh-CN"/>
          </w:rPr>
          <w:t>(四)、制定宣传方案</w:t>
        </w:r>
        <w:r>
          <w:tab/>
        </w:r>
        <w:r>
          <w:fldChar w:fldCharType="begin"/>
        </w:r>
        <w:r>
          <w:instrText xml:space="preserve"> PAGEREF _Toc18598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889" w:history="1">
        <w:r>
          <w:rPr>
            <w:rFonts w:eastAsia="微软雅黑" w:hint="eastAsia"/>
            <w:snapToGrid/>
            <w:lang w:val="en-US" w:eastAsia="zh-CN"/>
          </w:rPr>
          <w:t>1、学会制造事件行销</w:t>
        </w:r>
        <w:r>
          <w:tab/>
        </w:r>
        <w:r>
          <w:fldChar w:fldCharType="begin"/>
        </w:r>
        <w:r>
          <w:instrText xml:space="preserve"> PAGEREF _Toc10889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800" w:history="1">
        <w:r>
          <w:rPr>
            <w:rFonts w:eastAsia="微软雅黑" w:hint="eastAsia"/>
            <w:snapToGrid/>
            <w:lang w:val="en-US" w:eastAsia="zh-CN"/>
          </w:rPr>
          <w:t>2、学习通过出色的品牌视觉设计突出品牌特征</w:t>
        </w:r>
        <w:r>
          <w:tab/>
        </w:r>
        <w:r>
          <w:fldChar w:fldCharType="begin"/>
        </w:r>
        <w:r>
          <w:instrText xml:space="preserve"> PAGEREF _Toc19800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02" w:history="1">
        <w:r>
          <w:rPr>
            <w:rFonts w:eastAsia="微软雅黑" w:hint="eastAsia"/>
            <w:snapToGrid/>
            <w:lang w:val="en-US" w:eastAsia="zh-CN"/>
          </w:rPr>
          <w:t>3、学会利用互联网营销</w:t>
        </w:r>
        <w:r>
          <w:tab/>
        </w:r>
        <w:r>
          <w:fldChar w:fldCharType="begin"/>
        </w:r>
        <w:r>
          <w:instrText xml:space="preserve"> PAGEREF _Toc2102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254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腕部防护用品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_Toc14254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5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腕部防护用品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_Toc27455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3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腕部防护用品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_Toc9237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5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腕部防护用品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_Toc29351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1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腕部防护用品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_Toc161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36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腕部防护用品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_Toc31436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8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腕部防护用品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_Toc11380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1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腕部防护用品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_Toc20918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007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_Toc9007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353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_Toc23353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467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_Toc7467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70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_Toc2770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92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腕部防护用品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_Toc4692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0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腕部防护用品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_Toc2460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63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腕部防护用品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_Toc15563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699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腕部防护用品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_Toc20699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29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_Toc25029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4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_Toc1514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22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_Toc6722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05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_Toc2705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29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_Toc25229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41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_Toc3341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40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_Toc11940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077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_Toc32077 \</w:instrText>
        </w:r>
        <w:r>
          <w:instrText xml:space="preserve">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32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_Toc29432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46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_Toc14646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99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_Toc19499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79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_Toc4079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6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_Toc1456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861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腕部防护用品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_Toc31861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80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腕部防护用品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_Toc32380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https://d.book118.com/445021041342011033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45021041342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