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jc w:val="center"/>
        <w:rPr>
          <w:rFonts w:eastAsiaTheme="minorEastAsia" w:hint="eastAsia"/>
          <w:b/>
          <w:bCs/>
          <w:sz w:val="40"/>
          <w:szCs w:val="40"/>
          <w:bdr w:val="none" w:sz="0" w:space="0" w:color="auto"/>
        </w:rPr>
      </w:pPr>
      <w:bookmarkStart w:id="0" w:name="_GoBack"/>
      <w:r>
        <w:rPr>
          <w:rFonts w:hint="eastAsia"/>
          <w:b/>
          <w:bCs/>
          <w:sz w:val="40"/>
          <w:szCs w:val="40"/>
          <w:bdr w:val="none" w:sz="0" w:space="0" w:color="auto"/>
          <w:lang w:val="en-US" w:eastAsia="zh-CN"/>
        </w:rPr>
        <w:t>2024年高考政治必修一必修二</w:t>
      </w:r>
      <w:r>
        <w:rPr>
          <w:b/>
          <w:bCs/>
          <w:sz w:val="40"/>
          <w:szCs w:val="40"/>
          <w:bdr w:val="none" w:sz="0" w:space="0" w:color="auto"/>
        </w:rPr>
        <w:t>周练试题</w:t>
      </w:r>
      <w:r>
        <w:rPr>
          <w:rFonts w:hint="eastAsia"/>
          <w:b/>
          <w:bCs/>
          <w:sz w:val="40"/>
          <w:szCs w:val="40"/>
          <w:bdr w:val="none" w:sz="0" w:space="0" w:color="auto"/>
          <w:lang w:eastAsia="zh-CN"/>
        </w:rPr>
        <w:t>及参考答案</w:t>
      </w:r>
    </w:p>
    <w:bookmarkEnd w:id="0"/>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rPr>
          <w:sz w:val="28"/>
          <w:szCs w:val="28"/>
        </w:rPr>
      </w:pPr>
      <w:r>
        <w:rPr>
          <w:rStyle w:val="Strong"/>
          <w:rFonts w:ascii="宋体" w:eastAsia="宋体" w:hAnsi="宋体" w:cs="宋体" w:hint="eastAsia"/>
          <w:color w:val="000000"/>
          <w:sz w:val="28"/>
          <w:szCs w:val="28"/>
          <w:bdr w:val="none" w:sz="0" w:space="0" w:color="auto"/>
        </w:rPr>
        <w:t>一、单项选择题（每题3分）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w:t>
      </w:r>
      <w:r>
        <w:rPr>
          <w:rFonts w:ascii="宋体" w:eastAsia="宋体" w:hAnsi="宋体" w:cs="宋体" w:hint="eastAsia"/>
          <w:sz w:val="28"/>
          <w:szCs w:val="28"/>
          <w:bdr w:val="none" w:sz="0" w:space="0" w:color="auto"/>
          <w:shd w:val="clear" w:color="auto" w:fill="FFFFFF"/>
        </w:rPr>
        <w:t>．国企改革三年行动启动以来，</w:t>
      </w:r>
      <w:r>
        <w:rPr>
          <w:rFonts w:ascii="Times New Roman" w:hAnsi="Times New Roman" w:cs="Times New Roman" w:hint="default"/>
          <w:sz w:val="28"/>
          <w:szCs w:val="28"/>
          <w:bdr w:val="none" w:sz="0" w:space="0" w:color="auto"/>
          <w:shd w:val="clear" w:color="auto" w:fill="FFFFFF"/>
        </w:rPr>
        <w:t>S</w:t>
      </w:r>
      <w:r>
        <w:rPr>
          <w:rFonts w:ascii="宋体" w:eastAsia="宋体" w:hAnsi="宋体" w:cs="宋体" w:hint="eastAsia"/>
          <w:sz w:val="28"/>
          <w:szCs w:val="28"/>
          <w:bdr w:val="none" w:sz="0" w:space="0" w:color="auto"/>
          <w:shd w:val="clear" w:color="auto" w:fill="FFFFFF"/>
        </w:rPr>
        <w:t>省国有企业通过强化抓重点、补短板、强弱项，</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年上半年实现营业总收入</w:t>
      </w:r>
      <w:r>
        <w:rPr>
          <w:rFonts w:ascii="Times New Roman" w:hAnsi="Times New Roman" w:cs="Times New Roman" w:hint="default"/>
          <w:sz w:val="28"/>
          <w:szCs w:val="28"/>
          <w:bdr w:val="none" w:sz="0" w:space="0" w:color="auto"/>
          <w:shd w:val="clear" w:color="auto" w:fill="FFFFFF"/>
        </w:rPr>
        <w:t>35.89</w:t>
      </w:r>
      <w:r>
        <w:rPr>
          <w:rFonts w:ascii="宋体" w:eastAsia="宋体" w:hAnsi="宋体" w:cs="宋体" w:hint="eastAsia"/>
          <w:sz w:val="28"/>
          <w:szCs w:val="28"/>
          <w:bdr w:val="none" w:sz="0" w:space="0" w:color="auto"/>
          <w:shd w:val="clear" w:color="auto" w:fill="FFFFFF"/>
        </w:rPr>
        <w:t>万亿元，增幅明显；通过引入超过</w:t>
      </w:r>
      <w:r>
        <w:rPr>
          <w:rFonts w:ascii="Times New Roman" w:hAnsi="Times New Roman" w:cs="Times New Roman" w:hint="default"/>
          <w:sz w:val="28"/>
          <w:szCs w:val="28"/>
          <w:bdr w:val="none" w:sz="0" w:space="0" w:color="auto"/>
          <w:shd w:val="clear" w:color="auto" w:fill="FFFFFF"/>
        </w:rPr>
        <w:t>2.5</w:t>
      </w:r>
      <w:r>
        <w:rPr>
          <w:rFonts w:ascii="宋体" w:eastAsia="宋体" w:hAnsi="宋体" w:cs="宋体" w:hint="eastAsia"/>
          <w:sz w:val="28"/>
          <w:szCs w:val="28"/>
          <w:bdr w:val="none" w:sz="0" w:space="0" w:color="auto"/>
          <w:shd w:val="clear" w:color="auto" w:fill="FFFFFF"/>
        </w:rPr>
        <w:t>亿元的各类社会资本，涌现了一批公司治理优、创新能力强、活力效率高的优秀企业。该省做法取得成功的经验在于（</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通过提高国有资本所占比重，放大国有资本的功能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通过布局优化、结构调整，促进国有资本保值增值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以增强国有企业活力为标准，切实提高国有资本效率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推动各种所有制资本取长补短、相互促进、共同发展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pgSz w:w="11906" w:h="16838"/>
          <w:pgMar w:top="1440" w:right="1800" w:bottom="1440" w:left="1800" w:header="851" w:footer="992" w:gutter="0"/>
          <w:cols w:num="1" w:space="425"/>
          <w:docGrid w:type="lines" w:linePitch="312" w:charSpace="0"/>
        </w:sectPr>
      </w:pPr>
      <w:r>
        <w:rPr>
          <w:rFonts w:ascii="Times New Roman" w:hAnsi="Times New Roman" w:cs="Times New Roman" w:hint="default"/>
          <w:sz w:val="28"/>
          <w:szCs w:val="28"/>
          <w:bdr w:val="none" w:sz="0" w:space="0" w:color="auto"/>
          <w:shd w:val="clear" w:color="auto" w:fill="FFFFFF"/>
        </w:rPr>
        <w:t>2</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7</w:t>
      </w:r>
      <w:r>
        <w:rPr>
          <w:rFonts w:ascii="宋体" w:eastAsia="宋体" w:hAnsi="宋体" w:cs="宋体" w:hint="eastAsia"/>
          <w:sz w:val="28"/>
          <w:szCs w:val="28"/>
          <w:bdr w:val="none" w:sz="0" w:space="0" w:color="auto"/>
          <w:shd w:val="clear" w:color="auto" w:fill="FFFFFF"/>
        </w:rPr>
        <w:t>月</w:t>
      </w:r>
      <w:r>
        <w:rPr>
          <w:rFonts w:ascii="Times New Roman" w:hAnsi="Times New Roman" w:cs="Times New Roman" w:hint="default"/>
          <w:sz w:val="28"/>
          <w:szCs w:val="28"/>
          <w:bdr w:val="none" w:sz="0" w:space="0" w:color="auto"/>
          <w:shd w:val="clear" w:color="auto" w:fill="FFFFFF"/>
        </w:rPr>
        <w:t>18 </w:t>
      </w:r>
      <w:r>
        <w:rPr>
          <w:rFonts w:ascii="宋体" w:eastAsia="宋体" w:hAnsi="宋体" w:cs="宋体" w:hint="eastAsia"/>
          <w:sz w:val="28"/>
          <w:szCs w:val="28"/>
          <w:bdr w:val="none" w:sz="0" w:space="0" w:color="auto"/>
          <w:shd w:val="clear" w:color="auto" w:fill="FFFFFF"/>
        </w:rPr>
        <w:t>日 </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全国国有企业改革深化提升行动动员部署电视电话会议在北京召开，这标志着新一轮国企改革深化提升行动正式启动。本次动员部署会议突出国企改革要围绕国之所需、服务国家战略，要有更高站位。要有更高站位是基于国有企业（</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是社会主义经济制度的基础</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是社会主义初级阶段经济制度的根本特征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是我们党执政兴国的重要支柱和依靠力量</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是中国特色社会主义的重要物质基础和政治基础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3</w:t>
      </w:r>
      <w:r>
        <w:rPr>
          <w:rFonts w:ascii="宋体" w:eastAsia="宋体" w:hAnsi="宋体" w:cs="宋体" w:hint="eastAsia"/>
          <w:sz w:val="28"/>
          <w:szCs w:val="28"/>
          <w:bdr w:val="none" w:sz="0" w:space="0" w:color="auto"/>
          <w:shd w:val="clear" w:color="auto" w:fill="FFFFFF"/>
        </w:rPr>
        <w:t>．下表是某地区各种所有制企业数量情况。</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1461"/>
        <w:gridCol w:w="1729"/>
        <w:gridCol w:w="1729"/>
        <w:gridCol w:w="2440"/>
        <w:gridCol w:w="2796"/>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single" w:sz="8" w:space="0" w:color="000000"/>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年份</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国有企业</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集体企业</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非公有制企业</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混合所有制企业</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2013</w:t>
            </w:r>
            <w:r>
              <w:rPr>
                <w:rFonts w:ascii="宋体" w:eastAsia="宋体" w:hAnsi="宋体" w:cs="宋体" w:hint="eastAsia"/>
                <w:sz w:val="28"/>
                <w:szCs w:val="28"/>
                <w:bdr w:val="none" w:sz="0" w:space="0" w:color="auto"/>
                <w:shd w:val="clear" w:color="auto" w:fill="FFFFFF"/>
              </w:rPr>
              <w:t>年</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35</w:t>
            </w:r>
            <w:r>
              <w:rPr>
                <w:rFonts w:ascii="宋体" w:eastAsia="宋体" w:hAnsi="宋体" w:cs="宋体" w:hint="eastAsia"/>
                <w:sz w:val="28"/>
                <w:szCs w:val="28"/>
                <w:bdr w:val="none" w:sz="0" w:space="0" w:color="auto"/>
                <w:shd w:val="clear" w:color="auto" w:fill="FFFFFF"/>
              </w:rPr>
              <w:t>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22</w:t>
            </w:r>
            <w:r>
              <w:rPr>
                <w:rFonts w:ascii="宋体" w:eastAsia="宋体" w:hAnsi="宋体" w:cs="宋体" w:hint="eastAsia"/>
                <w:sz w:val="28"/>
                <w:szCs w:val="28"/>
                <w:bdr w:val="none" w:sz="0" w:space="0" w:color="auto"/>
                <w:shd w:val="clear" w:color="auto" w:fill="FFFFFF"/>
              </w:rPr>
              <w:t>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18</w:t>
            </w:r>
            <w:r>
              <w:rPr>
                <w:rFonts w:ascii="宋体" w:eastAsia="宋体" w:hAnsi="宋体" w:cs="宋体" w:hint="eastAsia"/>
                <w:sz w:val="28"/>
                <w:szCs w:val="28"/>
                <w:bdr w:val="none" w:sz="0" w:space="0" w:color="auto"/>
                <w:shd w:val="clear" w:color="auto" w:fill="FFFFFF"/>
              </w:rPr>
              <w:t>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5</w:t>
            </w:r>
            <w:r>
              <w:rPr>
                <w:rFonts w:ascii="宋体" w:eastAsia="宋体" w:hAnsi="宋体" w:cs="宋体" w:hint="eastAsia"/>
                <w:sz w:val="28"/>
                <w:szCs w:val="28"/>
                <w:bdr w:val="none" w:sz="0" w:space="0" w:color="auto"/>
                <w:shd w:val="clear" w:color="auto" w:fill="FFFFFF"/>
              </w:rPr>
              <w:t>家</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5</w:t>
            </w:r>
            <w:r>
              <w:rPr>
                <w:rFonts w:ascii="宋体" w:eastAsia="宋体" w:hAnsi="宋体" w:cs="宋体" w:hint="eastAsia"/>
                <w:sz w:val="28"/>
                <w:szCs w:val="28"/>
                <w:bdr w:val="none" w:sz="0" w:space="0" w:color="auto"/>
                <w:shd w:val="clear" w:color="auto" w:fill="FFFFFF"/>
              </w:rPr>
              <w:t>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8</w:t>
            </w:r>
            <w:r>
              <w:rPr>
                <w:rFonts w:ascii="宋体" w:eastAsia="宋体" w:hAnsi="宋体" w:cs="宋体" w:hint="eastAsia"/>
                <w:sz w:val="28"/>
                <w:szCs w:val="28"/>
                <w:bdr w:val="none" w:sz="0" w:space="0" w:color="auto"/>
                <w:shd w:val="clear" w:color="auto" w:fill="FFFFFF"/>
              </w:rPr>
              <w:t>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42</w:t>
            </w:r>
            <w:r>
              <w:rPr>
                <w:rFonts w:ascii="宋体" w:eastAsia="宋体" w:hAnsi="宋体" w:cs="宋体" w:hint="eastAsia"/>
                <w:sz w:val="28"/>
                <w:szCs w:val="28"/>
                <w:bdr w:val="none" w:sz="0" w:space="0" w:color="auto"/>
                <w:shd w:val="clear" w:color="auto" w:fill="FFFFFF"/>
              </w:rPr>
              <w:t>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60</w:t>
            </w:r>
            <w:r>
              <w:rPr>
                <w:rFonts w:ascii="宋体" w:eastAsia="宋体" w:hAnsi="宋体" w:cs="宋体" w:hint="eastAsia"/>
                <w:sz w:val="28"/>
                <w:szCs w:val="28"/>
                <w:bdr w:val="none" w:sz="0" w:space="0" w:color="auto"/>
                <w:shd w:val="clear" w:color="auto" w:fill="FFFFFF"/>
              </w:rPr>
              <w:t>家</w:t>
            </w:r>
          </w:p>
        </w:tc>
      </w:tr>
    </w:tbl>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宋体" w:eastAsia="宋体" w:hAnsi="宋体" w:cs="宋体" w:hint="eastAsia"/>
          <w:sz w:val="28"/>
          <w:szCs w:val="28"/>
          <w:bdr w:val="none" w:sz="0" w:space="0" w:color="auto"/>
          <w:shd w:val="clear" w:color="auto" w:fill="FFFFFF"/>
        </w:rPr>
        <w:t>注：表中所减少的国有企业和集体企业大多与非公有制资本以股份制的形式组成混合所有制企业。</w:t>
      </w:r>
      <w:r>
        <w:rPr>
          <w:rFonts w:ascii="Times New Roman" w:hAnsi="Times New Roman" w:cs="Times New Roman" w:hint="default"/>
          <w:sz w:val="28"/>
          <w:szCs w:val="28"/>
          <w:bdr w:val="none" w:sz="0" w:space="0" w:color="auto"/>
          <w:shd w:val="clear" w:color="auto" w:fill="FFFFFF"/>
        </w:rPr>
        <w:t>10</w:t>
      </w:r>
      <w:r>
        <w:rPr>
          <w:rFonts w:ascii="宋体" w:eastAsia="宋体" w:hAnsi="宋体" w:cs="宋体" w:hint="eastAsia"/>
          <w:sz w:val="28"/>
          <w:szCs w:val="28"/>
          <w:bdr w:val="none" w:sz="0" w:space="0" w:color="auto"/>
          <w:shd w:val="clear" w:color="auto" w:fill="FFFFFF"/>
        </w:rPr>
        <w:t>年来该地区经济总量翻了两番，其中非公有制企业和混合所有制企业所创造的产值占该地区生产总值的</w:t>
      </w:r>
      <w:r>
        <w:rPr>
          <w:rFonts w:ascii="Times New Roman" w:hAnsi="Times New Roman" w:cs="Times New Roman" w:hint="default"/>
          <w:sz w:val="28"/>
          <w:szCs w:val="28"/>
          <w:bdr w:val="none" w:sz="0" w:space="0" w:color="auto"/>
          <w:shd w:val="clear" w:color="auto" w:fill="FFFFFF"/>
        </w:rPr>
        <w:t>80%</w:t>
      </w:r>
      <w:r>
        <w:rPr>
          <w:rFonts w:ascii="宋体" w:eastAsia="宋体" w:hAnsi="宋体" w:cs="宋体" w:hint="eastAsia"/>
          <w:sz w:val="28"/>
          <w:szCs w:val="28"/>
          <w:bdr w:val="none" w:sz="0" w:space="0" w:color="auto"/>
          <w:shd w:val="clear" w:color="auto" w:fill="FFFFFF"/>
        </w:rPr>
        <w:t>以上。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宋体" w:eastAsia="宋体" w:hAnsi="宋体" w:cs="宋体" w:hint="eastAsia"/>
          <w:sz w:val="28"/>
          <w:szCs w:val="28"/>
          <w:bdr w:val="none" w:sz="0" w:space="0" w:color="auto"/>
          <w:shd w:val="clear" w:color="auto" w:fill="FFFFFF"/>
        </w:rPr>
        <w:t>材料表明该地区（</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所有制结构在不断调整和优化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国有企业在社会总资产中占优势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股份制成为公有制的主要实现形式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公有制经济的主导作用主要体现在控制力上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4</w:t>
      </w:r>
      <w:r>
        <w:rPr>
          <w:rFonts w:ascii="宋体" w:eastAsia="宋体" w:hAnsi="宋体" w:cs="宋体" w:hint="eastAsia"/>
          <w:sz w:val="28"/>
          <w:szCs w:val="28"/>
          <w:bdr w:val="none" w:sz="0" w:space="0" w:color="auto"/>
          <w:shd w:val="clear" w:color="auto" w:fill="FFFFFF"/>
        </w:rPr>
        <w:t>．近年来，全国多地推动龙头企业、农民合作社和家庭农场等新型农业经营主体以分工协作为前提，以规模经营为依托，以利益联结为纽带，培育农业产业化联合体，探索了农村一二三产业融合发展的现实路径，实现了小农户与现代农业的有效衔接。积极培育引导联合体深度融合发展，目的在于（</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实现土地所有权和经营权流转，发展适度的规模经营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推进农村生产关系的根本变革，促进农村生产力发展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创新农业产业化的运行机制，释放农村集体经济活力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激发农业经营主体的积极性，拓宽农民增收致富渠道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5</w:t>
      </w:r>
      <w:r>
        <w:rPr>
          <w:rFonts w:ascii="宋体" w:eastAsia="宋体" w:hAnsi="宋体" w:cs="宋体" w:hint="eastAsia"/>
          <w:sz w:val="28"/>
          <w:szCs w:val="28"/>
          <w:bdr w:val="none" w:sz="0" w:space="0" w:color="auto"/>
          <w:shd w:val="clear" w:color="auto" w:fill="FFFFFF"/>
        </w:rPr>
        <w:t>．谋划实施新一轮国企改革行动，山东省将重点出台省属企业董事会授权管理办法，深化省属国有企业监事会改革，积极稳妥推进混合所有制改革，有序实施中长期激励，推动省属企业成为更具综合竞争力的新型市场主体。上述做法的传导正确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董事会授权管理</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推动企业股份制改革</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提高经营决策效率</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提高企业经济效益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国企监事会改革</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强化国企外部监督</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推动部门合法履职</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维护股东公司权益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混合所有制改革</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发挥各类资本优势</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助推国有企业发展</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增强国有经济控制力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实施中长期激励</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激发国企内生动力</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推动国企创新创造</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提升国有企业竞争力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6</w:t>
      </w:r>
      <w:r>
        <w:rPr>
          <w:rFonts w:ascii="宋体" w:eastAsia="宋体" w:hAnsi="宋体" w:cs="宋体" w:hint="eastAsia"/>
          <w:sz w:val="28"/>
          <w:szCs w:val="28"/>
          <w:bdr w:val="none" w:sz="0" w:space="0" w:color="auto"/>
          <w:shd w:val="clear" w:color="auto" w:fill="FFFFFF"/>
        </w:rPr>
        <w:t>．污水处理产业一般以重大技术突破和发展需求为基础，对经济社会发展影响长远，事关百姓民生、事关子孙后代。近年来，我国污水处理市场发展迅猛，全国污水处理企业</w:t>
      </w:r>
      <w:r>
        <w:rPr>
          <w:rFonts w:ascii="Times New Roman" w:hAnsi="Times New Roman" w:cs="Times New Roman" w:hint="default"/>
          <w:sz w:val="28"/>
          <w:szCs w:val="28"/>
          <w:bdr w:val="none" w:sz="0" w:space="0" w:color="auto"/>
          <w:shd w:val="clear" w:color="auto" w:fill="FFFFFF"/>
        </w:rPr>
        <w:t>21.93</w:t>
      </w:r>
      <w:r>
        <w:rPr>
          <w:rFonts w:ascii="宋体" w:eastAsia="宋体" w:hAnsi="宋体" w:cs="宋体" w:hint="eastAsia"/>
          <w:sz w:val="28"/>
          <w:szCs w:val="28"/>
          <w:bdr w:val="none" w:sz="0" w:space="0" w:color="auto"/>
          <w:shd w:val="clear" w:color="auto" w:fill="FFFFFF"/>
        </w:rPr>
        <w:t>万家，其中，</w:t>
      </w:r>
      <w:r>
        <w:rPr>
          <w:rFonts w:ascii="Times New Roman" w:hAnsi="Times New Roman" w:cs="Times New Roman" w:hint="default"/>
          <w:sz w:val="28"/>
          <w:szCs w:val="28"/>
          <w:bdr w:val="none" w:sz="0" w:space="0" w:color="auto"/>
          <w:shd w:val="clear" w:color="auto" w:fill="FFFFFF"/>
        </w:rPr>
        <w:t>2020</w:t>
      </w:r>
      <w:r>
        <w:rPr>
          <w:rFonts w:ascii="宋体" w:eastAsia="宋体" w:hAnsi="宋体" w:cs="宋体" w:hint="eastAsia"/>
          <w:sz w:val="28"/>
          <w:szCs w:val="28"/>
          <w:bdr w:val="none" w:sz="0" w:space="0" w:color="auto"/>
          <w:shd w:val="clear" w:color="auto" w:fill="FFFFFF"/>
        </w:rPr>
        <w:t>年污水处理企业数量达到了</w:t>
      </w:r>
      <w:r>
        <w:rPr>
          <w:rFonts w:ascii="Times New Roman" w:hAnsi="Times New Roman" w:cs="Times New Roman" w:hint="default"/>
          <w:sz w:val="28"/>
          <w:szCs w:val="28"/>
          <w:bdr w:val="none" w:sz="0" w:space="0" w:color="auto"/>
          <w:shd w:val="clear" w:color="auto" w:fill="FFFFFF"/>
        </w:rPr>
        <w:t>4.55</w:t>
      </w:r>
      <w:r>
        <w:rPr>
          <w:rFonts w:ascii="宋体" w:eastAsia="宋体" w:hAnsi="宋体" w:cs="宋体" w:hint="eastAsia"/>
          <w:sz w:val="28"/>
          <w:szCs w:val="28"/>
          <w:bdr w:val="none" w:sz="0" w:space="0" w:color="auto"/>
          <w:shd w:val="clear" w:color="auto" w:fill="FFFFFF"/>
        </w:rPr>
        <w:t>万家，比前一年增长</w:t>
      </w:r>
      <w:r>
        <w:rPr>
          <w:rFonts w:ascii="Times New Roman" w:hAnsi="Times New Roman" w:cs="Times New Roman" w:hint="default"/>
          <w:sz w:val="28"/>
          <w:szCs w:val="28"/>
          <w:bdr w:val="none" w:sz="0" w:space="0" w:color="auto"/>
          <w:shd w:val="clear" w:color="auto" w:fill="FFFFFF"/>
        </w:rPr>
        <w:t>20%</w:t>
      </w:r>
      <w:r>
        <w:rPr>
          <w:rFonts w:ascii="宋体" w:eastAsia="宋体" w:hAnsi="宋体" w:cs="宋体" w:hint="eastAsia"/>
          <w:sz w:val="28"/>
          <w:szCs w:val="28"/>
          <w:bdr w:val="none" w:sz="0" w:space="0" w:color="auto"/>
          <w:shd w:val="clear" w:color="auto" w:fill="FFFFFF"/>
        </w:rPr>
        <w:t>，竞争激烈。下表中为三个企业的发展现状</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1042"/>
        <w:gridCol w:w="3070"/>
        <w:gridCol w:w="3152"/>
        <w:gridCol w:w="2891"/>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single" w:sz="8" w:space="0" w:color="000000"/>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keepNext w:val="0"/>
              <w:keepLines w:val="0"/>
              <w:widowControl/>
              <w:suppressLineNumbers w:val="0"/>
              <w:shd w:val="clear" w:color="auto" w:fill="auto"/>
              <w:wordWrap w:val="0"/>
              <w:spacing w:before="0" w:beforeAutospacing="0" w:after="0" w:afterAutospacing="0"/>
              <w:ind w:left="0" w:right="0"/>
              <w:jc w:val="left"/>
              <w:rPr>
                <w:sz w:val="28"/>
                <w:szCs w:val="28"/>
              </w:rPr>
            </w:pP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企业</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B</w:t>
            </w:r>
            <w:r>
              <w:rPr>
                <w:rFonts w:ascii="宋体" w:eastAsia="宋体" w:hAnsi="宋体" w:cs="宋体" w:hint="eastAsia"/>
                <w:sz w:val="28"/>
                <w:szCs w:val="28"/>
                <w:bdr w:val="none" w:sz="0" w:space="0" w:color="auto"/>
                <w:shd w:val="clear" w:color="auto" w:fill="FFFFFF"/>
              </w:rPr>
              <w:t>企业</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Times New Roman" w:hAnsi="Times New Roman" w:cs="Times New Roman" w:hint="default"/>
                <w:sz w:val="28"/>
                <w:szCs w:val="28"/>
                <w:bdr w:val="none" w:sz="0" w:space="0" w:color="auto"/>
                <w:shd w:val="clear" w:color="auto" w:fill="FFFFFF"/>
              </w:rPr>
              <w:t>C</w:t>
            </w:r>
            <w:r>
              <w:rPr>
                <w:rFonts w:ascii="宋体" w:eastAsia="宋体" w:hAnsi="宋体" w:cs="宋体" w:hint="eastAsia"/>
                <w:sz w:val="28"/>
                <w:szCs w:val="28"/>
                <w:bdr w:val="none" w:sz="0" w:space="0" w:color="auto"/>
                <w:shd w:val="clear" w:color="auto" w:fill="FFFFFF"/>
              </w:rPr>
              <w:t>企业</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企业性质</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大型私营企业</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特大型央企</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地方重点国企</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p>
        </w:tc>
      </w:tr>
    </w:tbl>
    <w:p>
      <w:pPr>
        <w:sectPr>
          <w:type w:val="nextPage"/>
          <w:pgSz w:w="11906" w:h="16838"/>
          <w:pgMar w:top="1440" w:right="1800" w:bottom="1440" w:left="1800" w:header="851" w:footer="992" w:gutter="0"/>
          <w:pgNumType w:start="4"/>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1042"/>
        <w:gridCol w:w="3070"/>
        <w:gridCol w:w="3152"/>
        <w:gridCol w:w="2891"/>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企业优势和主营业务</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拥有先进的膜集成污水深度净化技术，专业从事生活污水、工业废水等全业务链。</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生态环境治理、城乡融合发展的领军企业，下辖水务、能源、生态等多领域专业板块。</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拥有专业水处理技术体系，是水资源循环利用和水生态环保事业的旗舰企业。</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发展现状</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受国内外环境影响，净利润较去年下降</w:t>
            </w:r>
            <w:r>
              <w:rPr>
                <w:rFonts w:ascii="Calibri" w:hAnsi="Calibri" w:cs="Calibri"/>
                <w:sz w:val="28"/>
                <w:szCs w:val="28"/>
                <w:bdr w:val="none" w:sz="0" w:space="0" w:color="auto"/>
                <w:shd w:val="clear" w:color="auto" w:fill="FFFFFF"/>
              </w:rPr>
              <w:t>50%</w:t>
            </w:r>
            <w:r>
              <w:rPr>
                <w:rFonts w:ascii="宋体" w:eastAsia="宋体" w:hAnsi="宋体" w:cs="宋体" w:hint="eastAsia"/>
                <w:sz w:val="28"/>
                <w:szCs w:val="28"/>
                <w:bdr w:val="none" w:sz="0" w:space="0" w:color="auto"/>
                <w:shd w:val="clear" w:color="auto" w:fill="FFFFFF"/>
              </w:rPr>
              <w:t>，连续三年资产负债率高。</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发展态势良好，希望能进一步提升污水资源化、净水领域等整体实力。</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长期保持水处理行业领先地位，但跨地区发展阻力重重。</w:t>
            </w:r>
          </w:p>
        </w:tc>
      </w:tr>
    </w:tbl>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宋体" w:eastAsia="宋体" w:hAnsi="宋体" w:cs="宋体" w:hint="eastAsia"/>
          <w:sz w:val="28"/>
          <w:szCs w:val="28"/>
          <w:bdr w:val="none" w:sz="0" w:space="0" w:color="auto"/>
          <w:shd w:val="clear" w:color="auto" w:fill="FFFFFF"/>
        </w:rPr>
        <w:t>针对上述情况，以下制定的企业发展规划中较为合理的是（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①A</w:t>
      </w:r>
      <w:r>
        <w:rPr>
          <w:rFonts w:ascii="宋体" w:eastAsia="宋体" w:hAnsi="宋体" w:cs="宋体" w:hint="eastAsia"/>
          <w:sz w:val="28"/>
          <w:szCs w:val="28"/>
          <w:bdr w:val="none" w:sz="0" w:space="0" w:color="auto"/>
          <w:shd w:val="clear" w:color="auto" w:fill="FFFFFF"/>
        </w:rPr>
        <w:t>企业要坚持诚信经营，通过合理分配收入走出企业发展困境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B</w:t>
      </w:r>
      <w:r>
        <w:rPr>
          <w:rFonts w:ascii="宋体" w:eastAsia="宋体" w:hAnsi="宋体" w:cs="宋体" w:hint="eastAsia"/>
          <w:sz w:val="28"/>
          <w:szCs w:val="28"/>
          <w:bdr w:val="none" w:sz="0" w:space="0" w:color="auto"/>
          <w:shd w:val="clear" w:color="auto" w:fill="FFFFFF"/>
        </w:rPr>
        <w:t>企业取长补短，发展成为国有资本控股的混合所有制企业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C</w:t>
      </w:r>
      <w:r>
        <w:rPr>
          <w:rFonts w:ascii="宋体" w:eastAsia="宋体" w:hAnsi="宋体" w:cs="宋体" w:hint="eastAsia"/>
          <w:sz w:val="28"/>
          <w:szCs w:val="28"/>
          <w:bdr w:val="none" w:sz="0" w:space="0" w:color="auto"/>
          <w:shd w:val="clear" w:color="auto" w:fill="FFFFFF"/>
        </w:rPr>
        <w:t>企业合作发展，优化国有资本布局，不断增强国企竞争力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三个企业独立经营，增强竞争意识，提高污水治理市场的活力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7</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十四五</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时期，我国继续支持培育家庭农场、农民专业合作社，为农业现代化发展提供财税支持、技术指导和风险控制，鼓励各地区采取自主经营、出租、入股等方式，盘活土地资源。上述举措表明促进农业农村经济发展应（</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完善农村基本经营制度，创新土地流转经营模式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深化集体土地所有权改革，提高土地资源利用率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培育新型农业经营主体，推动传统农业转型升级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加大</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三农</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投入力度，规避农业生产经营风险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8</w:t>
      </w:r>
      <w:r>
        <w:rPr>
          <w:rFonts w:ascii="宋体" w:eastAsia="宋体" w:hAnsi="宋体" w:cs="宋体" w:hint="eastAsia"/>
          <w:sz w:val="28"/>
          <w:szCs w:val="28"/>
          <w:bdr w:val="none" w:sz="0" w:space="0" w:color="auto"/>
          <w:shd w:val="clear" w:color="auto" w:fill="FFFFFF"/>
        </w:rPr>
        <w:t>．长尾理论将集中了大众需求的主流市场称为头部，将小众的、零散化的、个性化的需求形成的非主流市场称为</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尾部</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。长尾理论认为，非热销的东西积少成多，会形成非常高的价值，并且那些冷门产品占据的市场份额会等同或超过那些热销的产品</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如下图</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。以下经营策略符合长尾理论的是</w:t>
      </w:r>
      <w:r>
        <w:rPr>
          <w:rFonts w:ascii="Times New Roman" w:hAnsi="Times New Roman" w:cs="Times New Roman" w:hint="default"/>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某企业通过网络征集企业产品商标设计方案以选出最佳方案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某企业通过互联网平台推出定制产品服务，满足一些消费者的个性化需求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某企业通过大数据分析对市场进行细分，集中力量针对细分市场打造精品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某企业加大产品种类开发力度，全面覆盖消费市场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9</w:t>
      </w:r>
      <w:r>
        <w:rPr>
          <w:rFonts w:ascii="宋体" w:eastAsia="宋体" w:hAnsi="宋体" w:cs="宋体" w:hint="eastAsia"/>
          <w:sz w:val="28"/>
          <w:szCs w:val="28"/>
          <w:bdr w:val="none" w:sz="0" w:space="0" w:color="auto"/>
          <w:shd w:val="clear" w:color="auto" w:fill="FFFFFF"/>
        </w:rPr>
        <w:t>．面对我国经济由高速增长阶段转向高质量发展阶段的新形势，一些民营企业在经营发展中遇到了不少困难和问题。为改善民企发展环境，必须进一步放宽非公有制经济的市场准入，解决民营企业发展中遇到的困难。这体现了我国（</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各种所有制经济在所有制结构中的地位是平等的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非公有制经济是社会主义经济的重要组成部分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鼓励支持非公有制经济是社会主义市场经济的内在要求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营造各种所有制主体依法平等使用资源要素的市场环境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0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10</w:t>
      </w:r>
      <w:r>
        <w:rPr>
          <w:rFonts w:ascii="宋体" w:eastAsia="宋体" w:hAnsi="宋体" w:cs="宋体" w:hint="eastAsia"/>
          <w:sz w:val="28"/>
          <w:szCs w:val="28"/>
          <w:bdr w:val="none" w:sz="0" w:space="0" w:color="auto"/>
          <w:shd w:val="clear" w:color="auto" w:fill="FFFFFF"/>
        </w:rPr>
        <w:t>．党的二十大报告指出，深化国资国企改革，加快国有经济布局优化和结构调整，推动国有资本和国有企业做强做优做大，提升企业核心竞争力。</w:t>
      </w:r>
      <w:r>
        <w:rPr>
          <w:rFonts w:ascii="Times New Roman" w:hAnsi="Times New Roman" w:cs="Times New Roman" w:hint="default"/>
          <w:sz w:val="28"/>
          <w:szCs w:val="28"/>
          <w:bdr w:val="none" w:sz="0" w:space="0" w:color="auto"/>
          <w:shd w:val="clear" w:color="auto" w:fill="FFFFFF"/>
        </w:rPr>
        <w:t>2022</w:t>
      </w:r>
      <w:r>
        <w:rPr>
          <w:rFonts w:ascii="宋体" w:eastAsia="宋体" w:hAnsi="宋体" w:cs="宋体" w:hint="eastAsia"/>
          <w:sz w:val="28"/>
          <w:szCs w:val="28"/>
          <w:bdr w:val="none" w:sz="0" w:space="0" w:color="auto"/>
          <w:shd w:val="clear" w:color="auto" w:fill="FFFFFF"/>
        </w:rPr>
        <w:t>年是国企改革三年行动的收官之年。上半年，中央企业营业收入、利润总额、净利润同比分别增长了</w:t>
      </w:r>
      <w:r>
        <w:rPr>
          <w:rFonts w:ascii="Times New Roman" w:hAnsi="Times New Roman" w:cs="Times New Roman" w:hint="default"/>
          <w:sz w:val="28"/>
          <w:szCs w:val="28"/>
          <w:bdr w:val="none" w:sz="0" w:space="0" w:color="auto"/>
          <w:shd w:val="clear" w:color="auto" w:fill="FFFFFF"/>
        </w:rPr>
        <w:t>12%</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7.1%</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6.1%</w:t>
      </w:r>
      <w:r>
        <w:rPr>
          <w:rFonts w:ascii="宋体" w:eastAsia="宋体" w:hAnsi="宋体" w:cs="宋体" w:hint="eastAsia"/>
          <w:sz w:val="28"/>
          <w:szCs w:val="28"/>
          <w:bdr w:val="none" w:sz="0" w:space="0" w:color="auto"/>
          <w:shd w:val="clear" w:color="auto" w:fill="FFFFFF"/>
        </w:rPr>
        <w:t>。中央企业在保障经济平稳运行、推动高质量发展上取得新成效，交出一份优异答卷，说明在国企改革三年行动的带动下，中国特色现代企业制度更加成熟定型，世界一流企业建设取得明显成效。这得益于（</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国企内部推进任期制和契约化管理，健全激励约束机制，内生动力更充足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推进重组整合、加快转型升级，使国有资本在各个行业领域的控制力更强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加强党的全面领导，健全国资监管体制，加快完善中国特色现代企业制度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做好战略谋划、突出问题导向，增强对关键资源与短板弱项的核心掌控力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11</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7</w:t>
      </w:r>
      <w:r>
        <w:rPr>
          <w:rFonts w:ascii="宋体" w:eastAsia="宋体" w:hAnsi="宋体" w:cs="宋体" w:hint="eastAsia"/>
          <w:sz w:val="28"/>
          <w:szCs w:val="28"/>
          <w:bdr w:val="none" w:sz="0" w:space="0" w:color="auto"/>
          <w:shd w:val="clear" w:color="auto" w:fill="FFFFFF"/>
        </w:rPr>
        <w:t>月</w:t>
      </w:r>
      <w:r>
        <w:rPr>
          <w:rFonts w:ascii="Times New Roman" w:hAnsi="Times New Roman" w:cs="Times New Roman" w:hint="default"/>
          <w:sz w:val="28"/>
          <w:szCs w:val="28"/>
          <w:bdr w:val="none" w:sz="0" w:space="0" w:color="auto"/>
          <w:shd w:val="clear" w:color="auto" w:fill="FFFFFF"/>
        </w:rPr>
        <w:t>19</w:t>
      </w:r>
      <w:r>
        <w:rPr>
          <w:rFonts w:ascii="宋体" w:eastAsia="宋体" w:hAnsi="宋体" w:cs="宋体" w:hint="eastAsia"/>
          <w:sz w:val="28"/>
          <w:szCs w:val="28"/>
          <w:bdr w:val="none" w:sz="0" w:space="0" w:color="auto"/>
          <w:shd w:val="clear" w:color="auto" w:fill="FFFFFF"/>
        </w:rPr>
        <w:t>日《中共中央国务院关于促进民营经济发展壮大的意见》提出，要持续破除市场准入壁垒、全面落实公平竞争政策制度、完善市场化重整机制、完善融资支持政策制度，加大对民营经济政策支持力度，持续优化民营经济发展环境。下列对上述政策效应分析正确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破除市场准入壁垒</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全面取消市场准入门槛</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激发民营经济发展活力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落实公平竞争政策</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发挥各种所有制经济长处</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调动不同经济主体积极性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完善市场化重整机制</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盘活民营企业存量资产</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促进民营经济高质量发展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完善融资支持政策</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扩大融资规模</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降低民营企业融贷风险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12</w:t>
      </w:r>
      <w:r>
        <w:rPr>
          <w:rFonts w:ascii="宋体" w:eastAsia="宋体" w:hAnsi="宋体" w:cs="宋体" w:hint="eastAsia"/>
          <w:sz w:val="28"/>
          <w:szCs w:val="28"/>
          <w:bdr w:val="none" w:sz="0" w:space="0" w:color="auto"/>
          <w:shd w:val="clear" w:color="auto" w:fill="FFFFFF"/>
        </w:rPr>
        <w:t>．河北省聚焦经营主体的难点、痛点，着力提升服务效能，让不断优化的营商环境充分激发市场活力。</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1—8</w:t>
      </w:r>
      <w:r>
        <w:rPr>
          <w:rFonts w:ascii="宋体" w:eastAsia="宋体" w:hAnsi="宋体" w:cs="宋体" w:hint="eastAsia"/>
          <w:sz w:val="28"/>
          <w:szCs w:val="28"/>
          <w:bdr w:val="none" w:sz="0" w:space="0" w:color="auto"/>
          <w:shd w:val="clear" w:color="auto" w:fill="FFFFFF"/>
        </w:rPr>
        <w:t>月，全省新登记经营主体</w:t>
      </w:r>
      <w:r>
        <w:rPr>
          <w:rFonts w:ascii="Times New Roman" w:hAnsi="Times New Roman" w:cs="Times New Roman" w:hint="default"/>
          <w:sz w:val="28"/>
          <w:szCs w:val="28"/>
          <w:bdr w:val="none" w:sz="0" w:space="0" w:color="auto"/>
          <w:shd w:val="clear" w:color="auto" w:fill="FFFFFF"/>
        </w:rPr>
        <w:t>97.83</w:t>
      </w:r>
      <w:r>
        <w:rPr>
          <w:rFonts w:ascii="宋体" w:eastAsia="宋体" w:hAnsi="宋体" w:cs="宋体" w:hint="eastAsia"/>
          <w:sz w:val="28"/>
          <w:szCs w:val="28"/>
          <w:bdr w:val="none" w:sz="0" w:space="0" w:color="auto"/>
          <w:shd w:val="clear" w:color="auto" w:fill="FFFFFF"/>
        </w:rPr>
        <w:t>万户，同比增长</w:t>
      </w:r>
      <w:r>
        <w:rPr>
          <w:rFonts w:ascii="Times New Roman" w:hAnsi="Times New Roman" w:cs="Times New Roman" w:hint="default"/>
          <w:sz w:val="28"/>
          <w:szCs w:val="28"/>
          <w:bdr w:val="none" w:sz="0" w:space="0" w:color="auto"/>
          <w:shd w:val="clear" w:color="auto" w:fill="FFFFFF"/>
        </w:rPr>
        <w:t>22.44%</w:t>
      </w:r>
      <w:r>
        <w:rPr>
          <w:rFonts w:ascii="宋体" w:eastAsia="宋体" w:hAnsi="宋体" w:cs="宋体" w:hint="eastAsia"/>
          <w:sz w:val="28"/>
          <w:szCs w:val="28"/>
          <w:bdr w:val="none" w:sz="0" w:space="0" w:color="auto"/>
          <w:shd w:val="clear" w:color="auto" w:fill="FFFFFF"/>
        </w:rPr>
        <w:t>。优化营商环境需要（</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建立统一开放、竞争有序的市场体系，提高资源配置效率和公平性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强化市场基础制度规则统一，降低市场准入门槛以激发市场的活力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健全统一的社会信用制度，营造良好的社会环境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建设全领域由市场决定价格的机制，发挥市场在资源配置的决定性作用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13</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9</w:t>
      </w:r>
      <w:r>
        <w:rPr>
          <w:rFonts w:ascii="宋体" w:eastAsia="宋体" w:hAnsi="宋体" w:cs="宋体" w:hint="eastAsia"/>
          <w:sz w:val="28"/>
          <w:szCs w:val="28"/>
          <w:bdr w:val="none" w:sz="0" w:space="0" w:color="auto"/>
          <w:shd w:val="clear" w:color="auto" w:fill="FFFFFF"/>
        </w:rPr>
        <w:t>月，全国发行地方政府债券</w:t>
      </w:r>
      <w:r>
        <w:rPr>
          <w:rFonts w:ascii="Times New Roman" w:hAnsi="Times New Roman" w:cs="Times New Roman" w:hint="default"/>
          <w:sz w:val="28"/>
          <w:szCs w:val="28"/>
          <w:bdr w:val="none" w:sz="0" w:space="0" w:color="auto"/>
          <w:shd w:val="clear" w:color="auto" w:fill="FFFFFF"/>
        </w:rPr>
        <w:t>7751</w:t>
      </w:r>
      <w:r>
        <w:rPr>
          <w:rFonts w:ascii="宋体" w:eastAsia="宋体" w:hAnsi="宋体" w:cs="宋体" w:hint="eastAsia"/>
          <w:sz w:val="28"/>
          <w:szCs w:val="28"/>
          <w:bdr w:val="none" w:sz="0" w:space="0" w:color="auto"/>
          <w:shd w:val="clear" w:color="auto" w:fill="FFFFFF"/>
        </w:rPr>
        <w:t>亿元，其中专项债券</w:t>
      </w:r>
      <w:r>
        <w:rPr>
          <w:rFonts w:ascii="Times New Roman" w:hAnsi="Times New Roman" w:cs="Times New Roman" w:hint="default"/>
          <w:sz w:val="28"/>
          <w:szCs w:val="28"/>
          <w:bdr w:val="none" w:sz="0" w:space="0" w:color="auto"/>
          <w:shd w:val="clear" w:color="auto" w:fill="FFFFFF"/>
        </w:rPr>
        <w:t>6625</w:t>
      </w:r>
      <w:r>
        <w:rPr>
          <w:rFonts w:ascii="宋体" w:eastAsia="宋体" w:hAnsi="宋体" w:cs="宋体" w:hint="eastAsia"/>
          <w:sz w:val="28"/>
          <w:szCs w:val="28"/>
          <w:bdr w:val="none" w:sz="0" w:space="0" w:color="auto"/>
          <w:shd w:val="clear" w:color="auto" w:fill="FFFFFF"/>
        </w:rPr>
        <w:t>亿元。作为拉动地方经济的重要工具，下列关于发行专项债券的影响路径正确的有（</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增加财政支出</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扩大基础设施投资</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促进经济高质量发展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创造新的就业岗位</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增加了劳动者收入</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发挥消费拉动经济增长作用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扩大赤字规模</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增加财政支出</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财政资金利用率提高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推动贷款利率下行</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降低企业生产成本</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稳定社会有效供给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14</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年演出市场迎来爆发式增长，上半年我国营业性演出场次</w:t>
      </w:r>
      <w:r>
        <w:rPr>
          <w:rFonts w:ascii="Times New Roman" w:hAnsi="Times New Roman" w:cs="Times New Roman" w:hint="default"/>
          <w:sz w:val="28"/>
          <w:szCs w:val="28"/>
          <w:bdr w:val="none" w:sz="0" w:space="0" w:color="auto"/>
          <w:shd w:val="clear" w:color="auto" w:fill="FFFFFF"/>
        </w:rPr>
        <w:t>19</w:t>
      </w:r>
      <w:r>
        <w:rPr>
          <w:rFonts w:ascii="宋体" w:eastAsia="宋体" w:hAnsi="宋体" w:cs="宋体" w:hint="eastAsia"/>
          <w:sz w:val="28"/>
          <w:szCs w:val="28"/>
          <w:bdr w:val="none" w:sz="0" w:space="0" w:color="auto"/>
          <w:shd w:val="clear" w:color="auto" w:fill="FFFFFF"/>
        </w:rPr>
        <w:t>万多场。观众人数在</w:t>
      </w:r>
      <w:r>
        <w:rPr>
          <w:rFonts w:ascii="Times New Roman" w:hAnsi="Times New Roman" w:cs="Times New Roman" w:hint="default"/>
          <w:sz w:val="28"/>
          <w:szCs w:val="28"/>
          <w:bdr w:val="none" w:sz="0" w:space="0" w:color="auto"/>
          <w:shd w:val="clear" w:color="auto" w:fill="FFFFFF"/>
        </w:rPr>
        <w:t>5000</w:t>
      </w:r>
      <w:r>
        <w:rPr>
          <w:rFonts w:ascii="宋体" w:eastAsia="宋体" w:hAnsi="宋体" w:cs="宋体" w:hint="eastAsia"/>
          <w:sz w:val="28"/>
          <w:szCs w:val="28"/>
          <w:bdr w:val="none" w:sz="0" w:space="0" w:color="auto"/>
          <w:shd w:val="clear" w:color="auto" w:fill="FFFFFF"/>
        </w:rPr>
        <w:t>人以上的大型演出活动，经常遭遇</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一票难求</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，观众不得不求助于</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黄牛</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购买高溢价票。对此，某班同学提出以下解决措施，其中合理的是（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543"/>
        <w:gridCol w:w="9612"/>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single" w:sz="8" w:space="0" w:color="000000"/>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甲</w:t>
            </w:r>
          </w:p>
        </w:tc>
        <w:tc>
          <w:tcPr>
            <w:tcW w:w="0" w:type="auto"/>
            <w:tcBorders>
              <w:top w:val="single" w:sz="8" w:space="0" w:color="000000"/>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演出单位增加票务供给，履行告知义务，确保消费者从合法渠道购买门票</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乙</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政府设定合理的梯次退票标准，保障购票人的正当退票权利</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丙</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加强演出单位票务管理，对大型演出活动实行实名购票和实名入场制度</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8" w:space="0" w:color="000000"/>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丁</w:t>
            </w:r>
          </w:p>
        </w:tc>
        <w:tc>
          <w:tcPr>
            <w:tcW w:w="0" w:type="auto"/>
            <w:tcBorders>
              <w:top w:val="nil"/>
              <w:left w:val="nil"/>
              <w:bottom w:val="single" w:sz="8" w:space="0" w:color="000000"/>
              <w:right w:val="single" w:sz="8" w:space="0" w:color="000000"/>
            </w:tcBorders>
            <w:shd w:val="clear" w:color="auto" w:fill="auto"/>
            <w:tcMar>
              <w:top w:w="75" w:type="dxa"/>
              <w:left w:w="120" w:type="dxa"/>
              <w:bottom w:w="75" w:type="dxa"/>
              <w:right w:w="12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wordWrap w:val="0"/>
              <w:spacing w:before="0" w:beforeAutospacing="0" w:after="0" w:afterAutospacing="0"/>
              <w:ind w:left="0" w:right="0"/>
              <w:jc w:val="left"/>
              <w:textAlignment w:val="center"/>
              <w:rPr>
                <w:sz w:val="28"/>
                <w:szCs w:val="28"/>
              </w:rPr>
            </w:pPr>
            <w:r>
              <w:rPr>
                <w:rFonts w:ascii="宋体" w:eastAsia="宋体" w:hAnsi="宋体" w:cs="宋体" w:hint="eastAsia"/>
                <w:sz w:val="28"/>
                <w:szCs w:val="28"/>
                <w:bdr w:val="none" w:sz="0" w:space="0" w:color="auto"/>
                <w:shd w:val="clear" w:color="auto" w:fill="FFFFFF"/>
              </w:rPr>
              <w:t>市场监督管理部门加大执法检查力度，严厉打击各类违法违规行为</w:t>
            </w:r>
          </w:p>
        </w:tc>
      </w:tr>
    </w:tbl>
    <w:p>
      <w:pPr>
        <w:sectPr>
          <w:type w:val="nextPage"/>
          <w:pgSz w:w="11906" w:h="16838"/>
          <w:pgMar w:top="1440" w:right="1800" w:bottom="1440" w:left="1800" w:header="851" w:footer="992" w:gutter="0"/>
          <w:pgNumType w:start="10"/>
          <w:cols w:num="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．甲乙</w:t>
      </w:r>
      <w:r>
        <w:rPr>
          <w:rFonts w:ascii="Times New Roman" w:hAnsi="Times New Roman" w:cs="Times New Roman" w:hint="default"/>
          <w:sz w:val="28"/>
          <w:szCs w:val="28"/>
          <w:bdr w:val="none" w:sz="0" w:space="0" w:color="auto"/>
          <w:shd w:val="clear" w:color="auto" w:fill="FFFFFF"/>
        </w:rPr>
        <w:t> B</w:t>
      </w:r>
      <w:r>
        <w:rPr>
          <w:rFonts w:ascii="宋体" w:eastAsia="宋体" w:hAnsi="宋体" w:cs="宋体" w:hint="eastAsia"/>
          <w:sz w:val="28"/>
          <w:szCs w:val="28"/>
          <w:bdr w:val="none" w:sz="0" w:space="0" w:color="auto"/>
          <w:shd w:val="clear" w:color="auto" w:fill="FFFFFF"/>
        </w:rPr>
        <w:t>．甲丙</w:t>
      </w:r>
      <w:r>
        <w:rPr>
          <w:rFonts w:ascii="Times New Roman" w:hAnsi="Times New Roman" w:cs="Times New Roman" w:hint="default"/>
          <w:sz w:val="28"/>
          <w:szCs w:val="28"/>
          <w:bdr w:val="none" w:sz="0" w:space="0" w:color="auto"/>
          <w:shd w:val="clear" w:color="auto" w:fill="FFFFFF"/>
        </w:rPr>
        <w:t> C</w:t>
      </w:r>
      <w:r>
        <w:rPr>
          <w:rFonts w:ascii="宋体" w:eastAsia="宋体" w:hAnsi="宋体" w:cs="宋体" w:hint="eastAsia"/>
          <w:sz w:val="28"/>
          <w:szCs w:val="28"/>
          <w:bdr w:val="none" w:sz="0" w:space="0" w:color="auto"/>
          <w:shd w:val="clear" w:color="auto" w:fill="FFFFFF"/>
        </w:rPr>
        <w:t>．乙丁</w:t>
      </w:r>
      <w:r>
        <w:rPr>
          <w:rFonts w:ascii="Times New Roman" w:hAnsi="Times New Roman" w:cs="Times New Roman" w:hint="default"/>
          <w:sz w:val="28"/>
          <w:szCs w:val="28"/>
          <w:bdr w:val="none" w:sz="0" w:space="0" w:color="auto"/>
          <w:shd w:val="clear" w:color="auto" w:fill="FFFFFF"/>
        </w:rPr>
        <w:t> D</w:t>
      </w:r>
      <w:r>
        <w:rPr>
          <w:rFonts w:ascii="宋体" w:eastAsia="宋体" w:hAnsi="宋体" w:cs="宋体" w:hint="eastAsia"/>
          <w:sz w:val="28"/>
          <w:szCs w:val="28"/>
          <w:bdr w:val="none" w:sz="0" w:space="0" w:color="auto"/>
          <w:shd w:val="clear" w:color="auto" w:fill="FFFFFF"/>
        </w:rPr>
        <w:t>．丙丁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15</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8</w:t>
      </w:r>
      <w:r>
        <w:rPr>
          <w:rFonts w:ascii="宋体" w:eastAsia="宋体" w:hAnsi="宋体" w:cs="宋体" w:hint="eastAsia"/>
          <w:sz w:val="28"/>
          <w:szCs w:val="28"/>
          <w:bdr w:val="none" w:sz="0" w:space="0" w:color="auto"/>
          <w:shd w:val="clear" w:color="auto" w:fill="FFFFFF"/>
        </w:rPr>
        <w:t>月</w:t>
      </w:r>
      <w:r>
        <w:rPr>
          <w:rFonts w:ascii="Times New Roman" w:hAnsi="Times New Roman" w:cs="Times New Roman" w:hint="default"/>
          <w:sz w:val="28"/>
          <w:szCs w:val="28"/>
          <w:bdr w:val="none" w:sz="0" w:space="0" w:color="auto"/>
          <w:shd w:val="clear" w:color="auto" w:fill="FFFFFF"/>
        </w:rPr>
        <w:t>16</w:t>
      </w:r>
      <w:r>
        <w:rPr>
          <w:rFonts w:ascii="宋体" w:eastAsia="宋体" w:hAnsi="宋体" w:cs="宋体" w:hint="eastAsia"/>
          <w:sz w:val="28"/>
          <w:szCs w:val="28"/>
          <w:bdr w:val="none" w:sz="0" w:space="0" w:color="auto"/>
          <w:shd w:val="clear" w:color="auto" w:fill="FFFFFF"/>
        </w:rPr>
        <w:t>日，国务院总理李强主持召开国务院第二次全体会议上强调，要着力扩大国内需求，继续拓展扩消费、促投资政策空间，提振大宗消费。以下政策举措有助于扩大国内需求的是（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加强对服务消费的金融支持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降低个人所得税起征点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加大对民生工程建设的投入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提高商业银行法定存款准备金率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16</w:t>
      </w:r>
      <w:r>
        <w:rPr>
          <w:rFonts w:ascii="宋体" w:eastAsia="宋体" w:hAnsi="宋体" w:cs="宋体" w:hint="eastAsia"/>
          <w:sz w:val="28"/>
          <w:szCs w:val="28"/>
          <w:bdr w:val="none" w:sz="0" w:space="0" w:color="auto"/>
          <w:shd w:val="clear" w:color="auto" w:fill="FFFFFF"/>
        </w:rPr>
        <w:t>．为畅通国内大循环</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中共中央、国务院发布《关于加快建设全国统一大市场的意见》</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以下简称《意见》</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。《意见》坚持问题导向</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加快清理废除妨碍统一市场和公平竞争的各种规定和做法</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破除各种封闭小市场、自我小循环。建设全国统一大市场发挥作用的路径是</w:t>
      </w:r>
      <w:r>
        <w:rPr>
          <w:rFonts w:ascii="Times New Roman" w:hAnsi="Times New Roman" w:cs="Times New Roman" w:hint="default"/>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畅通国内循环</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促进经济发展　</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打通制约经济循环的关键堵点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充分发挥政府在资源配置中的决定性作用</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形成统一开放、竞争有序的市场体系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④→②→③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②→④→①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④→②→①</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17</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3</w:t>
      </w:r>
      <w:r>
        <w:rPr>
          <w:rFonts w:ascii="宋体" w:eastAsia="宋体" w:hAnsi="宋体" w:cs="宋体" w:hint="eastAsia"/>
          <w:sz w:val="28"/>
          <w:szCs w:val="28"/>
          <w:bdr w:val="none" w:sz="0" w:space="0" w:color="auto"/>
          <w:shd w:val="clear" w:color="auto" w:fill="FFFFFF"/>
        </w:rPr>
        <w:t>月</w:t>
      </w:r>
      <w:r>
        <w:rPr>
          <w:rFonts w:ascii="Times New Roman" w:hAnsi="Times New Roman" w:cs="Times New Roman" w:hint="default"/>
          <w:sz w:val="28"/>
          <w:szCs w:val="28"/>
          <w:bdr w:val="none" w:sz="0" w:space="0" w:color="auto"/>
          <w:shd w:val="clear" w:color="auto" w:fill="FFFFFF"/>
        </w:rPr>
        <w:t>21</w:t>
      </w:r>
      <w:r>
        <w:rPr>
          <w:rFonts w:ascii="宋体" w:eastAsia="宋体" w:hAnsi="宋体" w:cs="宋体" w:hint="eastAsia"/>
          <w:sz w:val="28"/>
          <w:szCs w:val="28"/>
          <w:bdr w:val="none" w:sz="0" w:space="0" w:color="auto"/>
          <w:shd w:val="clear" w:color="auto" w:fill="FFFFFF"/>
        </w:rPr>
        <w:t>日，第二届国有经济研究峰会在京举行。会议指出，</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国有企业是中国式现代化的重要主体和力量，着力打造适应中国式现代化要求的现代新国企，要不断健全中国特色现代企业制度，优化国有资本布局结构，加快建立灵活高效的市场化经营机制，增强企业核心功能，提升企业核心竞争力。</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由此可见，增强国有企业核心竞争力可采取的举措是（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完善现代企业制度，降低国有企业经营风险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优化国有资本布局和结构调整，使国有资产在社会总资产中占优势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以市场化方式推进国有企业战略性重组，提升国有资本配置效率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把握新一轮科技和产业革命趋势，提升技术牵引和产业变革的创新力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18</w:t>
      </w:r>
      <w:r>
        <w:rPr>
          <w:rFonts w:ascii="宋体" w:eastAsia="宋体" w:hAnsi="宋体" w:cs="宋体" w:hint="eastAsia"/>
          <w:sz w:val="28"/>
          <w:szCs w:val="28"/>
          <w:bdr w:val="none" w:sz="0" w:space="0" w:color="auto"/>
          <w:shd w:val="clear" w:color="auto" w:fill="FFFFFF"/>
        </w:rPr>
        <w:t>．公牛集团与经销商通过固定和限定价格的垄断协议，对产品价格进行操控。通过社交软件要求经销商按照价格表进行销售，同时委托多家第三方公司对经销商是否执行其价格政策和是否窜货销售等情况进行监督，公牛集团 这一行为损害了消费者的利益，扰乱了经济秩序，也使企业自身的形象和效益受到严重影响。这启示我们（</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利用价格优势垄断市场，排斥竞争对手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企业在追求经济效益的同时应承担相应的社会责任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公平、公正的现代市场体系是市场发挥作用的基础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企业要遵守社会公德、商业道德和诚实守信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19</w:t>
      </w:r>
      <w:r>
        <w:rPr>
          <w:rFonts w:ascii="宋体" w:eastAsia="宋体" w:hAnsi="宋体" w:cs="宋体" w:hint="eastAsia"/>
          <w:sz w:val="28"/>
          <w:szCs w:val="28"/>
          <w:bdr w:val="none" w:sz="0" w:space="0" w:color="auto"/>
          <w:shd w:val="clear" w:color="auto" w:fill="FFFFFF"/>
        </w:rPr>
        <w:t>．海南三亚某菜市场两商家被贴</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短斤缺两</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公示牌，引发广泛关注。市场监督管理所工作人员称，该公示牌要挂满</w:t>
      </w:r>
      <w:r>
        <w:rPr>
          <w:rFonts w:ascii="Times New Roman" w:hAnsi="Times New Roman" w:cs="Times New Roman" w:hint="default"/>
          <w:sz w:val="28"/>
          <w:szCs w:val="28"/>
          <w:bdr w:val="none" w:sz="0" w:space="0" w:color="auto"/>
          <w:shd w:val="clear" w:color="auto" w:fill="FFFFFF"/>
        </w:rPr>
        <w:t>30</w:t>
      </w:r>
      <w:r>
        <w:rPr>
          <w:rFonts w:ascii="宋体" w:eastAsia="宋体" w:hAnsi="宋体" w:cs="宋体" w:hint="eastAsia"/>
          <w:sz w:val="28"/>
          <w:szCs w:val="28"/>
          <w:bdr w:val="none" w:sz="0" w:space="0" w:color="auto"/>
          <w:shd w:val="clear" w:color="auto" w:fill="FFFFFF"/>
        </w:rPr>
        <w:t>天，</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确实能督促商家改正</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。对此网友表示肯定。</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缺斤短两黄牌公示</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大获肯定是因为，该执法（</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弥补了市场调节的盲目性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有利于构建竞争有序的市场体系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能让群众感受到公平正义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保证了政府的权力在阳光下运行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20</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2022</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4</w:t>
      </w:r>
      <w:r>
        <w:rPr>
          <w:rFonts w:ascii="宋体" w:eastAsia="宋体" w:hAnsi="宋体" w:cs="宋体" w:hint="eastAsia"/>
          <w:sz w:val="28"/>
          <w:szCs w:val="28"/>
          <w:bdr w:val="none" w:sz="0" w:space="0" w:color="auto"/>
          <w:shd w:val="clear" w:color="auto" w:fill="FFFFFF"/>
        </w:rPr>
        <w:t>月</w:t>
      </w:r>
      <w:r>
        <w:rPr>
          <w:rFonts w:ascii="Times New Roman" w:hAnsi="Times New Roman" w:cs="Times New Roman" w:hint="default"/>
          <w:sz w:val="28"/>
          <w:szCs w:val="28"/>
          <w:bdr w:val="none" w:sz="0" w:space="0" w:color="auto"/>
          <w:shd w:val="clear" w:color="auto" w:fill="FFFFFF"/>
        </w:rPr>
        <w:t>19</w:t>
      </w:r>
      <w:r>
        <w:rPr>
          <w:rFonts w:ascii="宋体" w:eastAsia="宋体" w:hAnsi="宋体" w:cs="宋体" w:hint="eastAsia"/>
          <w:sz w:val="28"/>
          <w:szCs w:val="28"/>
          <w:bdr w:val="none" w:sz="0" w:space="0" w:color="auto"/>
          <w:shd w:val="clear" w:color="auto" w:fill="FFFFFF"/>
        </w:rPr>
        <w:t>日，人民银行、银保监会联合召开金融支持实体经济座谈会。会议指出各金融机构要重点围绕接触型服务业、小微受困主体、货运物流、投资消费等重点支持领域，强化对重点消费、新市民和有效投资的金融服务，要平衡好支持疫情防控、支持实体经济与防范风险的关系。这一政策带来的影响，传导路径正确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完善金融风险处置工作机制</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防止系统性风险发生</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增强抵御风险能力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使资金更多流向实体经济</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带动就业创业</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稳定宏观经济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多渠道补充中小银行资本</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拓宽直接融资渠道</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纾困小微企业融资难题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完善金融支持体系</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降低产业税负成本</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激发实体经济发展活力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21</w:t>
      </w:r>
      <w:r>
        <w:rPr>
          <w:rFonts w:ascii="宋体" w:eastAsia="宋体" w:hAnsi="宋体" w:cs="宋体" w:hint="eastAsia"/>
          <w:sz w:val="28"/>
          <w:szCs w:val="28"/>
          <w:bdr w:val="none" w:sz="0" w:space="0" w:color="auto"/>
          <w:shd w:val="clear" w:color="auto" w:fill="FFFFFF"/>
        </w:rPr>
        <w:t>．党的二十大报告中提到</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加快发展数字经济，促进数字经济和实体经济深度融合，打造具有国际竞争力的数字产业集群。湖南省紧跟国家战略方向贯彻执行，近年来，湖南筹资建设世界计算长沙智谷，打造</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二十年不落伍</w:t>
      </w:r>
      <w:r>
        <w:rPr>
          <w:rFonts w:ascii="Times New Roman" w:hAnsi="Times New Roman" w:cs="Times New Roman" w:hint="default"/>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宋体" w:eastAsia="宋体" w:hAnsi="宋体" w:cs="宋体" w:hint="eastAsia"/>
          <w:sz w:val="28"/>
          <w:szCs w:val="28"/>
          <w:bdr w:val="none" w:sz="0" w:space="0" w:color="auto"/>
          <w:shd w:val="clear" w:color="auto" w:fill="FFFFFF"/>
        </w:rPr>
        <w:t>的数字经济集聚区，引入了北京大学计算与数字经济研究院、万兴科技、安克创新等国内领先的平台和企业，培育了兴盛优选、水羊股份等本土企业。关于湖南大力发展数字经济，下列说法正确的是（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加强政府宏观调控和市场监管，发挥政府对数字经济的决定性作用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积极融入数字经济关键核心技术研发合作                  </w:t>
      </w: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积极拓展数字经济应用新场景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坚持中国共产党的领导，积极履行其经济建设的职能和作用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22</w:t>
      </w:r>
      <w:r>
        <w:rPr>
          <w:rFonts w:ascii="宋体" w:eastAsia="宋体" w:hAnsi="宋体" w:cs="宋体" w:hint="eastAsia"/>
          <w:sz w:val="28"/>
          <w:szCs w:val="28"/>
          <w:bdr w:val="none" w:sz="0" w:space="0" w:color="auto"/>
          <w:shd w:val="clear" w:color="auto" w:fill="FFFFFF"/>
        </w:rPr>
        <w:t>．新修订的《中华人民共和国反不正当竞争法》针对</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刷单</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炒信</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、虚构交易等欺诈行为明确提出，经营者不得对其商品的销售状况、用户评价刷单，做出引人误解的虚假宣传内容。这说明（</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政府需要弥补市场缺陷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要加强政府定价制度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社会主义市场经济的健康发展需要统一的市场监管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市场调节的自发性、盲目性和滞后性弊病短期内不会消除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23</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8</w:t>
      </w:r>
      <w:r>
        <w:rPr>
          <w:rFonts w:ascii="宋体" w:eastAsia="宋体" w:hAnsi="宋体" w:cs="宋体" w:hint="eastAsia"/>
          <w:sz w:val="28"/>
          <w:szCs w:val="28"/>
          <w:bdr w:val="none" w:sz="0" w:space="0" w:color="auto"/>
          <w:shd w:val="clear" w:color="auto" w:fill="FFFFFF"/>
        </w:rPr>
        <w:t>月</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第</w:t>
      </w:r>
      <w:r>
        <w:rPr>
          <w:rFonts w:ascii="Times New Roman" w:hAnsi="Times New Roman" w:cs="Times New Roman" w:hint="default"/>
          <w:sz w:val="28"/>
          <w:szCs w:val="28"/>
          <w:bdr w:val="none" w:sz="0" w:space="0" w:color="auto"/>
          <w:shd w:val="clear" w:color="auto" w:fill="FFFFFF"/>
        </w:rPr>
        <w:t>31</w:t>
      </w:r>
      <w:r>
        <w:rPr>
          <w:rFonts w:ascii="宋体" w:eastAsia="宋体" w:hAnsi="宋体" w:cs="宋体" w:hint="eastAsia"/>
          <w:sz w:val="28"/>
          <w:szCs w:val="28"/>
          <w:bdr w:val="none" w:sz="0" w:space="0" w:color="auto"/>
          <w:shd w:val="clear" w:color="auto" w:fill="FFFFFF"/>
        </w:rPr>
        <w:t>届世界大学生夏季运动会在成都落下帷幕。大运会的体操比赛场馆中</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冰篮转换</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智能控温</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斗型大屏</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科技成果纷纷涌现</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大运会的篮球比赛场馆</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配备了先进的智慧能源管理系统</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调控整个场馆的用水、用电等</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运行下来整个场馆能节能</w:t>
      </w:r>
      <w:r>
        <w:rPr>
          <w:rFonts w:ascii="Times New Roman" w:hAnsi="Times New Roman" w:cs="Times New Roman" w:hint="default"/>
          <w:sz w:val="28"/>
          <w:szCs w:val="28"/>
          <w:bdr w:val="none" w:sz="0" w:space="0" w:color="auto"/>
          <w:shd w:val="clear" w:color="auto" w:fill="FFFFFF"/>
        </w:rPr>
        <w:t>15%</w:t>
      </w:r>
      <w:r>
        <w:rPr>
          <w:rFonts w:ascii="宋体" w:eastAsia="宋体" w:hAnsi="宋体" w:cs="宋体" w:hint="eastAsia"/>
          <w:sz w:val="28"/>
          <w:szCs w:val="28"/>
          <w:bdr w:val="none" w:sz="0" w:space="0" w:color="auto"/>
          <w:shd w:val="clear" w:color="auto" w:fill="FFFFFF"/>
        </w:rPr>
        <w:t>左右。据此，下列推测合理的是（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绿色、低碳是成都大运会的办赛理念</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创新、智慧是成都大运会的鲜明底色</w:t>
      </w:r>
      <w:r>
        <w:rPr>
          <w:rFonts w:ascii="Times New Roman" w:hAnsi="Times New Roman" w:cs="Times New Roman" w:hint="default"/>
          <w:sz w:val="28"/>
          <w:szCs w:val="28"/>
          <w:bdr w:val="none" w:sz="0" w:space="0" w:color="auto"/>
          <w:shd w:val="clear" w:color="auto" w:fill="FFFFFF"/>
        </w:rPr>
        <w:t>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守正、开放是成都大运会的响亮口号</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人文、共享是成都大运会的精神追求</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24</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绿色发展</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是党中央立足全面建成社会主义现代化强国、实现第二个百年奋斗目标，以中国式现代化全面推进中华民族伟大复兴作出的重大战略部署。关于</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绿色发展</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下列说法错误的是</w:t>
      </w:r>
      <w:r>
        <w:rPr>
          <w:rFonts w:ascii="Times New Roman" w:hAnsi="Times New Roman" w:cs="Times New Roman" w:hint="default"/>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   </w:t>
      </w:r>
      <w:r>
        <w:rPr>
          <w:rFonts w:ascii="Times New Roman" w:hAnsi="Times New Roman" w:cs="Times New Roman" w:hint="default"/>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绿色发展可满足人民对美好生活的追求    </w:t>
      </w: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绿色发展注重的是解决发展动力的问题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绿色发展以人与自然的和谐为价值取向    </w:t>
      </w: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绿色发展在现代化建设全局中处于核心地位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25</w:t>
      </w:r>
      <w:r>
        <w:rPr>
          <w:rFonts w:ascii="宋体" w:eastAsia="宋体" w:hAnsi="宋体" w:cs="宋体" w:hint="eastAsia"/>
          <w:sz w:val="28"/>
          <w:szCs w:val="28"/>
          <w:bdr w:val="none" w:sz="0" w:space="0" w:color="auto"/>
          <w:shd w:val="clear" w:color="auto" w:fill="FFFFFF"/>
        </w:rPr>
        <w:t>．下图为碳排放权交易示意图，对此，下列解读正确的是（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碳排放权是具有价值的资产，可以作为商品在市场上进行交换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国家运用行政手段控制碳排放，增强了企业的可持续发展能力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是减少温室气体排放的机制创新，将低碳作为企业的立身之本</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有助于实现减量排放，推动新旧动能转换，提高全要素生产率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Times New Roman" w:hAnsi="Times New Roman" w:cs="Times New Roman" w:hint="default"/>
          <w:sz w:val="28"/>
          <w:szCs w:val="28"/>
          <w:bdr w:val="none" w:sz="0" w:space="0" w:color="auto"/>
          <w:shd w:val="clear" w:color="auto" w:fill="FFFFFF"/>
        </w:rPr>
        <w:t>26</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8</w:t>
      </w:r>
      <w:r>
        <w:rPr>
          <w:rFonts w:ascii="宋体" w:eastAsia="宋体" w:hAnsi="宋体" w:cs="宋体" w:hint="eastAsia"/>
          <w:sz w:val="28"/>
          <w:szCs w:val="28"/>
          <w:bdr w:val="none" w:sz="0" w:space="0" w:color="auto"/>
          <w:shd w:val="clear" w:color="auto" w:fill="FFFFFF"/>
        </w:rPr>
        <w:t>月，市场监管总局加大水产品食品安全监管及食盐价格监管力度，严禁食品生产经营者采购、使用原产地为日本的水产品，加强市场销售进口水产品食品安全抽检监测；同时加大价格监管执法力度，建立与相关互联网平台</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直通车</w:t>
      </w:r>
      <w:r>
        <w:rPr>
          <w:rFonts w:ascii="Times New Roman" w:hAnsi="Times New Roman" w:cs="Times New Roman" w:hint="default"/>
          <w:sz w:val="28"/>
          <w:szCs w:val="28"/>
          <w:bdr w:val="none" w:sz="0" w:space="0" w:color="auto"/>
          <w:shd w:val="clear" w:color="auto" w:fill="FFFFFF"/>
        </w:rPr>
        <w:t>”</w:t>
      </w:r>
      <w:r>
        <w:rPr>
          <w:rFonts w:ascii="宋体" w:eastAsia="宋体" w:hAnsi="宋体" w:cs="宋体" w:hint="eastAsia"/>
          <w:sz w:val="28"/>
          <w:szCs w:val="28"/>
          <w:bdr w:val="none" w:sz="0" w:space="0" w:color="auto"/>
          <w:shd w:val="clear" w:color="auto" w:fill="FFFFFF"/>
        </w:rPr>
        <w:t>机制，及时掌握价格异常波动信息和违法行为线索，严查囤积居奇、捏造散布涨价信息等哄抬价格的违法行为。以上措施（</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w:t>
      </w:r>
      <w:r>
        <w:rPr>
          <w:rFonts w:ascii="宋体" w:eastAsia="宋体" w:hAnsi="宋体" w:cs="宋体" w:hint="eastAsia"/>
          <w:sz w:val="28"/>
          <w:szCs w:val="28"/>
          <w:bdr w:val="none" w:sz="0" w:space="0" w:color="auto"/>
          <w:shd w:val="clear" w:color="auto" w:fill="FFFFFF"/>
        </w:rPr>
        <w:t>有利于督促食品生产经营者严格遵守法律法规，承担社会责任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w:t>
      </w:r>
      <w:r>
        <w:rPr>
          <w:rFonts w:ascii="宋体" w:eastAsia="宋体" w:hAnsi="宋体" w:cs="宋体" w:hint="eastAsia"/>
          <w:sz w:val="28"/>
          <w:szCs w:val="28"/>
          <w:bdr w:val="none" w:sz="0" w:space="0" w:color="auto"/>
          <w:shd w:val="clear" w:color="auto" w:fill="FFFFFF"/>
        </w:rPr>
        <w:t>体现了政府加强宏观调控，用经济手段弥补市场自发性的缺陷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w:t>
      </w:r>
      <w:r>
        <w:rPr>
          <w:rFonts w:ascii="宋体" w:eastAsia="宋体" w:hAnsi="宋体" w:cs="宋体" w:hint="eastAsia"/>
          <w:sz w:val="28"/>
          <w:szCs w:val="28"/>
          <w:bdr w:val="none" w:sz="0" w:space="0" w:color="auto"/>
          <w:shd w:val="clear" w:color="auto" w:fill="FFFFFF"/>
        </w:rPr>
        <w:t>说明政府加强和优化公共服务，履行保障社会公平正义的职能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w:t>
      </w:r>
      <w:r>
        <w:rPr>
          <w:rFonts w:ascii="宋体" w:eastAsia="宋体" w:hAnsi="宋体" w:cs="宋体" w:hint="eastAsia"/>
          <w:sz w:val="28"/>
          <w:szCs w:val="28"/>
          <w:bdr w:val="none" w:sz="0" w:space="0" w:color="auto"/>
          <w:shd w:val="clear" w:color="auto" w:fill="FFFFFF"/>
        </w:rPr>
        <w:t>坚持了以人民为中心的发展思想，彰显了人民至上的立场观点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27</w:t>
      </w:r>
      <w:r>
        <w:rPr>
          <w:rFonts w:ascii="宋体" w:eastAsia="宋体" w:hAnsi="宋体" w:cs="宋体" w:hint="eastAsia"/>
          <w:sz w:val="28"/>
          <w:szCs w:val="28"/>
          <w:bdr w:val="none" w:sz="0" w:space="0" w:color="auto"/>
          <w:shd w:val="clear" w:color="auto" w:fill="FFFFFF"/>
        </w:rPr>
        <w:t>．恩格尔系数是反映人民生活水平高低的一个主要指标。它是由</w:t>
      </w:r>
      <w:r>
        <w:rPr>
          <w:rFonts w:ascii="Times New Roman" w:hAnsi="Times New Roman" w:cs="Times New Roman" w:hint="default"/>
          <w:sz w:val="28"/>
          <w:szCs w:val="28"/>
          <w:bdr w:val="none" w:sz="0" w:space="0" w:color="auto"/>
          <w:shd w:val="clear" w:color="auto" w:fill="FFFFFF"/>
        </w:rPr>
        <w:t>19</w:t>
      </w:r>
      <w:r>
        <w:rPr>
          <w:rFonts w:ascii="宋体" w:eastAsia="宋体" w:hAnsi="宋体" w:cs="宋体" w:hint="eastAsia"/>
          <w:sz w:val="28"/>
          <w:szCs w:val="28"/>
          <w:bdr w:val="none" w:sz="0" w:space="0" w:color="auto"/>
          <w:shd w:val="clear" w:color="auto" w:fill="FFFFFF"/>
        </w:rPr>
        <w:t>世纪德国统计学家恩格尔提出，指食品支出占家庭消费总支出的比例。恩格尔系数越小，一般表明生活水平越高。下图是我国</w:t>
      </w:r>
      <w:r>
        <w:rPr>
          <w:rFonts w:ascii="Times New Roman" w:hAnsi="Times New Roman" w:cs="Times New Roman" w:hint="default"/>
          <w:sz w:val="28"/>
          <w:szCs w:val="28"/>
          <w:bdr w:val="none" w:sz="0" w:space="0" w:color="auto"/>
          <w:shd w:val="clear" w:color="auto" w:fill="FFFFFF"/>
        </w:rPr>
        <w:t>1978</w:t>
      </w:r>
      <w:r>
        <w:rPr>
          <w:rFonts w:ascii="宋体" w:eastAsia="宋体" w:hAnsi="宋体" w:cs="宋体" w:hint="eastAsia"/>
          <w:sz w:val="28"/>
          <w:szCs w:val="28"/>
          <w:bdr w:val="none" w:sz="0" w:space="0" w:color="auto"/>
          <w:shd w:val="clear" w:color="auto" w:fill="FFFFFF"/>
        </w:rPr>
        <w:t>年到</w:t>
      </w:r>
      <w:r>
        <w:rPr>
          <w:rFonts w:ascii="Times New Roman" w:hAnsi="Times New Roman" w:cs="Times New Roman" w:hint="default"/>
          <w:sz w:val="28"/>
          <w:szCs w:val="28"/>
          <w:bdr w:val="none" w:sz="0" w:space="0" w:color="auto"/>
          <w:shd w:val="clear" w:color="auto" w:fill="FFFFFF"/>
        </w:rPr>
        <w:t>2022</w:t>
      </w:r>
      <w:r>
        <w:rPr>
          <w:rFonts w:ascii="宋体" w:eastAsia="宋体" w:hAnsi="宋体" w:cs="宋体" w:hint="eastAsia"/>
          <w:sz w:val="28"/>
          <w:szCs w:val="28"/>
          <w:bdr w:val="none" w:sz="0" w:space="0" w:color="auto"/>
          <w:shd w:val="clear" w:color="auto" w:fill="FFFFFF"/>
        </w:rPr>
        <w:t>年城乡恩格尔系数，下列说法正确的是（</w:t>
      </w:r>
      <w:r>
        <w:rPr>
          <w:rFonts w:ascii="Times New Roman" w:hAnsi="Times New Roman" w:cs="Times New Roman" w:hint="default"/>
          <w:sz w:val="28"/>
          <w:szCs w:val="28"/>
          <w:bdr w:val="none" w:sz="0" w:space="0" w:color="auto"/>
          <w:shd w:val="clear" w:color="auto" w:fill="FFFFFF"/>
        </w:rPr>
        <w:t>   </w:t>
      </w:r>
      <w:r>
        <w:rPr>
          <w:rFonts w:ascii="宋体" w:eastAsia="宋体" w:hAnsi="宋体" w:cs="宋体" w:hint="eastAsia"/>
          <w:sz w:val="28"/>
          <w:szCs w:val="28"/>
          <w:bdr w:val="none" w:sz="0" w:space="0" w:color="auto"/>
          <w:shd w:val="clear" w:color="auto" w:fill="FFFFFF"/>
        </w:rPr>
        <w: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①1996</w:t>
      </w:r>
      <w:r>
        <w:rPr>
          <w:rFonts w:ascii="宋体" w:eastAsia="宋体" w:hAnsi="宋体" w:cs="宋体" w:hint="eastAsia"/>
          <w:sz w:val="28"/>
          <w:szCs w:val="28"/>
          <w:bdr w:val="none" w:sz="0" w:space="0" w:color="auto"/>
          <w:shd w:val="clear" w:color="auto" w:fill="FFFFFF"/>
        </w:rPr>
        <w:t>年我国城乡恩格尔系数一样大，生活水平大致相同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②1978</w:t>
      </w:r>
      <w:r>
        <w:rPr>
          <w:rFonts w:ascii="宋体" w:eastAsia="宋体" w:hAnsi="宋体" w:cs="宋体" w:hint="eastAsia"/>
          <w:sz w:val="28"/>
          <w:szCs w:val="28"/>
          <w:bdr w:val="none" w:sz="0" w:space="0" w:color="auto"/>
          <w:shd w:val="clear" w:color="auto" w:fill="FFFFFF"/>
        </w:rPr>
        <w:t>年到</w:t>
      </w:r>
      <w:r>
        <w:rPr>
          <w:rFonts w:ascii="Times New Roman" w:hAnsi="Times New Roman" w:cs="Times New Roman" w:hint="default"/>
          <w:sz w:val="28"/>
          <w:szCs w:val="28"/>
          <w:bdr w:val="none" w:sz="0" w:space="0" w:color="auto"/>
          <w:shd w:val="clear" w:color="auto" w:fill="FFFFFF"/>
        </w:rPr>
        <w:t>2022</w:t>
      </w:r>
      <w:r>
        <w:rPr>
          <w:rFonts w:ascii="宋体" w:eastAsia="宋体" w:hAnsi="宋体" w:cs="宋体" w:hint="eastAsia"/>
          <w:sz w:val="28"/>
          <w:szCs w:val="28"/>
          <w:bdr w:val="none" w:sz="0" w:space="0" w:color="auto"/>
          <w:shd w:val="clear" w:color="auto" w:fill="FFFFFF"/>
        </w:rPr>
        <w:t>年我国城乡居民生活水平总体上提高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③2022</w:t>
      </w:r>
      <w:r>
        <w:rPr>
          <w:rFonts w:ascii="宋体" w:eastAsia="宋体" w:hAnsi="宋体" w:cs="宋体" w:hint="eastAsia"/>
          <w:sz w:val="28"/>
          <w:szCs w:val="28"/>
          <w:bdr w:val="none" w:sz="0" w:space="0" w:color="auto"/>
          <w:shd w:val="clear" w:color="auto" w:fill="FFFFFF"/>
        </w:rPr>
        <w:t>年我国农村居民的生活水平低于城市居民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④1978</w:t>
      </w:r>
      <w:r>
        <w:rPr>
          <w:rFonts w:ascii="宋体" w:eastAsia="宋体" w:hAnsi="宋体" w:cs="宋体" w:hint="eastAsia"/>
          <w:sz w:val="28"/>
          <w:szCs w:val="28"/>
          <w:bdr w:val="none" w:sz="0" w:space="0" w:color="auto"/>
          <w:shd w:val="clear" w:color="auto" w:fill="FFFFFF"/>
        </w:rPr>
        <w:t>年到</w:t>
      </w:r>
      <w:r>
        <w:rPr>
          <w:rFonts w:ascii="Times New Roman" w:hAnsi="Times New Roman" w:cs="Times New Roman" w:hint="default"/>
          <w:sz w:val="28"/>
          <w:szCs w:val="28"/>
          <w:bdr w:val="none" w:sz="0" w:space="0" w:color="auto"/>
          <w:shd w:val="clear" w:color="auto" w:fill="FFFFFF"/>
        </w:rPr>
        <w:t>2022</w:t>
      </w:r>
      <w:r>
        <w:rPr>
          <w:rFonts w:ascii="宋体" w:eastAsia="宋体" w:hAnsi="宋体" w:cs="宋体" w:hint="eastAsia"/>
          <w:sz w:val="28"/>
          <w:szCs w:val="28"/>
          <w:bdr w:val="none" w:sz="0" w:space="0" w:color="auto"/>
          <w:shd w:val="clear" w:color="auto" w:fill="FFFFFF"/>
        </w:rPr>
        <w:t>年我国城乡居民食品消费支出呈下降的趋势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380" w:right="0"/>
        <w:textAlignment w:val="center"/>
        <w:rPr>
          <w:sz w:val="28"/>
          <w:szCs w:val="28"/>
        </w:rPr>
      </w:pPr>
      <w:r>
        <w:rPr>
          <w:rFonts w:ascii="Times New Roman" w:hAnsi="Times New Roman" w:cs="Times New Roman" w:hint="default"/>
          <w:sz w:val="28"/>
          <w:szCs w:val="28"/>
          <w:bdr w:val="none" w:sz="0" w:space="0" w:color="auto"/>
          <w:shd w:val="clear" w:color="auto" w:fill="FFFFFF"/>
        </w:rPr>
        <w:t>A</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①② B</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①④ C</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②③ D</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③④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r>
        <w:rPr>
          <w:rFonts w:ascii="Times New Roman" w:hAnsi="Times New Roman" w:cs="Times New Roman" w:hint="default"/>
          <w:sz w:val="28"/>
          <w:szCs w:val="28"/>
          <w:bdr w:val="none" w:sz="0" w:space="0" w:color="auto"/>
          <w:shd w:val="clear" w:color="auto" w:fill="FFFFFF"/>
        </w:rPr>
        <w:t>28</w:t>
      </w:r>
      <w:r>
        <w:rPr>
          <w:rFonts w:ascii="宋体" w:eastAsia="宋体" w:hAnsi="宋体" w:cs="宋体" w:hint="eastAsia"/>
          <w:sz w:val="28"/>
          <w:szCs w:val="28"/>
          <w:bdr w:val="none" w:sz="0" w:space="0" w:color="auto"/>
          <w:shd w:val="clear" w:color="auto" w:fill="FFFFFF"/>
        </w:rPr>
        <w:t>．</w:t>
      </w:r>
      <w:r>
        <w:rPr>
          <w:rFonts w:ascii="Times New Roman" w:hAnsi="Times New Roman" w:cs="Times New Roman" w:hint="default"/>
          <w:sz w:val="28"/>
          <w:szCs w:val="28"/>
          <w:bdr w:val="none" w:sz="0" w:space="0" w:color="auto"/>
          <w:shd w:val="clear" w:color="auto" w:fill="FFFFFF"/>
        </w:rPr>
        <w:t>2023</w:t>
      </w:r>
      <w:r>
        <w:rPr>
          <w:rFonts w:ascii="宋体" w:eastAsia="宋体" w:hAnsi="宋体" w:cs="宋体" w:hint="eastAsia"/>
          <w:sz w:val="28"/>
          <w:szCs w:val="28"/>
          <w:bdr w:val="none" w:sz="0" w:space="0" w:color="auto"/>
          <w:shd w:val="clear" w:color="auto" w:fill="FFFFFF"/>
        </w:rPr>
        <w:t>年</w:t>
      </w:r>
      <w:r>
        <w:rPr>
          <w:rFonts w:ascii="Times New Roman" w:hAnsi="Times New Roman" w:cs="Times New Roman" w:hint="default"/>
          <w:sz w:val="28"/>
          <w:szCs w:val="28"/>
          <w:bdr w:val="none" w:sz="0" w:space="0" w:color="auto"/>
          <w:shd w:val="clear" w:color="auto" w:fill="FFFFFF"/>
        </w:rPr>
        <w:t>7</w:t>
      </w:r>
      <w:r>
        <w:rPr>
          <w:rFonts w:ascii="宋体" w:eastAsia="宋体" w:hAnsi="宋体" w:cs="宋体" w:hint="eastAsia"/>
          <w:sz w:val="28"/>
          <w:szCs w:val="28"/>
          <w:bdr w:val="none" w:sz="0" w:space="0" w:color="auto"/>
          <w:shd w:val="clear" w:color="auto" w:fill="FFFFFF"/>
        </w:rPr>
        <w:t>月，国家医保局公布《</w:t>
      </w:r>
      <w:r>
        <w:rPr>
          <w:rFonts w:ascii="Times New Roman" w:hAnsi="Times New Roman" w:cs="Times New Roman" w:hint="default"/>
          <w:sz w:val="28"/>
          <w:szCs w:val="28"/>
          <w:bdr w:val="none" w:sz="0" w:space="0" w:color="auto"/>
          <w:shd w:val="clear" w:color="auto" w:fill="FFFFFF"/>
        </w:rPr>
        <w:t>2022</w:t>
      </w:r>
      <w:r>
        <w:rPr>
          <w:rFonts w:ascii="宋体" w:eastAsia="宋体" w:hAnsi="宋体" w:cs="宋体" w:hint="eastAsia"/>
          <w:sz w:val="28"/>
          <w:szCs w:val="28"/>
          <w:bdr w:val="none" w:sz="0" w:space="0" w:color="auto"/>
          <w:shd w:val="clear" w:color="auto" w:fill="FFFFFF"/>
        </w:rPr>
        <w:t>年全国医疗保障事业发展统计公报》显示，我国连续</w:t>
      </w:r>
      <w:r>
        <w:rPr>
          <w:rFonts w:ascii="Times New Roman" w:hAnsi="Times New Roman" w:cs="Times New Roman" w:hint="default"/>
          <w:sz w:val="28"/>
          <w:szCs w:val="28"/>
          <w:bdr w:val="none" w:sz="0" w:space="0" w:color="auto"/>
          <w:shd w:val="clear" w:color="auto" w:fill="FFFFFF"/>
        </w:rPr>
        <w:t>5</w:t>
      </w:r>
      <w:r>
        <w:rPr>
          <w:rFonts w:ascii="宋体" w:eastAsia="宋体" w:hAnsi="宋体" w:cs="宋体" w:hint="eastAsia"/>
          <w:sz w:val="28"/>
          <w:szCs w:val="28"/>
          <w:bdr w:val="none" w:sz="0" w:space="0" w:color="auto"/>
          <w:shd w:val="clear" w:color="auto" w:fill="FFFFFF"/>
        </w:rPr>
        <w:t>年开展医保药品目录准入谈判，累计将</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https://d.book118.com/445043202241011034</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360" w:afterAutospacing="0"/>
        <w:ind w:left="0" w:right="0"/>
        <w:textAlignment w:val="center"/>
        <w:rPr>
          <w:sz w:val="28"/>
          <w:szCs w:val="28"/>
        </w:rPr>
      </w:pPr>
    </w:p>
    <w:sectPr>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D21CD"/>
    <w:rsid w:val="165D21CD"/>
  </w:rsids>
  <w:docVars>
    <w:docVar w:name="commondata" w:val="eyJoZGlkIjoiOGQ4YWYyYzc5NDNlMDhmMmE4YjI3MjgwZmU2ZTZkNG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4504320224101103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啊媛</dc:creator>
  <cp:lastModifiedBy>啊媛</cp:lastModifiedBy>
  <cp:revision>1</cp:revision>
  <dcterms:created xsi:type="dcterms:W3CDTF">2024-01-05T05:17:00Z</dcterms:created>
  <dcterms:modified xsi:type="dcterms:W3CDTF">2024-01-05T05:19:07Z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CC4B7C52CA344484B5484A72CB2125E9_11</vt:lpwstr>
  </property>
  <property fmtid="{D5CDD505-2E9C-101B-9397-08002B2CF9AE}" pid="3" name="KSOProductBuildVer">
    <vt:lpwstr>2052-12.1.0.15990</vt:lpwstr>
  </property>
</Properties>
</file>