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会展物流项目可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2822475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)、会展物流项目总平面设计要求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、会展物流项目选址说明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一)、会展物流项目选址原则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(二)、会展物流项目选址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四、技术方案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二)、会展物流项目技术工艺分析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会展物流项目技术流程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五、会展物流项目可行性研究报告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二)、社会责任会展物流项目与计划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、会展物流项目风险分析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会展物流项目风险对策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2356194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九、进度计划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会展物流项目进度安排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290512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二)、会展物流项目实施保障措施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旨在规范和指导会展物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的实施过程。本方案的开展将包括会展物流项目的目的和背景、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3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展物流行业作为一个充满活力的领域，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19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着科技的迅猛发展，会展物流行业在技术上取得了显著的突破。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**会展物流行业**是一片充满活力的领域，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展物流行业市场规模庞大，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1" w:right="196" w:firstLine="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着科技的飞速发展，会展物流行业在技术上取得了显著的突破。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在会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物流项目的建筑工程设计过程中，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计原则，以确保会展物</w:t>
      </w:r>
      <w:r>
        <w:rPr>
          <w:rFonts w:ascii="FangSong" w:eastAsia="FangSong" w:hAnsi="FangSong" w:cs="FangSong"/>
          <w:spacing w:val="-3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220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2" w:right="14" w:firstLine="3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会展物流项目总平面设计要求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展物流项目总平面设计将充分考虑以下要求，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定，适应会展物流项目的实际使用需要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5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展物流项目所处地区的地质条件和地震风险，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结合会展物流项目的实际需求和环境条件，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筑工程的设计总体要求是确保会展物流项目实现预期功能、安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建筑的功能布局满足会展物流项目需求，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能够达到高标准，满足会展物流项目的长期发展需求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7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会展物流项目规划的总建筑面积为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展物流项目的功能布局和需求，确保各功能区域得到合理的利</w:t>
      </w:r>
      <w:r>
        <w:rPr>
          <w:rFonts w:ascii="FangSong" w:eastAsia="FangSong" w:hAnsi="FangSong" w:cs="FangSong"/>
          <w:spacing w:val="-1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会展物流项目总投资比例：</w:t>
      </w:r>
    </w:p>
    <w:p>
      <w:pPr>
        <w:sectPr>
          <w:pgSz w:w="11906" w:h="16839"/>
          <w:pgMar w:top="1431" w:right="1724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展物流项目总投资的比例为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未来会展物流项目运营的需求，同时避免了过度浪费。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会</w:t>
      </w:r>
      <w:r>
        <w:rPr>
          <w:rFonts w:ascii="FangSong" w:eastAsia="FangSong" w:hAnsi="FangSong" w:cs="FangSong"/>
          <w:spacing w:val="-7"/>
          <w:sz w:val="28"/>
          <w:szCs w:val="28"/>
        </w:rPr>
        <w:t>展物流项目整体布局：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使会展物流项目更好地适应当地的自然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三、会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展物流项目选址说明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、会展物流项目选址原则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1" w:line="416" w:lineRule="auto"/>
        <w:ind w:left="3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展物流项目选址必须与城乡建设总体规划保持一致，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确保会展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物</w:t>
      </w:r>
      <w:r>
        <w:rPr>
          <w:rFonts w:ascii="FangSong" w:eastAsia="FangSong" w:hAnsi="FangSong" w:cs="FangSong"/>
          <w:spacing w:val="-7"/>
          <w:sz w:val="28"/>
          <w:szCs w:val="28"/>
        </w:rPr>
        <w:t>流项目的发展与当地城市规划和政府规划相契合。通过与规划一致，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2" w:right="196" w:firstLine="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会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物流项目有望更好地融入城市发展大局，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越的交通条件是会展物流项目成功的关键因素之一。选址地应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会展物流项目建设阶段，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展物流项目建设的顺利进行。这有助于提高工程效率，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3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会展</w:t>
      </w:r>
      <w:r>
        <w:rPr>
          <w:rFonts w:ascii="FangSong" w:eastAsia="FangSong" w:hAnsi="FangSong" w:cs="FangSong"/>
          <w:spacing w:val="-6"/>
          <w:sz w:val="28"/>
          <w:szCs w:val="28"/>
        </w:rPr>
        <w:t>物</w:t>
      </w:r>
      <w:r>
        <w:rPr>
          <w:rFonts w:ascii="FangSong" w:eastAsia="FangSong" w:hAnsi="FangSong" w:cs="FangSong"/>
          <w:spacing w:val="-4"/>
          <w:sz w:val="28"/>
          <w:szCs w:val="28"/>
        </w:rPr>
        <w:t>流项目选址应与当地大气污染防治、水资源利用以及自然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相一致。我们将致力于在会展物流项目建设和运营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确保会展物流项目的可持续发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我们将有效平衡会展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在会展</w:t>
      </w:r>
      <w:r>
        <w:rPr>
          <w:rFonts w:ascii="FangSong" w:eastAsia="FangSong" w:hAnsi="FangSong" w:cs="FangSong"/>
          <w:spacing w:val="-2"/>
          <w:sz w:val="28"/>
          <w:szCs w:val="28"/>
        </w:rPr>
        <w:t>物流项目的实施过程中获得更多的理解和支持。</w:t>
      </w:r>
    </w:p>
    <w:p>
      <w:pPr>
        <w:spacing w:line="416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会展物流项目的长期成功和对社会的积极贡献。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(二)、会展物流项目选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选择会展物流项目的地理位置时，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销，为会展物流项目的顺利推进提供了有力支持。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优惠等方面的支持。这将显著减轻会展物流项目的财务压力，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为会展物流项目提供了丰富的合作机会，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境的保护。选址处有利于建设绿色、环保型的会展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物</w:t>
      </w:r>
      <w:r>
        <w:rPr>
          <w:rFonts w:ascii="FangSong" w:eastAsia="FangSong" w:hAnsi="FangSong" w:cs="FangSong"/>
          <w:spacing w:val="-3"/>
          <w:sz w:val="28"/>
          <w:szCs w:val="28"/>
        </w:rPr>
        <w:t>流项目，与当地的生态环境相协调。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2" w:right="10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术开发区被视为未来经济发展的重要增长点。会展物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流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为会展物流项目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在长远的未来奠定坚实基础。</w:t>
      </w:r>
    </w:p>
    <w:p>
      <w:pPr>
        <w:spacing w:before="3" w:line="414" w:lineRule="auto"/>
        <w:ind w:left="41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8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确保会展物流项目的建设与运营与当地发展规划相协调，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会展</w:t>
      </w:r>
      <w:r>
        <w:rPr>
          <w:rFonts w:ascii="FangSong" w:eastAsia="FangSong" w:hAnsi="FangSong" w:cs="FangSong"/>
          <w:spacing w:val="-5"/>
          <w:sz w:val="28"/>
          <w:szCs w:val="28"/>
        </w:rPr>
        <w:t>物</w:t>
      </w:r>
      <w:r>
        <w:rPr>
          <w:rFonts w:ascii="FangSong" w:eastAsia="FangSong" w:hAnsi="FangSong" w:cs="FangSong"/>
          <w:spacing w:val="-3"/>
          <w:sz w:val="28"/>
          <w:szCs w:val="28"/>
        </w:rPr>
        <w:t>流项目的成功提供全方位的支持。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展物流项目的成功实施不仅依赖于选址的地理位置，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会展物流项目的建设提供了必要的基础支持，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3" w:line="416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确保会展物流项目选址符合当地的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地规划要求。这有助于会展物流项目在合规范围内进行建设，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7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度地发挥土地的效益。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会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物流项目的用工提供了充足的保障，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方面的优惠政策。这为会展物流项目创造了更加宽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会展物流项目的过程中，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确保会展物流项目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展物流项目所在区域的安全设施完备，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全系统。这为会展物流项目的安全运行提供了可靠的支持，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416" w:lineRule="auto"/>
        <w:ind w:left="41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会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物流项目提供了明确的建设方向，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确保用地符合工业会展物流项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的规划和要求。</w:t>
      </w:r>
    </w:p>
    <w:p>
      <w:pPr>
        <w:spacing w:before="286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会展物流项目所在地区容积率和建筑密度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标。我们将确保会展物流项目建设在合理的容积率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和建筑密度范围内，以充分利用土地资源，提高会展物流项目效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2" w:right="5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途划分是用地控制的核心之一。根据会展物流项目的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保持会展物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我们将严格按照规定的利用年限进行会展物流项目建设和运营，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在会展物流项目建设完成后，我们将积极参与土地的复垦工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小会展物流项目对周边土地的影响。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我们将确保会展物流项目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4" w:line="417" w:lineRule="auto"/>
        <w:ind w:left="47" w:right="14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。这为会展物流项目提供了便捷的物流通道，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了会展物流项目的市场竞争力。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自然条件适宜。会展物流项目建设将充分利用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设施。会展物流项目将充分利用这些配套设施，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助于会</w:t>
      </w:r>
      <w:r>
        <w:rPr>
          <w:rFonts w:ascii="FangSong" w:eastAsia="FangSong" w:hAnsi="FangSong" w:cs="FangSong"/>
          <w:spacing w:val="-3"/>
          <w:sz w:val="28"/>
          <w:szCs w:val="28"/>
        </w:rPr>
        <w:t>展物流项目的稳定运营。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总体要求中还包括对环境的保护要求。会展物流项目将遵循当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6" w:right="196" w:hanging="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力于建设绿色、可持续的工业会展物流项目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会</w:t>
      </w:r>
      <w:r>
        <w:rPr>
          <w:rFonts w:ascii="FangSong" w:eastAsia="FangSong" w:hAnsi="FangSong" w:cs="FangSong"/>
          <w:spacing w:val="-7"/>
          <w:sz w:val="28"/>
          <w:szCs w:val="28"/>
        </w:rPr>
        <w:t>展物流项目将积极融入当地社区，与周边居民建立和谐的关系。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促进会展物流项目与当地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会展物流项目将在选址的基础上更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在会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物流项目选址的初步规划中，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2" w:line="411" w:lineRule="auto"/>
        <w:ind w:left="32" w:right="147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我们计划通过多功能空间规划来优化土地利用。在会展物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流项</w:t>
      </w:r>
      <w:r>
        <w:rPr>
          <w:rFonts w:ascii="FangSong" w:eastAsia="FangSong" w:hAnsi="FangSong" w:cs="FangSong"/>
          <w:spacing w:val="-2"/>
          <w:sz w:val="28"/>
          <w:szCs w:val="28"/>
        </w:rPr>
        <w:t>目内部，我们将合理规划各个功能区域，包括生产区、办公区、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筑的垂直利用率。这一措施有助于减小会展物流项目的占地面积，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5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1" w:right="102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展物流项目还将注重环境友好设计，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还有助于提高会展物流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共设施也是我们的设计理念之一。在会展物流项目内部建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我们致力于实现会展物流项目用地的经济高效利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展物流项目整体布置中，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，便于原材料运输和产品出货；办公区域靠近会展物流项目核心区，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沟通；休闲区和绿化区域分布在会展物流项目的角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4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确保了会展物流项目内外的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会展物流项目区域内设置了一系列公共设施，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4"/>
          <w:sz w:val="28"/>
          <w:szCs w:val="28"/>
        </w:rPr>
        <w:t>展物流项目总图中，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82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生产与办公是会展物流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运输和产品的高效配送。办公区则位于会展物流项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心区，方便管理层对整个会展物流项目的监控与决策。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2" w:right="82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在会展物流项目区域内分布绿化带和休闲区，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也为会展物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我们将环境保护区域规划在会展物流项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确保了会展物流项目整体的美观性。这一举措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使会展物流项目在生产的同时也能够实现对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这八个设计要点共同构成了会展物流项目总图布置方案的核心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保了会展物流项目在各个方面都能够取得良好的平衡，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该会展物流项目选址位于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会展物</w:t>
      </w:r>
      <w:r>
        <w:rPr>
          <w:rFonts w:ascii="FangSong" w:eastAsia="FangSong" w:hAnsi="FangSong" w:cs="FangSong"/>
          <w:spacing w:val="-3"/>
          <w:sz w:val="28"/>
          <w:szCs w:val="28"/>
        </w:rPr>
        <w:t>流项目的顺利启动和运营。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销售和员工的通勤。这为会展物流项目提供了便捷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6" w:lineRule="auto"/>
        <w:ind w:left="40" w:right="3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会展物流项目选址规划中特别考虑了环保</w:t>
      </w:r>
      <w:r>
        <w:rPr>
          <w:rFonts w:ascii="FangSong" w:eastAsia="FangSong" w:hAnsi="FangSong" w:cs="FangSong"/>
          <w:sz w:val="28"/>
          <w:szCs w:val="28"/>
        </w:rPr>
        <w:t>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有效减少对周边环境的负面影响。这表明了会展物流项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对环境保护的高度重视，符合可持续发展的战略目标。</w:t>
      </w:r>
    </w:p>
    <w:p>
      <w:pPr>
        <w:spacing w:before="288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3" w:right="17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会展物流项目选址的用地控制指标与相关</w:t>
      </w:r>
      <w:r>
        <w:rPr>
          <w:rFonts w:ascii="FangSong" w:eastAsia="FangSong" w:hAnsi="FangSong" w:cs="FangSong"/>
          <w:sz w:val="28"/>
          <w:szCs w:val="28"/>
        </w:rPr>
        <w:t>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也兼顾了用地的合理利用。这有助于会展物流项目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在会展物流项目选址周边进行了社区和周边环境的调查，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会展物流项目建设不会对周边社区造成过大的影响，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29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会展物流项目选址时，我们充分考虑</w:t>
      </w:r>
      <w:r>
        <w:rPr>
          <w:rFonts w:ascii="FangSong" w:eastAsia="FangSong" w:hAnsi="FangSong" w:cs="FangSong"/>
          <w:sz w:val="28"/>
          <w:szCs w:val="28"/>
        </w:rPr>
        <w:t>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确保会展物流项目的合法性和稳健性。对政府支持政策和法规的遵从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有助于会展物</w:t>
      </w:r>
      <w:r>
        <w:rPr>
          <w:rFonts w:ascii="FangSong" w:eastAsia="FangSong" w:hAnsi="FangSong" w:cs="FangSong"/>
          <w:spacing w:val="-2"/>
          <w:sz w:val="28"/>
          <w:szCs w:val="28"/>
        </w:rPr>
        <w:t>流项目在当地获得更多支持。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综合考虑会展物流项目选址的各项因素，我们认为该选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望为会展物流项目带来更多的发展机遇。与周边的产业和社会环境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址将有助于会展物流项目实现可持续发展。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我们可以得出该会展物流项目选址的合理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和可行性，为会展物流项目的后续规划和实施提供了坚实的基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(二)、会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展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物流项目技术工艺分析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提供优质产品和服务。保障工艺流程能够满足会展物流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41" w:righ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会展物流项目建设贯彻“三同时”的原则，注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展物流项目拟采用国内成熟的生产工艺，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4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会展</w:t>
      </w:r>
      <w:r>
        <w:rPr>
          <w:rFonts w:ascii="FangSong" w:eastAsia="FangSong" w:hAnsi="FangSong" w:cs="FangSong"/>
          <w:spacing w:val="-6"/>
          <w:sz w:val="28"/>
          <w:szCs w:val="28"/>
        </w:rPr>
        <w:t>物</w:t>
      </w:r>
      <w:r>
        <w:rPr>
          <w:rFonts w:ascii="FangSong" w:eastAsia="FangSong" w:hAnsi="FangSong" w:cs="FangSong"/>
          <w:spacing w:val="-4"/>
          <w:sz w:val="28"/>
          <w:szCs w:val="28"/>
        </w:rPr>
        <w:t>流项目的技术保障措施从设计、施工、试运行到投产、销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以确保会展物流项目在技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将确保会展物</w:t>
      </w:r>
      <w:r>
        <w:rPr>
          <w:rFonts w:ascii="FangSong" w:eastAsia="FangSong" w:hAnsi="FangSong" w:cs="FangSong"/>
          <w:spacing w:val="-3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三)、会展物流项目技术流程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50" w:bottom="0" w:left="1785" w:header="0" w:footer="0" w:gutter="0"/>
          <w:pgNumType w:start="27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6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在会展物流项目运营中，进行技术持续改进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417" w:lineRule="auto"/>
        <w:ind w:left="1157" w:right="2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分析工具监测和分析会展物流项目各环节数据。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https://d.book118.com/445142201324011122</w:t>
        </w:r>
      </w:hyperlink>
    </w:p>
    <w:p/>
    <w:sectPr>
      <w:pgSz w:w="11906" w:h="16839"/>
      <w:pgMar w:top="1431" w:right="1785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45142201324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2024-03-14T07:54:56Z</vt:filetime>
  </property>
  <property fmtid="{D5CDD505-2E9C-101B-9397-08002B2CF9AE}" pid="3" name="CRO">
    <vt:lpwstr>wqlLaW5nc29mdCBQREYgdG8gV1BTIDgw</vt:lpwstr>
  </property>
</Properties>
</file>