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水产加工品行业相关公司筹备报告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_Toc28267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7" w:history="1">
        <w:r>
          <w:rPr>
            <w:rFonts w:ascii="仿宋" w:eastAsia="仿宋" w:hAnsi="仿宋" w:cs="仿宋" w:hint="eastAsia"/>
            <w:lang w:eastAsia="zh-CN"/>
          </w:rPr>
          <w:t>(七)、水产加工品项目建设必要性分析</w:t>
        </w:r>
        <w:r>
          <w:tab/>
        </w:r>
        <w:r>
          <w:fldChar w:fldCharType="begin"/>
        </w:r>
        <w:r>
          <w:instrText xml:space="preserve"> PAGEREF _Toc16177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_Toc12332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四、水产加工品项目概况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3" w:history="1">
        <w:r>
          <w:rPr>
            <w:rFonts w:ascii="仿宋" w:eastAsia="仿宋" w:hAnsi="仿宋" w:cs="仿宋" w:hint="eastAsia"/>
            <w:lang w:eastAsia="zh-CN"/>
          </w:rPr>
          <w:t>(二)、水产加工品项目提出的理由</w:t>
        </w:r>
        <w:r>
          <w:tab/>
        </w:r>
        <w:r>
          <w:fldChar w:fldCharType="begin"/>
        </w:r>
        <w:r>
          <w:instrText xml:space="preserve"> PAGEREF _Toc23743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(三)、水产加工品项目选址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_Toc24799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(六)、水产加工品项目投资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(七)、水产加工品项目进度规划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(九)、水产加工品项目综合评价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六、水产加工品项目经济效益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(三)、水产加工品项目盈利能力分析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(五)、水产加工品项目总投资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_Toc26575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(一)、水产加工品项目进度安排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(二)、水产加工品项目实施保障措施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_Toc10282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_Toc24416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十四、水产加工品项目总结分析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9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https://d.book118.com/445233330332011043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水产加工品行业相关公司筹备报告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水产加工品行业相关公司筹备报告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水产加工品行业相关公司筹备报告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水产加工品行业相关公司筹备报告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水产加工品行业相关公司筹备报告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233330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2023-12-29T07:15:00Z</dcterms:created>
  <dcterms:modified xsi:type="dcterms:W3CDTF">2023-12-29T07:15:43Z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317F548596F44285BD1F4D8EE3D03CCB_11</vt:lpwstr>
  </property>
  <property fmtid="{D5CDD505-2E9C-101B-9397-08002B2CF9AE}" pid="3" name="KSOProductBuildVer">
    <vt:lpwstr>2052-12.1.0.16120</vt:lpwstr>
  </property>
</Properties>
</file>