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1"/>
        </w:rPr>
      </w:pPr>
    </w:p>
    <w:p>
      <w:pPr>
        <w:spacing w:before="9" w:line="223" w:lineRule="auto"/>
        <w:ind w:left="2280" w:right="2941" w:firstLine="0"/>
        <w:jc w:val="center"/>
        <w:rPr>
          <w:b/>
          <w:sz w:val="54"/>
        </w:rPr>
      </w:pPr>
      <w:r>
        <w:rPr>
          <w:b/>
          <w:sz w:val="54"/>
        </w:rPr>
        <w:t>国道 107 线郑州境东移（一期）改建工程G107DY-4 标段</w:t>
      </w:r>
    </w:p>
    <w:p>
      <w:pPr>
        <w:pStyle w:val="BodyText"/>
        <w:rPr>
          <w:b/>
          <w:sz w:val="70"/>
        </w:rPr>
      </w:pPr>
    </w:p>
    <w:p>
      <w:pPr>
        <w:pStyle w:val="BodyText"/>
        <w:rPr>
          <w:b/>
          <w:sz w:val="70"/>
        </w:rPr>
      </w:pPr>
    </w:p>
    <w:p>
      <w:pPr>
        <w:pStyle w:val="BodyText"/>
        <w:rPr>
          <w:b/>
          <w:sz w:val="70"/>
        </w:rPr>
      </w:pPr>
    </w:p>
    <w:p>
      <w:pPr>
        <w:pStyle w:val="BodyText"/>
        <w:rPr>
          <w:b/>
          <w:sz w:val="70"/>
        </w:rPr>
      </w:pPr>
    </w:p>
    <w:p>
      <w:pPr>
        <w:pStyle w:val="BodyText"/>
        <w:rPr>
          <w:b/>
          <w:sz w:val="70"/>
        </w:rPr>
      </w:pPr>
    </w:p>
    <w:p>
      <w:pPr>
        <w:pStyle w:val="BodyText"/>
        <w:spacing w:before="3"/>
        <w:rPr>
          <w:b/>
          <w:sz w:val="70"/>
        </w:rPr>
      </w:pPr>
    </w:p>
    <w:p>
      <w:pPr>
        <w:spacing w:before="0"/>
        <w:ind w:left="2258" w:right="2941" w:firstLine="0"/>
        <w:jc w:val="center"/>
        <w:rPr>
          <w:b/>
          <w:sz w:val="66"/>
        </w:rPr>
      </w:pPr>
      <w:r>
        <w:rPr>
          <w:b/>
          <w:sz w:val="66"/>
        </w:rPr>
        <w:t>水泥稳定碎石施工技术方案</w:t>
      </w:r>
    </w:p>
    <w:p>
      <w:pPr>
        <w:spacing w:after="0"/>
        <w:jc w:val="center"/>
        <w:rPr>
          <w:sz w:val="66"/>
        </w:rPr>
        <w:sectPr>
          <w:headerReference w:type="default" r:id="rId4"/>
          <w:footerReference w:type="default" r:id="rId5"/>
          <w:type w:val="continuous"/>
          <w:pgSz w:w="17860" w:h="25260"/>
          <w:pgMar w:top="1340" w:right="1000" w:bottom="2020" w:left="1660" w:header="1088" w:footer="1831"/>
          <w:cols w:space="708"/>
        </w:sectPr>
      </w:pPr>
    </w:p>
    <w:p>
      <w:pPr>
        <w:pStyle w:val="BodyText"/>
        <w:rPr>
          <w:b/>
          <w:sz w:val="20"/>
        </w:rPr>
      </w:pPr>
    </w:p>
    <w:p>
      <w:pPr>
        <w:pStyle w:val="BodyText"/>
        <w:rPr>
          <w:b/>
          <w:sz w:val="20"/>
        </w:rPr>
      </w:pPr>
    </w:p>
    <w:p>
      <w:pPr>
        <w:pStyle w:val="BodyText"/>
        <w:spacing w:before="15"/>
        <w:rPr>
          <w:b/>
          <w:sz w:val="16"/>
        </w:rPr>
      </w:pPr>
    </w:p>
    <w:p>
      <w:pPr>
        <w:spacing w:before="0" w:line="812" w:lineRule="exact"/>
        <w:ind w:left="2278" w:right="2941" w:firstLine="0"/>
        <w:jc w:val="center"/>
        <w:rPr>
          <w:sz w:val="45"/>
        </w:rPr>
      </w:pPr>
      <w:r>
        <w:rPr>
          <w:sz w:val="45"/>
        </w:rPr>
        <w:t>河南省路桥建设集团有限公司</w:t>
      </w:r>
    </w:p>
    <w:p>
      <w:pPr>
        <w:spacing w:before="329" w:line="336" w:lineRule="auto"/>
        <w:ind w:left="3160" w:right="3824" w:firstLine="0"/>
        <w:jc w:val="center"/>
        <w:rPr>
          <w:sz w:val="45"/>
        </w:rPr>
      </w:pPr>
      <w:r>
        <w:rPr>
          <w:spacing w:val="-8"/>
          <w:sz w:val="45"/>
        </w:rPr>
        <w:t xml:space="preserve">国道 </w:t>
      </w:r>
      <w:r>
        <w:rPr>
          <w:sz w:val="45"/>
        </w:rPr>
        <w:t>107</w:t>
      </w:r>
      <w:r>
        <w:rPr>
          <w:spacing w:val="-5"/>
          <w:sz w:val="45"/>
        </w:rPr>
        <w:t xml:space="preserve"> 线郑州境东移</w:t>
      </w:r>
      <w:r>
        <w:rPr>
          <w:sz w:val="45"/>
        </w:rPr>
        <w:t>（一期）</w:t>
      </w:r>
      <w:r>
        <w:rPr>
          <w:spacing w:val="-4"/>
          <w:sz w:val="45"/>
        </w:rPr>
        <w:t>改建工程</w:t>
      </w:r>
      <w:r>
        <w:rPr>
          <w:sz w:val="45"/>
        </w:rPr>
        <w:t>G107DY-4</w:t>
      </w:r>
      <w:r>
        <w:rPr>
          <w:spacing w:val="-5"/>
          <w:sz w:val="45"/>
        </w:rPr>
        <w:t xml:space="preserve"> 标段项目经理部</w:t>
      </w:r>
    </w:p>
    <w:p>
      <w:pPr>
        <w:spacing w:before="0" w:line="822" w:lineRule="exact"/>
        <w:ind w:left="2280" w:right="2937" w:firstLine="0"/>
        <w:jc w:val="center"/>
        <w:rPr>
          <w:sz w:val="45"/>
        </w:rPr>
      </w:pPr>
      <w:r>
        <w:rPr>
          <w:sz w:val="45"/>
        </w:rPr>
        <w:t>2017 年 06 月 12 日</w:t>
      </w:r>
    </w:p>
    <w:p>
      <w:pPr>
        <w:pStyle w:val="BodyText"/>
        <w:rPr>
          <w:sz w:val="58"/>
        </w:rPr>
      </w:pPr>
    </w:p>
    <w:p>
      <w:pPr>
        <w:pStyle w:val="BodyText"/>
        <w:rPr>
          <w:sz w:val="58"/>
        </w:rPr>
      </w:pPr>
    </w:p>
    <w:p>
      <w:pPr>
        <w:pStyle w:val="BodyText"/>
        <w:spacing w:before="5"/>
        <w:rPr>
          <w:sz w:val="86"/>
        </w:rPr>
      </w:pPr>
    </w:p>
    <w:p>
      <w:pPr>
        <w:pStyle w:val="Title"/>
        <w:tabs>
          <w:tab w:val="left" w:pos="1439"/>
        </w:tabs>
      </w:pPr>
      <w:r>
        <w:t>目</w:t>
        <w:tab/>
        <w:t>录</w:t>
      </w:r>
    </w:p>
    <w:p>
      <w:pPr>
        <w:pStyle w:val="BodyText"/>
        <w:spacing w:before="8"/>
        <w:rPr>
          <w:b/>
          <w:sz w:val="10"/>
        </w:rPr>
      </w:pPr>
      <w:r>
        <w:pict>
          <v:shape id="_x0000_s1025" style="width:110pt;height:0.1pt;margin-top:12.59pt;margin-left:392pt;mso-position-horizontal-relative:page;mso-wrap-distance-left:0;mso-wrap-distance-right:0;position:absolute;z-index:-251658240" coordorigin="7840,252" coordsize="2200,0" path="m7840,252l10040,252e" filled="f" stroked="t" strokecolor="black" strokeweight="2pt">
            <v:stroke dashstyle="longDash"/>
            <v:path arrowok="t"/>
            <w10:wrap type="topAndBottom"/>
          </v:shape>
        </w:pict>
      </w:r>
    </w:p>
    <w:p>
      <w:pPr>
        <w:spacing w:after="0"/>
        <w:rPr>
          <w:sz w:val="10"/>
        </w:rPr>
        <w:sectPr>
          <w:headerReference w:type="default" r:id="rId6"/>
          <w:footerReference w:type="default" r:id="rId7"/>
          <w:pgSz w:w="17860" w:h="25260"/>
          <w:pgMar w:top="1400" w:right="1000" w:bottom="3412" w:left="1660" w:header="1088" w:footer="1831"/>
          <w:pgNumType w:start="2"/>
          <w:cols w:space="708"/>
        </w:sectPr>
      </w:pPr>
    </w:p>
    <w:sdt>
      <w:sdtPr>
        <w:id w:val="1658321921"/>
        <w:docPartObj>
          <w:docPartGallery w:val="Table of Contents"/>
          <w:docPartUnique/>
        </w:docPartObj>
      </w:sdtPr>
      <w:sdtContent>
        <w:p>
          <w:pPr>
            <w:pStyle w:val="TOC1"/>
            <w:tabs>
              <w:tab w:val="left" w:pos="1735"/>
              <w:tab w:val="right" w:leader="dot" w:pos="14242"/>
            </w:tabs>
            <w:spacing w:before="733"/>
          </w:pPr>
          <w:r>
            <w:fldChar w:fldCharType="begin"/>
          </w:r>
          <w:r>
            <w:instrText xml:space="preserve">TOC \o "1-2" \h \z \u </w:instrText>
          </w:r>
          <w:r>
            <w:fldChar w:fldCharType="separate"/>
          </w:r>
          <w:hyperlink w:anchor="_TOC_250024" w:history="1">
            <w:r>
              <w:t>第一章</w:t>
              <w:tab/>
              <w:t>工程概况</w:t>
              <w:tab/>
              <w:t>4</w:t>
            </w:r>
          </w:hyperlink>
        </w:p>
        <w:p>
          <w:pPr>
            <w:pStyle w:val="TOC2"/>
            <w:tabs>
              <w:tab w:val="right" w:leader="dot" w:pos="14242"/>
            </w:tabs>
            <w:spacing w:before="265"/>
          </w:pPr>
          <w:hyperlink w:anchor="_TOC_250023" w:history="1">
            <w:r>
              <w:t>一、工程概况</w:t>
              <w:tab/>
              <w:t>4</w:t>
            </w:r>
          </w:hyperlink>
        </w:p>
        <w:p>
          <w:pPr>
            <w:pStyle w:val="TOC2"/>
            <w:tabs>
              <w:tab w:val="right" w:leader="dot" w:pos="14242"/>
            </w:tabs>
          </w:pPr>
          <w:hyperlink w:anchor="_TOC_250022" w:history="1">
            <w:r>
              <w:t>二、主要材料</w:t>
              <w:tab/>
              <w:t>4</w:t>
            </w:r>
          </w:hyperlink>
        </w:p>
        <w:p>
          <w:pPr>
            <w:pStyle w:val="TOC2"/>
            <w:tabs>
              <w:tab w:val="right" w:leader="dot" w:pos="14242"/>
            </w:tabs>
          </w:pPr>
          <w:hyperlink w:anchor="_TOC_250021" w:history="1">
            <w:r>
              <w:t>三、技术标准</w:t>
              <w:tab/>
              <w:t>5</w:t>
            </w:r>
          </w:hyperlink>
        </w:p>
        <w:p>
          <w:pPr>
            <w:pStyle w:val="TOC1"/>
            <w:tabs>
              <w:tab w:val="left" w:pos="1735"/>
              <w:tab w:val="right" w:leader="dot" w:pos="14242"/>
            </w:tabs>
            <w:spacing w:before="265"/>
          </w:pPr>
          <w:hyperlink w:anchor="_TOC_250020" w:history="1">
            <w:r>
              <w:t>第二章</w:t>
              <w:tab/>
              <w:t>编制依据</w:t>
              <w:tab/>
              <w:t>5</w:t>
            </w:r>
          </w:hyperlink>
        </w:p>
        <w:p>
          <w:pPr>
            <w:pStyle w:val="TOC1"/>
            <w:tabs>
              <w:tab w:val="right" w:leader="dot" w:pos="14242"/>
            </w:tabs>
            <w:spacing w:before="261"/>
          </w:pPr>
          <w:hyperlink w:anchor="_TOC_250019" w:history="1">
            <w:r>
              <w:t>第三章</w:t>
            </w:r>
            <w:r>
              <w:rPr>
                <w:spacing w:val="72"/>
              </w:rPr>
              <w:t xml:space="preserve"> </w:t>
            </w:r>
            <w:r>
              <w:t>施工准备、总体规划</w:t>
              <w:tab/>
              <w:t>6</w:t>
            </w:r>
          </w:hyperlink>
        </w:p>
        <w:p>
          <w:pPr>
            <w:pStyle w:val="TOC2"/>
            <w:tabs>
              <w:tab w:val="right" w:leader="dot" w:pos="14242"/>
            </w:tabs>
            <w:spacing w:before="263"/>
          </w:pPr>
          <w:hyperlink w:anchor="_TOC_250018" w:history="1">
            <w:r>
              <w:t>一、施工准备工作：</w:t>
              <w:tab/>
              <w:t>6</w:t>
            </w:r>
          </w:hyperlink>
        </w:p>
        <w:p>
          <w:pPr>
            <w:pStyle w:val="TOC2"/>
            <w:tabs>
              <w:tab w:val="right" w:leader="dot" w:pos="14242"/>
            </w:tabs>
          </w:pPr>
          <w:hyperlink w:anchor="_TOC_250017" w:history="1">
            <w:r>
              <w:t>二、施工总体规划：</w:t>
              <w:tab/>
              <w:t>7</w:t>
            </w:r>
          </w:hyperlink>
        </w:p>
        <w:p>
          <w:pPr>
            <w:pStyle w:val="TOC1"/>
            <w:tabs>
              <w:tab w:val="left" w:pos="1735"/>
              <w:tab w:val="right" w:leader="dot" w:pos="14242"/>
            </w:tabs>
            <w:spacing w:before="265"/>
          </w:pPr>
          <w:hyperlink w:anchor="_TOC_250016" w:history="1">
            <w:r>
              <w:t>第四章</w:t>
              <w:tab/>
              <w:t>施工方案</w:t>
              <w:tab/>
              <w:t>7</w:t>
            </w:r>
          </w:hyperlink>
        </w:p>
        <w:p>
          <w:pPr>
            <w:pStyle w:val="TOC2"/>
            <w:tabs>
              <w:tab w:val="right" w:leader="dot" w:pos="14242"/>
            </w:tabs>
            <w:spacing w:after="20"/>
          </w:pPr>
          <w:hyperlink w:anchor="_TOC_250015" w:history="1">
            <w:r>
              <w:t>一、试验段</w:t>
              <w:tab/>
              <w:t>7</w:t>
            </w:r>
          </w:hyperlink>
        </w:p>
        <w:p>
          <w:pPr>
            <w:pStyle w:val="TOC2"/>
            <w:tabs>
              <w:tab w:val="right" w:leader="dot" w:pos="14242"/>
            </w:tabs>
            <w:spacing w:before="357"/>
            <w:sectPr>
              <w:headerReference w:type="default" r:id="rId8"/>
              <w:footerReference w:type="default" r:id="rId9"/>
              <w:type w:val="continuous"/>
              <w:pgSz w:w="17860" w:h="25260"/>
              <w:pgMar w:top="1403" w:right="1000" w:bottom="3412" w:left="1660" w:header="708" w:footer="708"/>
              <w:pgNumType w:start="3"/>
              <w:cols w:space="708"/>
            </w:sectPr>
          </w:pPr>
          <w:hyperlink w:anchor="_TOC_250014" w:history="1">
            <w:r>
              <w:t>二、主要施工工艺：</w:t>
              <w:tab/>
              <w:t>8</w:t>
            </w:r>
          </w:hyperlink>
        </w:p>
      </w:sdtContent>
    </w:sdt>
    <w:sdt>
      <w:sdtPr>
        <w:id w:val="291263753"/>
        <w:docPartObj>
          <w:docPartGallery w:val="Table of Contents"/>
          <w:docPartUnique/>
        </w:docPartObj>
      </w:sdtPr>
      <w:sdtContent>
        <w:p>
          <w:pPr>
            <w:pStyle w:val="TOC1"/>
            <w:tabs>
              <w:tab w:val="left" w:pos="1735"/>
              <w:tab w:val="right" w:leader="dot" w:pos="14246"/>
            </w:tabs>
            <w:spacing w:before="263"/>
          </w:pPr>
          <w:hyperlink w:anchor="_TOC_250013" w:history="1">
            <w:r>
              <w:t>第五章</w:t>
              <w:tab/>
              <w:t>施工进度计划及进度计划保证措施</w:t>
              <w:tab/>
              <w:t>12</w:t>
            </w:r>
          </w:hyperlink>
        </w:p>
        <w:p>
          <w:pPr>
            <w:pStyle w:val="TOC2"/>
            <w:tabs>
              <w:tab w:val="right" w:leader="dot" w:pos="14246"/>
            </w:tabs>
            <w:spacing w:before="265"/>
          </w:pPr>
          <w:hyperlink w:anchor="_TOC_250012" w:history="1">
            <w:r>
              <w:t>一、施工进度安排：</w:t>
              <w:tab/>
              <w:t>12</w:t>
            </w:r>
          </w:hyperlink>
        </w:p>
        <w:p>
          <w:pPr>
            <w:pStyle w:val="TOC2"/>
            <w:tabs>
              <w:tab w:val="right" w:leader="dot" w:pos="14246"/>
            </w:tabs>
            <w:spacing w:before="261"/>
          </w:pPr>
          <w:hyperlink w:anchor="_TOC_250011" w:history="1">
            <w:r>
              <w:t>二、确保工期的措施：</w:t>
              <w:tab/>
              <w:t>12</w:t>
            </w:r>
          </w:hyperlink>
        </w:p>
        <w:p>
          <w:pPr>
            <w:pStyle w:val="TOC1"/>
            <w:tabs>
              <w:tab w:val="left" w:pos="1735"/>
              <w:tab w:val="right" w:leader="dot" w:pos="14246"/>
            </w:tabs>
          </w:pPr>
          <w:hyperlink w:anchor="_TOC_250010" w:history="1">
            <w:r>
              <w:t>第六章</w:t>
              <w:tab/>
              <w:t>工程质量、安全、环境保证措施</w:t>
              <w:tab/>
              <w:t>13</w:t>
            </w:r>
          </w:hyperlink>
        </w:p>
        <w:p>
          <w:pPr>
            <w:pStyle w:val="TOC2"/>
            <w:tabs>
              <w:tab w:val="right" w:leader="dot" w:pos="14246"/>
            </w:tabs>
          </w:pPr>
          <w:hyperlink w:anchor="_TOC_250009" w:history="1">
            <w:r>
              <w:t>一、确保工程质量的措施</w:t>
              <w:tab/>
              <w:t>13</w:t>
            </w:r>
          </w:hyperlink>
        </w:p>
        <w:p>
          <w:pPr>
            <w:pStyle w:val="TOC2"/>
            <w:tabs>
              <w:tab w:val="right" w:leader="dot" w:pos="14246"/>
            </w:tabs>
            <w:spacing w:before="266"/>
          </w:pPr>
          <w:hyperlink w:anchor="_TOC_250008" w:history="1">
            <w:r>
              <w:t>二、确保施工安全的措施：</w:t>
              <w:tab/>
              <w:t>16</w:t>
            </w:r>
          </w:hyperlink>
        </w:p>
        <w:p>
          <w:pPr>
            <w:pStyle w:val="TOC2"/>
            <w:tabs>
              <w:tab w:val="right" w:leader="dot" w:pos="14246"/>
            </w:tabs>
            <w:spacing w:before="261"/>
          </w:pPr>
          <w:hyperlink w:anchor="_TOC_250007" w:history="1">
            <w:r>
              <w:t>三、确保环境保护的措施：</w:t>
              <w:tab/>
              <w:t>17</w:t>
            </w:r>
          </w:hyperlink>
        </w:p>
        <w:p>
          <w:pPr>
            <w:pStyle w:val="TOC1"/>
            <w:tabs>
              <w:tab w:val="left" w:pos="1735"/>
              <w:tab w:val="right" w:leader="dot" w:pos="14246"/>
            </w:tabs>
          </w:pPr>
          <w:hyperlink w:anchor="_TOC_250006" w:history="1">
            <w:r>
              <w:t>第七章</w:t>
              <w:tab/>
              <w:t>雨季、高温、冬季施工措施</w:t>
              <w:tab/>
              <w:t>17</w:t>
            </w:r>
          </w:hyperlink>
        </w:p>
        <w:p>
          <w:pPr>
            <w:pStyle w:val="TOC2"/>
            <w:tabs>
              <w:tab w:val="right" w:leader="dot" w:pos="14246"/>
            </w:tabs>
            <w:spacing w:before="265"/>
          </w:pPr>
          <w:hyperlink w:anchor="_TOC_250005" w:history="1">
            <w:r>
              <w:t>一、雨季施工措施：</w:t>
              <w:tab/>
              <w:t>17</w:t>
            </w:r>
          </w:hyperlink>
        </w:p>
        <w:p>
          <w:pPr>
            <w:pStyle w:val="TOC2"/>
            <w:tabs>
              <w:tab w:val="right" w:leader="dot" w:pos="14246"/>
            </w:tabs>
          </w:pPr>
          <w:hyperlink w:anchor="_TOC_250004" w:history="1">
            <w:r>
              <w:t>二、高温季节施工措施</w:t>
              <w:tab/>
              <w:t>19</w:t>
            </w:r>
          </w:hyperlink>
        </w:p>
        <w:p>
          <w:pPr>
            <w:pStyle w:val="TOC2"/>
            <w:tabs>
              <w:tab w:val="right" w:leader="dot" w:pos="14246"/>
            </w:tabs>
            <w:spacing w:before="261"/>
          </w:pPr>
          <w:hyperlink w:anchor="_TOC_250003" w:history="1">
            <w:r>
              <w:t>三、冬季施工措施</w:t>
              <w:tab/>
              <w:t>19</w:t>
            </w:r>
          </w:hyperlink>
        </w:p>
        <w:p>
          <w:pPr>
            <w:pStyle w:val="TOC1"/>
            <w:tabs>
              <w:tab w:val="left" w:pos="1735"/>
              <w:tab w:val="right" w:leader="dot" w:pos="14246"/>
            </w:tabs>
            <w:spacing w:before="266"/>
          </w:pPr>
          <w:hyperlink w:anchor="_TOC_250002" w:history="1">
            <w:r>
              <w:t>第八章</w:t>
              <w:tab/>
              <w:t>人员、机械设备投入计划</w:t>
              <w:tab/>
              <w:t>21</w:t>
            </w:r>
          </w:hyperlink>
        </w:p>
        <w:p>
          <w:pPr>
            <w:pStyle w:val="TOC2"/>
            <w:tabs>
              <w:tab w:val="right" w:leader="dot" w:pos="14246"/>
            </w:tabs>
          </w:pPr>
          <w:hyperlink w:anchor="_TOC_250001" w:history="1">
            <w:r>
              <w:t>一、人员安排计划</w:t>
              <w:tab/>
              <w:t>21</w:t>
            </w:r>
          </w:hyperlink>
        </w:p>
        <w:p>
          <w:pPr>
            <w:pStyle w:val="TOC2"/>
            <w:tabs>
              <w:tab w:val="right" w:leader="dot" w:pos="14246"/>
            </w:tabs>
          </w:pPr>
          <w:hyperlink w:anchor="_TOC_250000" w:history="1">
            <w:r>
              <w:t>二、拟投入的主要机械表</w:t>
              <w:tab/>
              <w:t>23</w:t>
            </w:r>
          </w:hyperlink>
        </w:p>
        <w:p>
          <w:r>
            <w:fldChar w:fldCharType="end"/>
          </w:r>
        </w:p>
      </w:sdtContent>
    </w:sdt>
    <w:p>
      <w:pPr>
        <w:spacing w:after="0"/>
        <w:sectPr>
          <w:headerReference w:type="default" r:id="rId10"/>
          <w:footerReference w:type="default" r:id="rId11"/>
          <w:type w:val="nextPage"/>
          <w:pgSz w:w="17860" w:h="25260"/>
          <w:pgMar w:top="1403" w:right="1000" w:bottom="3412" w:left="1660" w:header="708" w:footer="708"/>
          <w:pgNumType w:start="4"/>
          <w:cols w:space="708"/>
          <w:titlePg w:val="0"/>
        </w:sectPr>
      </w:pPr>
    </w:p>
    <w:p>
      <w:pPr>
        <w:pStyle w:val="BodyText"/>
        <w:spacing w:line="42" w:lineRule="exact"/>
        <w:ind w:left="240"/>
        <w:rPr>
          <w:sz w:val="4"/>
        </w:rPr>
      </w:pPr>
      <w:r>
        <w:rPr>
          <w:position w:val="0"/>
          <w:sz w:val="4"/>
        </w:rPr>
        <w:drawing>
          <wp:inline distT="0" distB="0" distL="0" distR="0">
            <wp:extent cx="8913143" cy="26860"/>
            <wp:effectExtent l="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2" cstate="print"/>
                    <a:stretch>
                      <a:fillRect/>
                    </a:stretch>
                  </pic:blipFill>
                  <pic:spPr>
                    <a:xfrm>
                      <a:off x="0" y="0"/>
                      <a:ext cx="8913143" cy="26860"/>
                    </a:xfrm>
                    <a:prstGeom prst="rect">
                      <a:avLst/>
                    </a:prstGeom>
                  </pic:spPr>
                </pic:pic>
              </a:graphicData>
            </a:graphic>
          </wp:inline>
        </w:drawing>
      </w:r>
    </w:p>
    <w:p>
      <w:pPr>
        <w:pStyle w:val="Heading1"/>
        <w:tabs>
          <w:tab w:val="left" w:pos="1918"/>
        </w:tabs>
        <w:spacing w:before="225"/>
      </w:pPr>
      <w:bookmarkStart w:id="0" w:name="_TOC_250024"/>
      <w:bookmarkEnd w:id="0"/>
      <w:r>
        <w:t>第一章</w:t>
        <w:tab/>
        <w:t>工程概况</w:t>
      </w:r>
    </w:p>
    <w:p>
      <w:pPr>
        <w:pStyle w:val="BodyText"/>
        <w:spacing w:before="2"/>
        <w:rPr>
          <w:b/>
          <w:sz w:val="81"/>
        </w:rPr>
      </w:pPr>
    </w:p>
    <w:p>
      <w:pPr>
        <w:pStyle w:val="Heading2"/>
      </w:pPr>
      <w:bookmarkStart w:id="1" w:name="_TOC_250023"/>
      <w:bookmarkEnd w:id="1"/>
      <w:r>
        <w:t>一、工程概况</w:t>
      </w:r>
    </w:p>
    <w:p>
      <w:pPr>
        <w:pStyle w:val="BodyText"/>
        <w:spacing w:before="306" w:line="336" w:lineRule="auto"/>
        <w:ind w:left="295" w:right="943" w:firstLine="838"/>
        <w:jc w:val="both"/>
      </w:pPr>
      <w:r>
        <w:rPr>
          <w:spacing w:val="-3"/>
        </w:rPr>
        <w:t xml:space="preserve">本工程项目为国道 </w:t>
      </w:r>
      <w:r>
        <w:t>107</w:t>
      </w:r>
      <w:r>
        <w:rPr>
          <w:spacing w:val="-18"/>
        </w:rPr>
        <w:t xml:space="preserve"> 线郑州境东移</w:t>
      </w:r>
      <w:r>
        <w:t>（一期</w:t>
      </w:r>
      <w:r>
        <w:rPr>
          <w:spacing w:val="-94"/>
        </w:rPr>
        <w:t>）</w:t>
      </w:r>
      <w:r>
        <w:rPr>
          <w:spacing w:val="-4"/>
        </w:rPr>
        <w:t xml:space="preserve">改建工程 </w:t>
      </w:r>
      <w:r>
        <w:t>G107DY-4</w:t>
      </w:r>
      <w:r>
        <w:rPr>
          <w:spacing w:val="-6"/>
        </w:rPr>
        <w:t xml:space="preserve"> 合同</w:t>
      </w:r>
      <w:r>
        <w:rPr>
          <w:spacing w:val="-7"/>
        </w:rPr>
        <w:t>段路面结构层为：</w:t>
      </w:r>
      <w:r>
        <w:rPr>
          <w:spacing w:val="-12"/>
        </w:rPr>
        <w:t>5cm</w:t>
      </w:r>
      <w:r>
        <w:rPr>
          <w:spacing w:val="-2"/>
        </w:rPr>
        <w:t xml:space="preserve"> 厚中粒式改性沥青砼上面层</w:t>
      </w:r>
      <w:r>
        <w:t>+8cm</w:t>
      </w:r>
      <w:r>
        <w:rPr>
          <w:spacing w:val="-4"/>
        </w:rPr>
        <w:t xml:space="preserve"> 厚粗粒式沥青砼下</w:t>
      </w:r>
      <w:r>
        <w:t>面层+18cm</w:t>
      </w:r>
      <w:r>
        <w:rPr>
          <w:spacing w:val="-6"/>
        </w:rPr>
        <w:t xml:space="preserve"> 厚水泥稳定碎石基层</w:t>
      </w:r>
      <w:r>
        <w:t>+18cm</w:t>
      </w:r>
      <w:r>
        <w:rPr>
          <w:spacing w:val="-5"/>
        </w:rPr>
        <w:t xml:space="preserve"> 厚水泥稳定碎石下基层</w:t>
      </w:r>
      <w:r>
        <w:t>+18cm</w:t>
      </w:r>
      <w:r>
        <w:rPr>
          <w:spacing w:val="-9"/>
        </w:rPr>
        <w:t xml:space="preserve"> 厚水泥稳定碎石底基层。</w:t>
      </w:r>
    </w:p>
    <w:p>
      <w:pPr>
        <w:pStyle w:val="Heading2"/>
        <w:spacing w:line="763" w:lineRule="exact"/>
      </w:pPr>
      <w:bookmarkStart w:id="2" w:name="_TOC_250022"/>
      <w:bookmarkEnd w:id="2"/>
      <w:r>
        <w:t>二、主要材料</w:t>
      </w:r>
    </w:p>
    <w:p>
      <w:pPr>
        <w:pStyle w:val="BodyText"/>
        <w:spacing w:before="306" w:line="336" w:lineRule="auto"/>
        <w:ind w:left="295" w:right="757" w:firstLine="838"/>
      </w:pPr>
      <w:r>
        <w:t>1、水泥：要符合国家技术标准要求，普通硅酸盐水泥、矿渣硅酸盐水泥或火山灰硅酸盐水泥均可采用，早强、快硬及受潮变质的水泥不应使用。水泥初凝时间应大于 3h，终凝时间应大于 6h 且小于 10h。宜采用强度等级较高的水泥，如 42.5 级水泥，水泥稳定碎石的水泥剂量按设计要求基层控制在5%，底基层控制在 3%。</w:t>
      </w:r>
    </w:p>
    <w:p>
      <w:pPr>
        <w:pStyle w:val="BodyText"/>
        <w:spacing w:line="759" w:lineRule="exact"/>
        <w:ind w:left="1138"/>
      </w:pPr>
      <w:r>
        <w:t>2、水：饮用水均可使用。</w:t>
      </w:r>
    </w:p>
    <w:p>
      <w:pPr>
        <w:pStyle w:val="BodyText"/>
        <w:spacing w:before="305"/>
        <w:ind w:left="1138"/>
      </w:pPr>
      <w:r>
        <w:t>3、碎石</w:t>
      </w:r>
    </w:p>
    <w:p>
      <w:pPr>
        <w:pStyle w:val="BodyText"/>
        <w:tabs>
          <w:tab w:val="left" w:pos="9811"/>
        </w:tabs>
        <w:spacing w:before="311" w:line="336" w:lineRule="auto"/>
        <w:ind w:left="295" w:right="1123" w:firstLine="838"/>
      </w:pPr>
      <w:r>
        <w:pict>
          <v:group id="_x0000_s1026" style="width:716.75pt;height:112.95pt;margin-top:129.7pt;margin-left:88.25pt;mso-position-horizontal-relative:page;mso-wrap-distance-left:0;mso-wrap-distance-right:0;position:absolute;z-index:-251657216" coordorigin="1765,2594" coordsize="14335,22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4335;height:2220;left:1765;position:absolute;top:2633" stroked="f">
              <v:imagedata r:id="rId13" o:title=""/>
            </v:shape>
            <v:shapetype id="_x0000_t202" coordsize="21600,21600" o:spt="202" path="m,l,21600r21600,l21600,xe">
              <v:stroke joinstyle="miter"/>
              <v:path gradientshapeok="t" o:connecttype="rect"/>
            </v:shapetype>
            <v:shape id="_x0000_s1028" type="#_x0000_t202" style="width:7325;height:556;left:6171;position:absolute;top:2594" filled="f" stroked="f">
              <v:textbox inset="0,0,0,0">
                <w:txbxContent>
                  <w:p>
                    <w:pPr>
                      <w:tabs>
                        <w:tab w:val="left" w:pos="5198"/>
                      </w:tabs>
                      <w:spacing w:before="0" w:line="556" w:lineRule="exact"/>
                      <w:ind w:left="0" w:right="0" w:firstLine="0"/>
                      <w:jc w:val="left"/>
                      <w:rPr>
                        <w:sz w:val="42"/>
                      </w:rPr>
                    </w:pPr>
                    <w:r>
                      <w:rPr>
                        <w:sz w:val="42"/>
                      </w:rPr>
                      <w:t>通过下列方筛孔</w:t>
                    </w:r>
                    <w:r>
                      <w:rPr>
                        <w:spacing w:val="-3"/>
                        <w:sz w:val="42"/>
                      </w:rPr>
                      <w:t>（mm）</w:t>
                    </w:r>
                    <w:r>
                      <w:rPr>
                        <w:sz w:val="42"/>
                      </w:rPr>
                      <w:t>的</w:t>
                      <w:tab/>
                      <w:t>质量百分率</w:t>
                    </w:r>
                  </w:p>
                </w:txbxContent>
              </v:textbox>
            </v:shape>
            <v:shape id="_x0000_s1029" type="#_x0000_t202" style="width:863;height:556;left:2261;position:absolute;top:3141" filled="f" stroked="f">
              <v:textbox inset="0,0,0,0">
                <w:txbxContent>
                  <w:p>
                    <w:pPr>
                      <w:spacing w:before="0" w:line="556" w:lineRule="exact"/>
                      <w:ind w:left="0" w:right="0" w:firstLine="0"/>
                      <w:jc w:val="left"/>
                      <w:rPr>
                        <w:sz w:val="42"/>
                      </w:rPr>
                    </w:pPr>
                    <w:r>
                      <w:rPr>
                        <w:sz w:val="42"/>
                      </w:rPr>
                      <w:t>层位</w:t>
                    </w:r>
                  </w:p>
                </w:txbxContent>
              </v:textbox>
            </v:shape>
            <v:shape id="_x0000_s1030" type="#_x0000_t202" style="width:862;height:556;left:4043;position:absolute;top:3691" filled="f" stroked="f">
              <v:textbox inset="0,0,0,0">
                <w:txbxContent>
                  <w:p>
                    <w:pPr>
                      <w:spacing w:before="0" w:line="556" w:lineRule="exact"/>
                      <w:ind w:left="0" w:right="0" w:firstLine="0"/>
                      <w:jc w:val="left"/>
                      <w:rPr>
                        <w:sz w:val="42"/>
                      </w:rPr>
                    </w:pPr>
                    <w:r>
                      <w:rPr>
                        <w:sz w:val="42"/>
                      </w:rPr>
                      <w:t>31.5</w:t>
                    </w:r>
                  </w:p>
                </w:txbxContent>
              </v:textbox>
            </v:shape>
            <v:shape id="_x0000_s1031" type="#_x0000_t202" style="width:514;height:556;left:5999;position:absolute;top:3691" filled="f" stroked="f">
              <v:textbox inset="0,0,0,0">
                <w:txbxContent>
                  <w:p>
                    <w:pPr>
                      <w:spacing w:before="0" w:line="556" w:lineRule="exact"/>
                      <w:ind w:left="0" w:right="0" w:firstLine="0"/>
                      <w:jc w:val="left"/>
                      <w:rPr>
                        <w:sz w:val="42"/>
                      </w:rPr>
                    </w:pPr>
                    <w:r>
                      <w:rPr>
                        <w:sz w:val="42"/>
                      </w:rPr>
                      <w:t>19</w:t>
                    </w:r>
                  </w:p>
                </w:txbxContent>
              </v:textbox>
            </v:shape>
            <v:shape id="_x0000_s1032" type="#_x0000_t202" style="width:615;height:556;left:7730;position:absolute;top:3691" filled="f" stroked="f">
              <v:textbox inset="0,0,0,0">
                <w:txbxContent>
                  <w:p>
                    <w:pPr>
                      <w:spacing w:before="0" w:line="556" w:lineRule="exact"/>
                      <w:ind w:left="0" w:right="0" w:firstLine="0"/>
                      <w:jc w:val="left"/>
                      <w:rPr>
                        <w:sz w:val="42"/>
                      </w:rPr>
                    </w:pPr>
                    <w:r>
                      <w:rPr>
                        <w:sz w:val="42"/>
                      </w:rPr>
                      <w:t>9.5</w:t>
                    </w:r>
                  </w:p>
                </w:txbxContent>
              </v:textbox>
            </v:shape>
            <v:shape id="_x0000_s1033" type="#_x0000_t202" style="width:862;height:556;left:9394;position:absolute;top:3691" filled="f" stroked="f">
              <v:textbox inset="0,0,0,0">
                <w:txbxContent>
                  <w:p>
                    <w:pPr>
                      <w:spacing w:before="0" w:line="556" w:lineRule="exact"/>
                      <w:ind w:left="0" w:right="0" w:firstLine="0"/>
                      <w:jc w:val="left"/>
                      <w:rPr>
                        <w:sz w:val="42"/>
                      </w:rPr>
                    </w:pPr>
                    <w:r>
                      <w:rPr>
                        <w:sz w:val="42"/>
                      </w:rPr>
                      <w:t>4.75</w:t>
                    </w:r>
                  </w:p>
                </w:txbxContent>
              </v:textbox>
            </v:shape>
            <v:shape id="_x0000_s1034" type="#_x0000_t202" style="width:862;height:556;left:11180;position:absolute;top:3691" filled="f" stroked="f">
              <v:textbox inset="0,0,0,0">
                <w:txbxContent>
                  <w:p>
                    <w:pPr>
                      <w:spacing w:before="0" w:line="556" w:lineRule="exact"/>
                      <w:ind w:left="0" w:right="0" w:firstLine="0"/>
                      <w:jc w:val="left"/>
                      <w:rPr>
                        <w:sz w:val="42"/>
                      </w:rPr>
                    </w:pPr>
                    <w:r>
                      <w:rPr>
                        <w:sz w:val="42"/>
                      </w:rPr>
                      <w:t>2.36</w:t>
                    </w:r>
                  </w:p>
                </w:txbxContent>
              </v:textbox>
            </v:shape>
            <v:shape id="_x0000_s1035" type="#_x0000_t202" style="width:615;height:556;left:13088;position:absolute;top:3691" filled="f" stroked="f">
              <v:textbox inset="0,0,0,0">
                <w:txbxContent>
                  <w:p>
                    <w:pPr>
                      <w:spacing w:before="0" w:line="556" w:lineRule="exact"/>
                      <w:ind w:left="0" w:right="0" w:firstLine="0"/>
                      <w:jc w:val="left"/>
                      <w:rPr>
                        <w:sz w:val="42"/>
                      </w:rPr>
                    </w:pPr>
                    <w:r>
                      <w:rPr>
                        <w:sz w:val="42"/>
                      </w:rPr>
                      <w:t>0.6</w:t>
                    </w:r>
                  </w:p>
                </w:txbxContent>
              </v:textbox>
            </v:shape>
            <v:shape id="_x0000_s1036" type="#_x0000_t202" style="width:1109;height:556;left:14629;position:absolute;top:3691" filled="f" stroked="f">
              <v:textbox inset="0,0,0,0">
                <w:txbxContent>
                  <w:p>
                    <w:pPr>
                      <w:spacing w:before="0" w:line="556" w:lineRule="exact"/>
                      <w:ind w:left="0" w:right="0" w:firstLine="0"/>
                      <w:jc w:val="left"/>
                      <w:rPr>
                        <w:sz w:val="42"/>
                      </w:rPr>
                    </w:pPr>
                    <w:r>
                      <w:rPr>
                        <w:sz w:val="42"/>
                      </w:rPr>
                      <w:t>0.075</w:t>
                    </w:r>
                  </w:p>
                </w:txbxContent>
              </v:textbox>
            </v:shape>
            <w10:wrap type="topAndBottom"/>
          </v:group>
        </w:pict>
      </w:r>
      <w:r>
        <w:t>水泥稳定碎石集料级配碎石压碎值应不大于</w:t>
        <w:tab/>
      </w:r>
      <w:r>
        <w:rPr>
          <w:spacing w:val="5"/>
        </w:rPr>
        <w:t>30%，</w:t>
      </w:r>
      <w:r>
        <w:t>最大粒径不大</w:t>
      </w:r>
      <w:r>
        <w:rPr>
          <w:spacing w:val="-15"/>
        </w:rPr>
        <w:t>于</w:t>
      </w:r>
      <w:r>
        <w:t>31.5mm。见下表：</w:t>
      </w:r>
    </w:p>
    <w:p>
      <w:pPr>
        <w:spacing w:after="0" w:line="336" w:lineRule="auto"/>
        <w:sectPr>
          <w:headerReference w:type="default" r:id="rId14"/>
          <w:footerReference w:type="default" r:id="rId15"/>
          <w:pgSz w:w="17860" w:h="25260"/>
          <w:pgMar w:top="1340" w:right="1000" w:bottom="2020" w:left="1660" w:header="1088" w:footer="1831"/>
          <w:pgNumType w:start="5"/>
          <w:cols w:space="708"/>
        </w:sectPr>
      </w:pPr>
    </w:p>
    <w:p>
      <w:pPr>
        <w:pStyle w:val="BodyText"/>
        <w:spacing w:line="42" w:lineRule="exact"/>
        <w:ind w:left="240"/>
        <w:rPr>
          <w:sz w:val="4"/>
        </w:rPr>
      </w:pPr>
      <w:r>
        <w:rPr>
          <w:position w:val="0"/>
          <w:sz w:val="4"/>
        </w:rPr>
        <w:drawing>
          <wp:inline distT="0" distB="0" distL="0" distR="0">
            <wp:extent cx="8913143" cy="26860"/>
            <wp:effectExtent l="0" t="0" r="0" b="0"/>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2" cstate="print"/>
                    <a:stretch>
                      <a:fillRect/>
                    </a:stretch>
                  </pic:blipFill>
                  <pic:spPr>
                    <a:xfrm>
                      <a:off x="0" y="0"/>
                      <a:ext cx="8913143" cy="26860"/>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spacing w:before="10"/>
        <w:rPr>
          <w:sz w:val="16"/>
        </w:rPr>
      </w:pPr>
    </w:p>
    <w:p>
      <w:pPr>
        <w:pStyle w:val="Heading2"/>
        <w:spacing w:line="766" w:lineRule="exact"/>
      </w:pPr>
      <w:r>
        <w:pict>
          <v:group id="_x0000_s1037" style="width:716.75pt;height:58.6pt;margin-top:-49.88pt;margin-left:88.25pt;mso-position-horizontal-relative:page;position:absolute;z-index:-251656192" coordorigin="1765,-998" coordsize="14335,1172">
            <v:shape id="_x0000_s1038" type="#_x0000_t75" style="width:14335;height:1140;left:1765;position:absolute;top:-966" stroked="f">
              <v:imagedata r:id="rId16" o:title=""/>
            </v:shape>
            <v:shape id="_x0000_s1039" type="#_x0000_t202" style="width:863;height:556;left:2261;position:absolute;top:-998" filled="f" stroked="f">
              <v:textbox inset="0,0,0,0">
                <w:txbxContent>
                  <w:p>
                    <w:pPr>
                      <w:spacing w:before="0" w:line="556" w:lineRule="exact"/>
                      <w:ind w:left="0" w:right="0" w:firstLine="0"/>
                      <w:jc w:val="left"/>
                      <w:rPr>
                        <w:sz w:val="42"/>
                      </w:rPr>
                    </w:pPr>
                    <w:r>
                      <w:rPr>
                        <w:sz w:val="42"/>
                      </w:rPr>
                      <w:t>基层</w:t>
                    </w:r>
                  </w:p>
                </w:txbxContent>
              </v:textbox>
            </v:shape>
            <v:shape id="_x0000_s1040" type="#_x0000_t202" style="width:761;height:556;left:4093;position:absolute;top:-998" filled="f" stroked="f">
              <v:textbox inset="0,0,0,0">
                <w:txbxContent>
                  <w:p>
                    <w:pPr>
                      <w:spacing w:before="0" w:line="556" w:lineRule="exact"/>
                      <w:ind w:left="0" w:right="0" w:firstLine="0"/>
                      <w:jc w:val="left"/>
                      <w:rPr>
                        <w:sz w:val="42"/>
                      </w:rPr>
                    </w:pPr>
                    <w:r>
                      <w:rPr>
                        <w:sz w:val="42"/>
                      </w:rPr>
                      <w:t>100</w:t>
                    </w:r>
                  </w:p>
                </w:txbxContent>
              </v:textbox>
            </v:shape>
            <v:shape id="_x0000_s1041" type="#_x0000_t202" style="width:6783;height:556;left:5544;position:absolute;top:-998" filled="f" stroked="f">
              <v:textbox inset="0,0,0,0">
                <w:txbxContent>
                  <w:p>
                    <w:pPr>
                      <w:tabs>
                        <w:tab w:val="left" w:pos="1782"/>
                        <w:tab w:val="left" w:pos="3568"/>
                        <w:tab w:val="left" w:pos="5354"/>
                      </w:tabs>
                      <w:spacing w:before="0" w:line="556" w:lineRule="exact"/>
                      <w:ind w:left="0" w:right="0" w:firstLine="0"/>
                      <w:jc w:val="left"/>
                      <w:rPr>
                        <w:sz w:val="42"/>
                      </w:rPr>
                    </w:pPr>
                    <w:r>
                      <w:rPr>
                        <w:sz w:val="42"/>
                      </w:rPr>
                      <w:t>68～86</w:t>
                      <w:tab/>
                      <w:t>38～58</w:t>
                      <w:tab/>
                      <w:t>22～32</w:t>
                      <w:tab/>
                      <w:t>16～28</w:t>
                    </w:r>
                  </w:p>
                </w:txbxContent>
              </v:textbox>
            </v:shape>
            <v:shape id="_x0000_s1042" type="#_x0000_t202" style="width:1185;height:556;left:12803;position:absolute;top:-998" filled="f" stroked="f">
              <v:textbox inset="0,0,0,0">
                <w:txbxContent>
                  <w:p>
                    <w:pPr>
                      <w:spacing w:before="0" w:line="556" w:lineRule="exact"/>
                      <w:ind w:left="0" w:right="0" w:firstLine="0"/>
                      <w:jc w:val="left"/>
                      <w:rPr>
                        <w:sz w:val="42"/>
                      </w:rPr>
                    </w:pPr>
                    <w:r>
                      <w:rPr>
                        <w:sz w:val="42"/>
                      </w:rPr>
                      <w:t>8～15</w:t>
                    </w:r>
                  </w:p>
                </w:txbxContent>
              </v:textbox>
            </v:shape>
            <v:shape id="_x0000_s1043" type="#_x0000_t202" style="width:937;height:556;left:14716;position:absolute;top:-998" filled="f" stroked="f">
              <v:textbox inset="0,0,0,0">
                <w:txbxContent>
                  <w:p>
                    <w:pPr>
                      <w:spacing w:before="0" w:line="556" w:lineRule="exact"/>
                      <w:ind w:left="0" w:right="0" w:firstLine="0"/>
                      <w:jc w:val="left"/>
                      <w:rPr>
                        <w:sz w:val="42"/>
                      </w:rPr>
                    </w:pPr>
                    <w:r>
                      <w:rPr>
                        <w:sz w:val="42"/>
                      </w:rPr>
                      <w:t>0～3</w:t>
                    </w:r>
                  </w:p>
                </w:txbxContent>
              </v:textbox>
            </v:shape>
          </v:group>
        </w:pict>
      </w:r>
      <w:bookmarkStart w:id="3" w:name="_TOC_250021"/>
      <w:bookmarkEnd w:id="3"/>
      <w:r>
        <w:t>三、技术标准</w:t>
      </w:r>
    </w:p>
    <w:p>
      <w:pPr>
        <w:pStyle w:val="BodyText"/>
        <w:spacing w:before="306" w:line="336" w:lineRule="auto"/>
        <w:ind w:left="295" w:right="922" w:firstLine="842"/>
        <w:jc w:val="both"/>
      </w:pPr>
      <w:r>
        <w:t>1</w:t>
      </w:r>
      <w:r>
        <w:rPr>
          <w:spacing w:val="-5"/>
        </w:rPr>
        <w:t>、配合比为水泥：碎石=5：100</w:t>
      </w:r>
      <w:r>
        <w:rPr>
          <w:spacing w:val="-3"/>
        </w:rPr>
        <w:t>，采用骨架密实型，压实度≥</w:t>
      </w:r>
      <w:r>
        <w:rPr>
          <w:spacing w:val="-11"/>
        </w:rPr>
        <w:t>98%</w:t>
      </w:r>
      <w:r>
        <w:rPr>
          <w:spacing w:val="-6"/>
        </w:rPr>
        <w:t xml:space="preserve">，水泥稳定碎石 </w:t>
      </w:r>
      <w:r>
        <w:t>7d</w:t>
      </w:r>
      <w:r>
        <w:rPr>
          <w:spacing w:val="-1"/>
        </w:rPr>
        <w:t xml:space="preserve"> 龄期无侧限抗压强度上基层≥</w:t>
      </w:r>
      <w:r>
        <w:rPr>
          <w:spacing w:val="-4"/>
        </w:rPr>
        <w:t>4.0Mpa</w:t>
      </w:r>
      <w:r>
        <w:rPr>
          <w:spacing w:val="-3"/>
        </w:rPr>
        <w:t>，底基层≥</w:t>
      </w:r>
      <w:r>
        <w:rPr>
          <w:spacing w:val="-7"/>
        </w:rPr>
        <w:t>2.5Mpa</w:t>
      </w:r>
      <w:r>
        <w:rPr>
          <w:spacing w:val="-4"/>
        </w:rPr>
        <w:t>，设</w:t>
      </w:r>
      <w:r>
        <w:rPr>
          <w:spacing w:val="-8"/>
        </w:rPr>
        <w:t xml:space="preserve">计弯沉值 </w:t>
      </w:r>
      <w:r>
        <w:t>22.4(0.01mm)。</w:t>
      </w:r>
    </w:p>
    <w:p>
      <w:pPr>
        <w:pStyle w:val="BodyText"/>
        <w:spacing w:before="56"/>
        <w:ind w:left="1138"/>
      </w:pPr>
      <w:r>
        <w:rPr>
          <w:rFonts w:ascii="Wingdings" w:eastAsia="Wingdings" w:hAnsi="Wingdings"/>
        </w:rPr>
        <w:sym w:font="Wingdings" w:char="F081"/>
      </w:r>
      <w:r>
        <w:t>上基层：18cm</w:t>
      </w:r>
      <w:r>
        <w:rPr>
          <w:spacing w:val="-1"/>
        </w:rPr>
        <w:t xml:space="preserve"> 厚骨架密实型水泥稳定碎石</w:t>
      </w:r>
      <w:r>
        <w:rPr>
          <w:spacing w:val="-5"/>
        </w:rPr>
        <w:t>（5%）</w:t>
      </w:r>
    </w:p>
    <w:p>
      <w:pPr>
        <w:pStyle w:val="BodyText"/>
        <w:spacing w:before="306"/>
        <w:ind w:left="1138"/>
      </w:pPr>
      <w:r>
        <w:rPr>
          <w:rFonts w:ascii="Wingdings" w:eastAsia="Wingdings" w:hAnsi="Wingdings"/>
        </w:rPr>
        <w:sym w:font="Wingdings" w:char="F082"/>
      </w:r>
      <w:r>
        <w:t>下基层：18cm</w:t>
      </w:r>
      <w:r>
        <w:rPr>
          <w:spacing w:val="-1"/>
        </w:rPr>
        <w:t xml:space="preserve"> 厚骨架密实型水泥稳定碎石</w:t>
      </w:r>
      <w:r>
        <w:rPr>
          <w:spacing w:val="-5"/>
        </w:rPr>
        <w:t>（5%）</w:t>
      </w:r>
    </w:p>
    <w:p>
      <w:pPr>
        <w:pStyle w:val="BodyText"/>
        <w:spacing w:before="309"/>
        <w:ind w:left="1138"/>
      </w:pPr>
      <w:r>
        <w:rPr>
          <w:rFonts w:ascii="Wingdings" w:eastAsia="Wingdings" w:hAnsi="Wingdings"/>
        </w:rPr>
        <w:sym w:font="Wingdings" w:char="F083"/>
      </w:r>
      <w:r>
        <w:t>底基层：18cm</w:t>
      </w:r>
      <w:r>
        <w:rPr>
          <w:spacing w:val="-1"/>
        </w:rPr>
        <w:t xml:space="preserve"> 厚骨架密实型水泥稳定碎石</w:t>
      </w:r>
      <w:r>
        <w:rPr>
          <w:spacing w:val="-5"/>
        </w:rPr>
        <w:t>（3%）</w:t>
      </w:r>
    </w:p>
    <w:p>
      <w:pPr>
        <w:pStyle w:val="BodyText"/>
        <w:spacing w:before="8"/>
        <w:rPr>
          <w:sz w:val="76"/>
        </w:rPr>
      </w:pPr>
    </w:p>
    <w:p>
      <w:pPr>
        <w:pStyle w:val="Heading1"/>
        <w:tabs>
          <w:tab w:val="left" w:pos="1918"/>
        </w:tabs>
      </w:pPr>
      <w:bookmarkStart w:id="4" w:name="_TOC_250020"/>
      <w:bookmarkEnd w:id="4"/>
      <w:r>
        <w:t>第二章</w:t>
        <w:tab/>
        <w:t>编制依据</w:t>
      </w:r>
    </w:p>
    <w:p>
      <w:pPr>
        <w:pStyle w:val="BodyText"/>
        <w:spacing w:before="2"/>
        <w:rPr>
          <w:b/>
          <w:sz w:val="81"/>
        </w:rPr>
      </w:pPr>
    </w:p>
    <w:p>
      <w:pPr>
        <w:pStyle w:val="BodyText"/>
        <w:ind w:left="295"/>
      </w:pPr>
      <w:r>
        <w:t>一、《国道 107 线郑州境东移（一期）改建工程施工图设计》</w:t>
      </w:r>
    </w:p>
    <w:p>
      <w:pPr>
        <w:pStyle w:val="BodyText"/>
        <w:spacing w:before="306" w:line="336" w:lineRule="auto"/>
        <w:ind w:left="295" w:right="1054"/>
      </w:pPr>
      <w:r>
        <w:t>二、《公路工程质量检验评定标准》第一册 土建工程（JTG F80/1-2004） 三、施工现场条件和施工环境。</w:t>
      </w:r>
    </w:p>
    <w:p>
      <w:pPr>
        <w:pStyle w:val="BodyText"/>
        <w:spacing w:line="770" w:lineRule="exact"/>
        <w:ind w:left="295"/>
      </w:pPr>
      <w:r>
        <w:t>四、结合本公司类似工程施工经验。</w:t>
      </w:r>
    </w:p>
    <w:p>
      <w:pPr>
        <w:spacing w:after="0" w:line="770" w:lineRule="exact"/>
        <w:sectPr>
          <w:headerReference w:type="default" r:id="rId17"/>
          <w:footerReference w:type="default" r:id="rId18"/>
          <w:pgSz w:w="17860" w:h="25260"/>
          <w:pgMar w:top="1340" w:right="1000" w:bottom="2020" w:left="1660" w:header="1088" w:footer="1831"/>
          <w:pgNumType w:start="6"/>
          <w:cols w:space="708"/>
        </w:sectPr>
      </w:pPr>
    </w:p>
    <w:p>
      <w:pPr>
        <w:pStyle w:val="BodyText"/>
        <w:rPr>
          <w:sz w:val="20"/>
        </w:rPr>
      </w:pPr>
    </w:p>
    <w:p>
      <w:pPr>
        <w:pStyle w:val="BodyText"/>
        <w:rPr>
          <w:sz w:val="20"/>
        </w:rPr>
      </w:pPr>
    </w:p>
    <w:p>
      <w:pPr>
        <w:pStyle w:val="BodyText"/>
        <w:rPr>
          <w:sz w:val="20"/>
        </w:rPr>
      </w:pPr>
    </w:p>
    <w:p>
      <w:pPr>
        <w:pStyle w:val="BodyText"/>
        <w:spacing w:before="12"/>
        <w:rPr>
          <w:sz w:val="20"/>
        </w:rPr>
      </w:pPr>
    </w:p>
    <w:p>
      <w:pPr>
        <w:pStyle w:val="Heading1"/>
        <w:tabs>
          <w:tab w:val="left" w:pos="1677"/>
        </w:tabs>
        <w:spacing w:line="858" w:lineRule="exact"/>
        <w:ind w:right="505"/>
      </w:pPr>
      <w:bookmarkStart w:id="5" w:name="_TOC_250019"/>
      <w:bookmarkEnd w:id="5"/>
      <w:r>
        <w:t>第三章</w:t>
        <w:tab/>
        <w:t>施工准备、总体规划</w:t>
      </w:r>
    </w:p>
    <w:p>
      <w:pPr>
        <w:pStyle w:val="BodyText"/>
        <w:spacing w:before="1"/>
        <w:rPr>
          <w:b/>
          <w:sz w:val="81"/>
        </w:rPr>
      </w:pPr>
    </w:p>
    <w:p>
      <w:pPr>
        <w:pStyle w:val="Heading2"/>
      </w:pPr>
      <w:bookmarkStart w:id="6" w:name="_TOC_250018"/>
      <w:bookmarkEnd w:id="6"/>
      <w:r>
        <w:t>一、施工准备工作：</w:t>
      </w:r>
    </w:p>
    <w:p>
      <w:pPr>
        <w:pStyle w:val="ListParagraph"/>
        <w:numPr>
          <w:ilvl w:val="0"/>
          <w:numId w:val="2"/>
        </w:numPr>
        <w:tabs>
          <w:tab w:val="left" w:pos="2244"/>
        </w:tabs>
        <w:spacing w:before="306" w:after="0" w:line="336" w:lineRule="auto"/>
        <w:ind w:left="295" w:right="726" w:firstLine="856"/>
        <w:jc w:val="left"/>
        <w:rPr>
          <w:sz w:val="42"/>
        </w:rPr>
      </w:pPr>
      <w:r>
        <w:rPr>
          <w:spacing w:val="-12"/>
          <w:sz w:val="42"/>
        </w:rPr>
        <w:t>技术准备：我们组织全体人员学习水稳施工技术指导意见，进行岗位技术培训，建立健全了管理组织和质量保证体系。为水泥稳定碎石摊铺做好充分的准备。采用经监理工程师见证送往检测中心批准合格的配合比、标</w:t>
      </w:r>
      <w:r>
        <w:rPr>
          <w:spacing w:val="-30"/>
          <w:sz w:val="42"/>
        </w:rPr>
        <w:t>准击实、</w:t>
      </w:r>
      <w:r>
        <w:rPr>
          <w:sz w:val="42"/>
        </w:rPr>
        <w:t>7d</w:t>
      </w:r>
      <w:r>
        <w:rPr>
          <w:spacing w:val="-18"/>
          <w:sz w:val="42"/>
        </w:rPr>
        <w:t xml:space="preserve"> 无侧限、标准曲线、水泥凝结时间、集料筛分及各主材检测验证。</w:t>
      </w:r>
      <w:r>
        <w:rPr>
          <w:sz w:val="42"/>
        </w:rPr>
        <w:t>后场摊铺时必须有项目部技术人员及监理工程师在场，控制各使用材料及配比。</w:t>
      </w:r>
    </w:p>
    <w:p>
      <w:pPr>
        <w:pStyle w:val="ListParagraph"/>
        <w:numPr>
          <w:ilvl w:val="0"/>
          <w:numId w:val="2"/>
        </w:numPr>
        <w:tabs>
          <w:tab w:val="left" w:pos="2244"/>
        </w:tabs>
        <w:spacing w:before="0" w:after="0" w:line="760" w:lineRule="exact"/>
        <w:ind w:left="2244" w:right="0" w:hanging="1092"/>
        <w:jc w:val="left"/>
        <w:rPr>
          <w:sz w:val="42"/>
        </w:rPr>
      </w:pPr>
      <w:r>
        <w:rPr>
          <w:sz w:val="42"/>
        </w:rPr>
        <w:t>机械准备：我们对所有施工机械进行全面的清洁、保养、调试、检</w:t>
      </w:r>
    </w:p>
    <w:p>
      <w:pPr>
        <w:pStyle w:val="BodyText"/>
        <w:spacing w:before="306" w:line="336" w:lineRule="auto"/>
        <w:ind w:left="295" w:right="1002"/>
      </w:pPr>
      <w:r>
        <w:t>查和维修。并配齐了生产施工过程中部分机械的易损备件，保证各类机械运转处于良好状态。</w:t>
      </w:r>
    </w:p>
    <w:p>
      <w:pPr>
        <w:pStyle w:val="ListParagraph"/>
        <w:numPr>
          <w:ilvl w:val="0"/>
          <w:numId w:val="2"/>
        </w:numPr>
        <w:tabs>
          <w:tab w:val="left" w:pos="2244"/>
        </w:tabs>
        <w:spacing w:before="0" w:after="0" w:line="336" w:lineRule="auto"/>
        <w:ind w:left="295" w:right="926" w:firstLine="856"/>
        <w:jc w:val="both"/>
        <w:rPr>
          <w:sz w:val="42"/>
        </w:rPr>
      </w:pPr>
      <w:r>
        <w:rPr>
          <w:spacing w:val="10"/>
          <w:sz w:val="42"/>
        </w:rPr>
        <w:t xml:space="preserve">材料准备：摊铺前 </w:t>
      </w:r>
      <w:r>
        <w:rPr>
          <w:sz w:val="42"/>
        </w:rPr>
        <w:t>7</w:t>
      </w:r>
      <w:r>
        <w:rPr>
          <w:spacing w:val="-1"/>
          <w:sz w:val="42"/>
        </w:rPr>
        <w:t xml:space="preserve"> 天对水稳供应单位现场备料数量进行现场核</w:t>
      </w:r>
      <w:r>
        <w:rPr>
          <w:sz w:val="42"/>
        </w:rPr>
        <w:t>实确认，原材料的采用需经项目部自检及监理组抽检合格后方可使用，把好材料的源头关。</w:t>
      </w:r>
    </w:p>
    <w:p>
      <w:pPr>
        <w:pStyle w:val="ListParagraph"/>
        <w:numPr>
          <w:ilvl w:val="0"/>
          <w:numId w:val="2"/>
        </w:numPr>
        <w:tabs>
          <w:tab w:val="left" w:pos="2244"/>
        </w:tabs>
        <w:spacing w:before="0" w:after="0" w:line="333" w:lineRule="auto"/>
        <w:ind w:left="295" w:right="727" w:firstLine="856"/>
        <w:jc w:val="left"/>
        <w:rPr>
          <w:sz w:val="42"/>
        </w:rPr>
      </w:pPr>
      <w:r>
        <w:rPr>
          <w:spacing w:val="-10"/>
          <w:sz w:val="42"/>
        </w:rPr>
        <w:t xml:space="preserve">运输车辆：我部已落实运输车辆 </w:t>
      </w:r>
      <w:r>
        <w:rPr>
          <w:sz w:val="42"/>
        </w:rPr>
        <w:t>20</w:t>
      </w:r>
      <w:r>
        <w:rPr>
          <w:spacing w:val="-13"/>
          <w:sz w:val="42"/>
        </w:rPr>
        <w:t xml:space="preserve"> 辆，车辆外观整齐，性能良好</w:t>
      </w:r>
      <w:r>
        <w:rPr>
          <w:spacing w:val="-4"/>
          <w:sz w:val="42"/>
        </w:rPr>
        <w:t>，车厢清洁。同时严格要求司机按正确的操作程序进行装料、运输、卸料， 为提高摊铺质量创造良好条件。</w:t>
      </w:r>
    </w:p>
    <w:p>
      <w:pPr>
        <w:spacing w:after="0" w:line="333" w:lineRule="auto"/>
        <w:jc w:val="left"/>
        <w:rPr>
          <w:sz w:val="42"/>
        </w:rPr>
        <w:sectPr>
          <w:headerReference w:type="default" r:id="rId19"/>
          <w:footerReference w:type="default" r:id="rId20"/>
          <w:pgSz w:w="17860" w:h="25260"/>
          <w:pgMar w:top="1400" w:right="1000" w:bottom="2020" w:left="1660" w:header="1088" w:footer="1820"/>
          <w:pgNumType w:start="7"/>
          <w:cols w:space="708"/>
        </w:sectPr>
      </w:pPr>
    </w:p>
    <w:p>
      <w:pPr>
        <w:pStyle w:val="BodyText"/>
        <w:spacing w:before="3"/>
        <w:rPr>
          <w:sz w:val="16"/>
        </w:rPr>
      </w:pPr>
    </w:p>
    <w:p>
      <w:pPr>
        <w:pStyle w:val="ListParagraph"/>
        <w:numPr>
          <w:ilvl w:val="0"/>
          <w:numId w:val="1"/>
        </w:numPr>
        <w:tabs>
          <w:tab w:val="left" w:pos="2244"/>
        </w:tabs>
        <w:spacing w:before="0" w:after="0" w:line="766" w:lineRule="exact"/>
        <w:ind w:left="2244" w:right="0" w:hanging="1092"/>
        <w:jc w:val="left"/>
        <w:rPr>
          <w:sz w:val="42"/>
        </w:rPr>
      </w:pPr>
      <w:r>
        <w:rPr>
          <w:sz w:val="42"/>
        </w:rPr>
        <w:t>现场准备</w:t>
      </w:r>
    </w:p>
    <w:p>
      <w:pPr>
        <w:pStyle w:val="BodyText"/>
        <w:spacing w:before="306" w:line="336" w:lineRule="auto"/>
        <w:ind w:left="295" w:right="1038" w:firstLine="806"/>
      </w:pPr>
      <w:r>
        <w:t>①清除下承层表面的杂物、积水等，表面平整密实，无坑洼松散、无压路机碾压轮迹，不起皮、不开裂，并将其表面洒水湿润。</w:t>
      </w:r>
    </w:p>
    <w:p>
      <w:pPr>
        <w:pStyle w:val="BodyText"/>
        <w:spacing w:line="336" w:lineRule="auto"/>
        <w:ind w:left="295" w:right="1038" w:firstLine="806"/>
      </w:pPr>
      <w:r>
        <w:t>②确保做好路面原地面测量，宽度放样，架设好钢丝绳。摊铺点的松铺系数按试铺段确定的数值进行控制。</w:t>
      </w:r>
    </w:p>
    <w:p>
      <w:pPr>
        <w:pStyle w:val="Heading2"/>
        <w:spacing w:line="767" w:lineRule="exact"/>
      </w:pPr>
      <w:bookmarkStart w:id="7" w:name="_TOC_250017"/>
      <w:bookmarkEnd w:id="7"/>
      <w:r>
        <w:t>二、施工总体规划：</w:t>
      </w:r>
    </w:p>
    <w:p>
      <w:pPr>
        <w:pStyle w:val="BodyText"/>
        <w:spacing w:before="301" w:line="336" w:lineRule="auto"/>
        <w:ind w:left="295" w:right="939" w:firstLine="842"/>
        <w:jc w:val="both"/>
      </w:pPr>
      <w:r>
        <w:t>本工程基层所用水泥稳定碎石均为成品，由郑州顺和工程建设有限公司提供，该公司现有 WDB500 型拌和楼一套，总生产能力达 500t/h，采用以下机械配合摊铺：ABG8820B 摊铺机两台，徐工 XP262 胶轮压路机一台， 徐工 XS222J 振动压路机两台，山推 ZL30 装载机一台。</w:t>
      </w:r>
    </w:p>
    <w:p>
      <w:pPr>
        <w:pStyle w:val="BodyText"/>
        <w:spacing w:before="17"/>
        <w:rPr>
          <w:sz w:val="62"/>
        </w:rPr>
      </w:pPr>
    </w:p>
    <w:p>
      <w:pPr>
        <w:pStyle w:val="Heading1"/>
        <w:tabs>
          <w:tab w:val="left" w:pos="1918"/>
        </w:tabs>
      </w:pPr>
      <w:bookmarkStart w:id="8" w:name="_TOC_250016"/>
      <w:bookmarkEnd w:id="8"/>
      <w:r>
        <w:t>第四章</w:t>
        <w:tab/>
        <w:t>施工方案</w:t>
      </w:r>
    </w:p>
    <w:p>
      <w:pPr>
        <w:pStyle w:val="BodyText"/>
        <w:spacing w:before="1"/>
        <w:rPr>
          <w:b/>
          <w:sz w:val="81"/>
        </w:rPr>
      </w:pPr>
    </w:p>
    <w:p>
      <w:pPr>
        <w:pStyle w:val="Heading2"/>
      </w:pPr>
      <w:bookmarkStart w:id="9" w:name="_TOC_250015"/>
      <w:bookmarkEnd w:id="9"/>
      <w:r>
        <w:t>一、试验段</w:t>
      </w:r>
    </w:p>
    <w:p>
      <w:pPr>
        <w:pStyle w:val="BodyText"/>
        <w:spacing w:before="306" w:line="336" w:lineRule="auto"/>
        <w:ind w:left="1101" w:right="4600" w:firstLine="32"/>
      </w:pPr>
      <w:r>
        <w:t>正式开工之前，应进行试铺，主要确定以下内容： 1、验证用于施工的集料配合比；</w:t>
      </w:r>
    </w:p>
    <w:p>
      <w:pPr>
        <w:pStyle w:val="BodyText"/>
        <w:spacing w:line="771" w:lineRule="exact"/>
        <w:ind w:left="1101"/>
      </w:pPr>
      <w:r>
        <w:t>2、调试拌和时间，保证混合料的均匀性；</w:t>
      </w:r>
    </w:p>
    <w:p>
      <w:pPr>
        <w:pStyle w:val="BodyText"/>
        <w:spacing w:before="306"/>
        <w:ind w:left="1101"/>
      </w:pPr>
      <w:r>
        <w:t>3、确定铺筑的合适厚度和松铺系数；</w:t>
      </w:r>
    </w:p>
    <w:p>
      <w:pPr>
        <w:pStyle w:val="BodyText"/>
        <w:spacing w:before="305"/>
        <w:ind w:left="1101"/>
      </w:pPr>
      <w:r>
        <w:t>4、确定每一作业段的合适长度；</w:t>
      </w:r>
    </w:p>
    <w:p>
      <w:pPr>
        <w:spacing w:after="0"/>
        <w:sectPr>
          <w:headerReference w:type="default" r:id="rId21"/>
          <w:footerReference w:type="default" r:id="rId22"/>
          <w:pgSz w:w="17860" w:h="25260"/>
          <w:pgMar w:top="1400" w:right="1000" w:bottom="2020" w:left="1660" w:header="1088" w:footer="1820"/>
          <w:pgNumType w:start="8"/>
          <w:cols w:space="708"/>
        </w:sectPr>
      </w:pPr>
    </w:p>
    <w:p>
      <w:pPr>
        <w:pStyle w:val="BodyText"/>
        <w:spacing w:before="3"/>
        <w:rPr>
          <w:sz w:val="16"/>
        </w:rPr>
      </w:pPr>
    </w:p>
    <w:p>
      <w:pPr>
        <w:pStyle w:val="Heading2"/>
        <w:spacing w:line="766" w:lineRule="exact"/>
      </w:pPr>
      <w:bookmarkStart w:id="10" w:name="_TOC_250014"/>
      <w:bookmarkEnd w:id="10"/>
      <w:r>
        <w:t>二、主要施工工艺：</w:t>
      </w:r>
    </w:p>
    <w:p>
      <w:pPr>
        <w:pStyle w:val="BodyText"/>
        <w:spacing w:before="306"/>
        <w:ind w:left="1134"/>
      </w:pPr>
      <w:r>
        <w:t>1、施工后场</w:t>
      </w:r>
    </w:p>
    <w:p>
      <w:pPr>
        <w:pStyle w:val="BodyText"/>
        <w:spacing w:before="305" w:line="336" w:lineRule="auto"/>
        <w:ind w:left="295" w:right="1007" w:firstLine="838"/>
      </w:pPr>
      <w:r>
        <w:t>水泥稳定碎石摊铺时，项目部技术人员实时对配合比、含水量、水泥剂量等进行控制。</w:t>
      </w:r>
    </w:p>
    <w:p>
      <w:pPr>
        <w:pStyle w:val="BodyText"/>
        <w:tabs>
          <w:tab w:val="left" w:pos="4972"/>
        </w:tabs>
        <w:spacing w:line="336" w:lineRule="auto"/>
        <w:ind w:left="295" w:right="581" w:firstLine="838"/>
      </w:pPr>
      <w:r>
        <w:t>调试拌和机，分别称出拌缸中不同规格的碎石、水泥、水的重量，测量 其计量的准确性；调试拌和时间，保证混合料的均匀性；检查混合料含水量</w:t>
      </w:r>
      <w:r>
        <w:rPr>
          <w:spacing w:val="-18"/>
        </w:rPr>
        <w:t>、</w:t>
      </w:r>
      <w:r>
        <w:t>集料级配、水泥剂量</w:t>
      </w:r>
      <w:r>
        <w:rPr>
          <w:spacing w:val="4"/>
        </w:rPr>
        <w:t>、</w:t>
      </w:r>
      <w:r>
        <w:t>7</w:t>
        <w:tab/>
        <w:t>天无侧限抗压强度；拌和时混合料含水量控制，试铺时水稳碎石出料及时取样检查混合料含水量和水泥剂量是否有变化，再根 据前场检测含水量结果作调整。</w:t>
      </w:r>
    </w:p>
    <w:p>
      <w:pPr>
        <w:pStyle w:val="BodyText"/>
        <w:spacing w:line="759" w:lineRule="exact"/>
        <w:ind w:left="1134"/>
      </w:pPr>
      <w:r>
        <w:t>2、混合料运输：</w:t>
      </w:r>
    </w:p>
    <w:p>
      <w:pPr>
        <w:pStyle w:val="BodyText"/>
        <w:spacing w:before="303" w:line="336" w:lineRule="auto"/>
        <w:ind w:left="295" w:right="793" w:firstLine="630"/>
      </w:pPr>
      <w:r>
        <w:t>①装料：装料根据放料人员的提示，按前、后、中三次作业的方法进行， 不得太满外溢，车内混合料须在初凝时间内运到工地；</w:t>
      </w:r>
    </w:p>
    <w:p>
      <w:pPr>
        <w:pStyle w:val="BodyText"/>
        <w:tabs>
          <w:tab w:val="left" w:pos="1558"/>
        </w:tabs>
        <w:spacing w:line="766" w:lineRule="exact"/>
        <w:ind w:left="929"/>
      </w:pPr>
      <w:r>
        <w:t>②</w:t>
        <w:tab/>
        <w:t>覆盖：采用油布覆盖混合料；</w:t>
      </w:r>
    </w:p>
    <w:p>
      <w:pPr>
        <w:pStyle w:val="BodyText"/>
        <w:spacing w:before="306" w:line="336" w:lineRule="auto"/>
        <w:ind w:left="295" w:right="943" w:firstLine="633"/>
      </w:pPr>
      <w:r>
        <w:rPr>
          <w:spacing w:val="-2"/>
        </w:rPr>
        <w:t xml:space="preserve">③车辆倒车时在摊铺机前 </w:t>
      </w:r>
      <w:r>
        <w:t>30cm</w:t>
      </w:r>
      <w:r>
        <w:rPr>
          <w:spacing w:val="-15"/>
        </w:rPr>
        <w:t xml:space="preserve"> 处停住，卸料时挂空挡，注意不要撞击摊</w:t>
      </w:r>
      <w:r>
        <w:t>铺机，不要把料卸在摊铺机外面。</w:t>
      </w:r>
    </w:p>
    <w:p>
      <w:pPr>
        <w:pStyle w:val="BodyText"/>
        <w:spacing w:line="336" w:lineRule="auto"/>
        <w:ind w:left="295" w:right="936" w:firstLine="633"/>
        <w:jc w:val="both"/>
      </w:pPr>
      <w:r>
        <w:rPr>
          <w:spacing w:val="-12"/>
        </w:rPr>
        <w:t>④运输车辆中途出现故障，应尽快排除，如车内混合料不能在初凝时间内</w:t>
      </w:r>
      <w:r>
        <w:t>运到工地，或预计混合料到碾压完成最终的延迟时间超过水泥的初凝时间， 必须废弃。</w:t>
      </w:r>
    </w:p>
    <w:p>
      <w:pPr>
        <w:pStyle w:val="BodyText"/>
        <w:spacing w:line="763" w:lineRule="exact"/>
        <w:ind w:left="1134"/>
      </w:pPr>
      <w:r>
        <w:t>3、施工前场</w:t>
      </w:r>
    </w:p>
    <w:p>
      <w:pPr>
        <w:spacing w:after="0" w:line="763" w:lineRule="exact"/>
        <w:sectPr>
          <w:headerReference w:type="default" r:id="rId23"/>
          <w:footerReference w:type="default" r:id="rId24"/>
          <w:pgSz w:w="17860" w:h="25260"/>
          <w:pgMar w:top="1400" w:right="1000" w:bottom="2020" w:left="1660" w:header="1088" w:footer="1820"/>
          <w:pgNumType w:start="9"/>
          <w:cols w:space="708"/>
        </w:sectPr>
      </w:pPr>
    </w:p>
    <w:p>
      <w:pPr>
        <w:pStyle w:val="BodyText"/>
        <w:spacing w:before="11"/>
        <w:rPr>
          <w:sz w:val="21"/>
        </w:rPr>
      </w:pPr>
    </w:p>
    <w:p>
      <w:pPr>
        <w:pStyle w:val="BodyText"/>
        <w:spacing w:before="26"/>
        <w:ind w:left="1044"/>
        <w:rPr>
          <w:rFonts w:ascii="幼圆" w:eastAsia="幼圆" w:hAnsi="幼圆" w:hint="eastAsia"/>
        </w:rPr>
      </w:pPr>
      <w:r>
        <w:rPr>
          <w:rFonts w:ascii="幼圆" w:eastAsia="幼圆" w:hAnsi="幼圆" w:hint="eastAsia"/>
        </w:rPr>
        <w:t>①摊铺：</w:t>
      </w:r>
    </w:p>
    <w:p>
      <w:pPr>
        <w:pStyle w:val="BodyText"/>
        <w:spacing w:before="3"/>
        <w:rPr>
          <w:rFonts w:ascii="幼圆"/>
        </w:rPr>
      </w:pPr>
    </w:p>
    <w:p>
      <w:pPr>
        <w:pStyle w:val="BodyText"/>
        <w:tabs>
          <w:tab w:val="left" w:pos="5987"/>
        </w:tabs>
        <w:spacing w:before="1" w:line="482" w:lineRule="auto"/>
        <w:ind w:left="295" w:right="499" w:firstLine="838"/>
        <w:rPr>
          <w:rFonts w:ascii="幼圆" w:eastAsia="幼圆" w:hint="eastAsia"/>
        </w:rPr>
      </w:pPr>
      <w:r>
        <w:rPr>
          <w:rFonts w:ascii="幼圆" w:eastAsia="幼圆" w:hint="eastAsia"/>
        </w:rPr>
        <w:t>施工采用两</w:t>
      </w:r>
      <w:r>
        <w:rPr>
          <w:rFonts w:ascii="幼圆" w:eastAsia="幼圆" w:hint="eastAsia"/>
          <w:spacing w:val="100"/>
        </w:rPr>
        <w:t>台</w:t>
      </w:r>
      <w:r>
        <w:rPr>
          <w:rFonts w:ascii="幼圆" w:eastAsia="幼圆" w:hint="eastAsia"/>
        </w:rPr>
        <w:t>ABG8820B</w:t>
        <w:tab/>
        <w:t>摊铺机进行双机联铺作业，摊铺机拼装宽度根据现场实际宽度进行拼装</w:t>
      </w:r>
      <w:r>
        <w:rPr>
          <w:rFonts w:ascii="幼圆" w:eastAsia="幼圆" w:hint="eastAsia"/>
          <w:spacing w:val="-65"/>
        </w:rPr>
        <w:t>，</w:t>
      </w:r>
      <w:r>
        <w:rPr>
          <w:rFonts w:ascii="幼圆" w:eastAsia="幼圆" w:hint="eastAsia"/>
        </w:rPr>
        <w:t>采用钢丝绳控制摊铺厚度和高程</w:t>
      </w:r>
      <w:r>
        <w:rPr>
          <w:rFonts w:ascii="幼圆" w:eastAsia="幼圆" w:hint="eastAsia"/>
          <w:spacing w:val="-73"/>
        </w:rPr>
        <w:t>。</w:t>
      </w:r>
      <w:r>
        <w:rPr>
          <w:rFonts w:ascii="幼圆" w:eastAsia="幼圆" w:hint="eastAsia"/>
        </w:rPr>
        <w:t>第一层水稳摊铺时，采用一台摊铺机先摊铺主行车道部分，加宽部分采用人工摊铺。摊铺时保持摊铺机前有</w:t>
      </w:r>
      <w:r>
        <w:rPr>
          <w:rFonts w:ascii="幼圆" w:eastAsia="幼圆" w:hint="eastAsia"/>
          <w:spacing w:val="-97"/>
        </w:rPr>
        <w:t xml:space="preserve"> </w:t>
      </w:r>
      <w:r>
        <w:rPr>
          <w:rFonts w:ascii="幼圆" w:eastAsia="幼圆" w:hint="eastAsia"/>
        </w:rPr>
        <w:t>2-3</w:t>
      </w:r>
      <w:r>
        <w:rPr>
          <w:rFonts w:ascii="幼圆" w:eastAsia="幼圆" w:hint="eastAsia"/>
          <w:spacing w:val="-45"/>
        </w:rPr>
        <w:t xml:space="preserve"> </w:t>
      </w:r>
      <w:r>
        <w:rPr>
          <w:rFonts w:ascii="幼圆" w:eastAsia="幼圆" w:hint="eastAsia"/>
        </w:rPr>
        <w:t>辆送料车辆，摊铺时匀速摊铺，及时检查摊铺厚度；摊铺中螺旋布料器应均衡地向两侧供料</w:t>
      </w:r>
      <w:r>
        <w:rPr>
          <w:rFonts w:ascii="幼圆" w:eastAsia="幼圆" w:hint="eastAsia"/>
          <w:spacing w:val="-163"/>
        </w:rPr>
        <w:t>，</w:t>
      </w:r>
      <w:r>
        <w:rPr>
          <w:rFonts w:ascii="幼圆" w:eastAsia="幼圆" w:hint="eastAsia"/>
        </w:rPr>
        <w:t>螺旋布料器的料置略高于螺旋布料器</w:t>
      </w:r>
      <w:r>
        <w:rPr>
          <w:rFonts w:ascii="幼圆" w:eastAsia="幼圆" w:hint="eastAsia"/>
          <w:spacing w:val="-114"/>
        </w:rPr>
        <w:t xml:space="preserve"> </w:t>
      </w:r>
      <w:r>
        <w:rPr>
          <w:rFonts w:ascii="幼圆" w:eastAsia="幼圆" w:hint="eastAsia"/>
        </w:rPr>
        <w:t>2/3</w:t>
      </w:r>
      <w:r>
        <w:rPr>
          <w:rFonts w:ascii="幼圆" w:eastAsia="幼圆" w:hint="eastAsia"/>
          <w:spacing w:val="-55"/>
        </w:rPr>
        <w:t xml:space="preserve"> </w:t>
      </w:r>
      <w:r>
        <w:rPr>
          <w:rFonts w:ascii="幼圆" w:eastAsia="幼圆" w:hint="eastAsia"/>
        </w:rPr>
        <w:t>为度</w:t>
      </w:r>
      <w:r>
        <w:rPr>
          <w:rFonts w:ascii="幼圆" w:eastAsia="幼圆" w:hint="eastAsia"/>
          <w:spacing w:val="-159"/>
        </w:rPr>
        <w:t>，</w:t>
      </w:r>
      <w:r>
        <w:rPr>
          <w:rFonts w:ascii="幼圆" w:eastAsia="幼圆" w:hint="eastAsia"/>
        </w:rPr>
        <w:t>使熨平板挡板前混合料在全宽范围内保持一致</w:t>
      </w:r>
      <w:r>
        <w:rPr>
          <w:rFonts w:ascii="幼圆" w:eastAsia="幼圆" w:hint="eastAsia"/>
          <w:spacing w:val="-182"/>
        </w:rPr>
        <w:t>，</w:t>
      </w:r>
      <w:r>
        <w:rPr>
          <w:rFonts w:ascii="幼圆" w:eastAsia="幼圆" w:hint="eastAsia"/>
        </w:rPr>
        <w:t>避免摊铺层出现离析现象</w:t>
      </w:r>
      <w:r>
        <w:rPr>
          <w:rFonts w:ascii="幼圆" w:eastAsia="幼圆" w:hint="eastAsia"/>
          <w:spacing w:val="-16"/>
        </w:rPr>
        <w:t xml:space="preserve">， </w:t>
      </w:r>
      <w:r>
        <w:rPr>
          <w:rFonts w:ascii="幼圆" w:eastAsia="幼圆" w:hint="eastAsia"/>
        </w:rPr>
        <w:t>设专人检查铺筑厚度及平整度，发现局部离析、拖痕及其他问题应及时处理； 中途不得随意变速或停机，摊铺速度在</w:t>
      </w:r>
      <w:r>
        <w:rPr>
          <w:rFonts w:ascii="幼圆" w:eastAsia="幼圆" w:hint="eastAsia"/>
          <w:spacing w:val="-126"/>
        </w:rPr>
        <w:t xml:space="preserve"> </w:t>
      </w:r>
      <w:r>
        <w:rPr>
          <w:rFonts w:ascii="幼圆" w:eastAsia="幼圆" w:hint="eastAsia"/>
          <w:spacing w:val="-6"/>
        </w:rPr>
        <w:t>1.0～1.5</w:t>
      </w:r>
      <w:r>
        <w:rPr>
          <w:rFonts w:ascii="幼圆" w:eastAsia="幼圆" w:hint="eastAsia"/>
          <w:spacing w:val="-143"/>
        </w:rPr>
        <w:t xml:space="preserve"> </w:t>
      </w:r>
      <w:r>
        <w:rPr>
          <w:rFonts w:ascii="幼圆" w:eastAsia="幼圆" w:hint="eastAsia"/>
        </w:rPr>
        <w:t>米</w:t>
      </w:r>
      <w:r>
        <w:rPr>
          <w:rFonts w:ascii="幼圆" w:eastAsia="幼圆" w:hint="eastAsia"/>
          <w:spacing w:val="-31"/>
        </w:rPr>
        <w:t>/</w:t>
      </w:r>
      <w:r>
        <w:rPr>
          <w:rFonts w:ascii="幼圆" w:eastAsia="幼圆" w:hint="eastAsia"/>
        </w:rPr>
        <w:t>分钟范围内。</w:t>
      </w:r>
    </w:p>
    <w:p>
      <w:pPr>
        <w:pStyle w:val="BodyText"/>
        <w:spacing w:line="533" w:lineRule="exact"/>
        <w:ind w:left="831"/>
        <w:rPr>
          <w:rFonts w:ascii="幼圆" w:eastAsia="幼圆" w:hAnsi="幼圆" w:hint="eastAsia"/>
        </w:rPr>
      </w:pPr>
      <w:r>
        <w:rPr>
          <w:rFonts w:ascii="幼圆" w:eastAsia="幼圆" w:hAnsi="幼圆" w:hint="eastAsia"/>
        </w:rPr>
        <w:t>②碾压：</w:t>
      </w:r>
    </w:p>
    <w:p>
      <w:pPr>
        <w:pStyle w:val="BodyText"/>
        <w:spacing w:before="4"/>
        <w:rPr>
          <w:rFonts w:ascii="幼圆"/>
        </w:rPr>
      </w:pPr>
    </w:p>
    <w:p>
      <w:pPr>
        <w:pStyle w:val="BodyText"/>
        <w:spacing w:line="482" w:lineRule="auto"/>
        <w:ind w:left="295" w:right="936" w:firstLine="838"/>
        <w:jc w:val="both"/>
        <w:rPr>
          <w:rFonts w:ascii="幼圆" w:eastAsia="幼圆" w:hint="eastAsia"/>
        </w:rPr>
      </w:pPr>
      <w:r>
        <w:rPr>
          <w:rFonts w:ascii="幼圆" w:eastAsia="幼圆" w:hint="eastAsia"/>
        </w:rPr>
        <w:t>碾压是关系到基层内在质量的关键工序。而影响碾压工序的关键因素又是碾压组合和含水量。设立专人指挥碾压，注意稳压充分，振动不起浪、不</w:t>
      </w:r>
      <w:r>
        <w:rPr>
          <w:rFonts w:ascii="幼圆" w:eastAsia="幼圆" w:hint="eastAsia"/>
          <w:spacing w:val="-6"/>
        </w:rPr>
        <w:t xml:space="preserve">推移，压路机碾压时重叠 </w:t>
      </w:r>
      <w:r>
        <w:rPr>
          <w:rFonts w:ascii="幼圆" w:eastAsia="幼圆" w:hint="eastAsia"/>
        </w:rPr>
        <w:t>1/2</w:t>
      </w:r>
      <w:r>
        <w:rPr>
          <w:rFonts w:ascii="幼圆" w:eastAsia="幼圆" w:hint="eastAsia"/>
          <w:spacing w:val="-11"/>
        </w:rPr>
        <w:t xml:space="preserve"> 轮宽，每约 </w:t>
      </w:r>
      <w:r>
        <w:rPr>
          <w:rFonts w:ascii="幼圆" w:eastAsia="幼圆" w:hint="eastAsia"/>
        </w:rPr>
        <w:t>50</w:t>
      </w:r>
      <w:r>
        <w:rPr>
          <w:rFonts w:ascii="幼圆" w:eastAsia="幼圆" w:hint="eastAsia"/>
          <w:spacing w:val="-2"/>
        </w:rPr>
        <w:t xml:space="preserve"> 米作为一作业段。对碾压过后</w:t>
      </w:r>
      <w:r>
        <w:rPr>
          <w:rFonts w:ascii="幼圆" w:eastAsia="幼圆" w:hint="eastAsia"/>
        </w:rPr>
        <w:t>出现的问题及时进行处理。碾压时及时检查含水量，以略高于最佳含水量来</w:t>
      </w:r>
      <w:r>
        <w:rPr>
          <w:rFonts w:ascii="幼圆" w:eastAsia="幼圆" w:hint="eastAsia"/>
          <w:spacing w:val="-5"/>
        </w:rPr>
        <w:t xml:space="preserve">进行碾压，压路机停车要错开，离开 </w:t>
      </w:r>
      <w:r>
        <w:rPr>
          <w:rFonts w:ascii="幼圆" w:eastAsia="幼圆" w:hint="eastAsia"/>
        </w:rPr>
        <w:t>3m</w:t>
      </w:r>
      <w:r>
        <w:rPr>
          <w:rFonts w:ascii="幼圆" w:eastAsia="幼圆" w:hint="eastAsia"/>
          <w:spacing w:val="7"/>
        </w:rPr>
        <w:t xml:space="preserve"> 远为宜，最好停在已碾压好的路段</w:t>
      </w:r>
      <w:r>
        <w:rPr>
          <w:rFonts w:ascii="幼圆" w:eastAsia="幼圆" w:hint="eastAsia"/>
        </w:rPr>
        <w:t>上，以免破坏基层结构，严禁压路机在已完成的或正在碾压的路段上掉头和急刹车，以保证水泥稳定碎石基层表面不受破坏。碾压完成后，及时进行压实度检侧，发现压实度不足，及时进行补压，根据水稳碎石施工特点，必须控制碾压时间，在水泥终凝时间前结束碾压，并达到要求的压实度，同时没</w:t>
      </w:r>
    </w:p>
    <w:p>
      <w:pPr>
        <w:spacing w:after="0" w:line="482" w:lineRule="auto"/>
        <w:jc w:val="both"/>
        <w:rPr>
          <w:rFonts w:ascii="幼圆" w:eastAsia="幼圆" w:hint="eastAsia"/>
        </w:rPr>
        <w:sectPr>
          <w:headerReference w:type="default" r:id="rId25"/>
          <w:footerReference w:type="default" r:id="rId26"/>
          <w:pgSz w:w="17860" w:h="25260"/>
          <w:pgMar w:top="1400" w:right="1000" w:bottom="2020" w:left="1660" w:header="1088" w:footer="1820"/>
          <w:pgNumType w:start="10"/>
          <w:cols w:space="708"/>
        </w:sectPr>
      </w:pPr>
    </w:p>
    <w:p>
      <w:pPr>
        <w:pStyle w:val="BodyText"/>
        <w:spacing w:before="3"/>
        <w:rPr>
          <w:rFonts w:ascii="幼圆"/>
          <w:sz w:val="23"/>
        </w:rPr>
      </w:pPr>
    </w:p>
    <w:p>
      <w:pPr>
        <w:pStyle w:val="BodyText"/>
        <w:spacing w:line="336" w:lineRule="auto"/>
        <w:ind w:left="295" w:right="945"/>
        <w:jc w:val="both"/>
      </w:pPr>
      <w:r>
        <w:t>有明显的轮迹。碾压完成后采用土工布湿润后进行覆盖。我单位采用施工工</w:t>
      </w:r>
      <w:r>
        <w:rPr>
          <w:spacing w:val="-1"/>
          <w:w w:val="100"/>
        </w:rPr>
        <w:t>艺为：初压采用轮胎压路机碾压</w:t>
      </w:r>
      <w:r>
        <w:rPr>
          <w:spacing w:val="-41"/>
        </w:rPr>
        <w:t xml:space="preserve"> </w:t>
      </w:r>
      <w:r>
        <w:rPr>
          <w:w w:val="100"/>
        </w:rPr>
        <w:t>1</w:t>
      </w:r>
      <w:r>
        <w:rPr>
          <w:spacing w:val="-22"/>
        </w:rPr>
        <w:t xml:space="preserve"> </w:t>
      </w:r>
      <w:r>
        <w:rPr>
          <w:spacing w:val="-213"/>
          <w:w w:val="100"/>
        </w:rPr>
        <w:t>遍</w:t>
      </w:r>
      <w:r>
        <w:rPr>
          <w:w w:val="100"/>
        </w:rPr>
        <w:t>（速度</w:t>
      </w:r>
      <w:r>
        <w:rPr>
          <w:spacing w:val="-27"/>
        </w:rPr>
        <w:t xml:space="preserve"> </w:t>
      </w:r>
      <w:r>
        <w:rPr>
          <w:spacing w:val="-1"/>
          <w:w w:val="100"/>
        </w:rPr>
        <w:t>1.5-1.7km/</w:t>
      </w:r>
      <w:r>
        <w:rPr>
          <w:spacing w:val="-5"/>
          <w:w w:val="100"/>
        </w:rPr>
        <w:t>h</w:t>
      </w:r>
      <w:r>
        <w:rPr>
          <w:spacing w:val="-213"/>
          <w:w w:val="100"/>
        </w:rPr>
        <w:t>）</w:t>
      </w:r>
      <w:r>
        <w:rPr>
          <w:spacing w:val="-43"/>
          <w:w w:val="100"/>
        </w:rPr>
        <w:t>；复压采用</w:t>
      </w:r>
      <w:r>
        <w:rPr>
          <w:spacing w:val="-27"/>
        </w:rPr>
        <w:t xml:space="preserve"> </w:t>
      </w:r>
      <w:r>
        <w:rPr>
          <w:w w:val="100"/>
        </w:rPr>
        <w:t>XS222J</w:t>
      </w:r>
      <w:r>
        <w:rPr>
          <w:spacing w:val="-1"/>
        </w:rPr>
        <w:t xml:space="preserve">振动压路机高频低幅振压 </w:t>
      </w:r>
      <w:r>
        <w:t>2 遍（</w:t>
      </w:r>
      <w:r>
        <w:rPr>
          <w:spacing w:val="-2"/>
        </w:rPr>
        <w:t xml:space="preserve">速度 </w:t>
      </w:r>
      <w:r>
        <w:t>1.8-2.2km/h）；</w:t>
      </w:r>
      <w:r>
        <w:rPr>
          <w:spacing w:val="-1"/>
        </w:rPr>
        <w:t xml:space="preserve">终压采用 </w:t>
      </w:r>
      <w:r>
        <w:t>XS222J</w:t>
      </w:r>
      <w:r>
        <w:rPr>
          <w:spacing w:val="-2"/>
        </w:rPr>
        <w:t xml:space="preserve"> 振</w:t>
      </w:r>
      <w:r>
        <w:rPr>
          <w:spacing w:val="-6"/>
        </w:rPr>
        <w:t xml:space="preserve">动压路机碾压 </w:t>
      </w:r>
      <w:r>
        <w:t>1</w:t>
      </w:r>
      <w:r>
        <w:rPr>
          <w:spacing w:val="-12"/>
        </w:rPr>
        <w:t xml:space="preserve"> 遍</w:t>
      </w:r>
      <w:r>
        <w:t>（</w:t>
      </w:r>
      <w:r>
        <w:rPr>
          <w:spacing w:val="-8"/>
        </w:rPr>
        <w:t xml:space="preserve">速度 </w:t>
      </w:r>
      <w:r>
        <w:t>1.8-2.2km/h）直至无明显轮迹。</w:t>
      </w:r>
    </w:p>
    <w:p>
      <w:pPr>
        <w:pStyle w:val="BodyText"/>
        <w:spacing w:line="762" w:lineRule="exact"/>
        <w:ind w:left="831"/>
      </w:pPr>
      <w:r>
        <w:t>③横接缝处理：</w:t>
      </w:r>
    </w:p>
    <w:p>
      <w:pPr>
        <w:pStyle w:val="BodyText"/>
        <w:spacing w:before="299" w:line="336" w:lineRule="auto"/>
        <w:ind w:left="295" w:right="841" w:firstLine="838"/>
        <w:jc w:val="both"/>
      </w:pPr>
      <w:r>
        <w:rPr>
          <w:spacing w:val="-1"/>
        </w:rPr>
        <w:t xml:space="preserve">水泥稳定混合料摊铺时，连续作业不中断，如因故中断 </w:t>
      </w:r>
      <w:r>
        <w:t>2h</w:t>
      </w:r>
      <w:r>
        <w:rPr>
          <w:spacing w:val="-3"/>
        </w:rPr>
        <w:t xml:space="preserve">，则设横缝， </w:t>
      </w:r>
      <w:r>
        <w:t>每天收工之后，第二天开工的接头段面也要设置横缝，每当通过桥涵，在其两边设置横缝，基层的横缝与桥头搭板尾端吻合。特别注意桥头搭板前水泥碎石的碾压。对于无法碾压的死角，采用立式振动夯夯实。</w:t>
      </w:r>
    </w:p>
    <w:p>
      <w:pPr>
        <w:pStyle w:val="BodyText"/>
        <w:spacing w:line="762" w:lineRule="exact"/>
        <w:ind w:left="1138"/>
      </w:pPr>
      <w:r>
        <w:t>横缝与路面车道中心垂直设置，其设置方法：</w:t>
      </w:r>
    </w:p>
    <w:p>
      <w:pPr>
        <w:pStyle w:val="BodyText"/>
        <w:spacing w:before="306" w:line="336" w:lineRule="auto"/>
        <w:ind w:left="295" w:right="804" w:firstLine="806"/>
      </w:pPr>
      <w:r>
        <w:t>a、人工将含水量合适的混合料末端整理整齐。紧靠混合料放两根方木， 方木的高度与混合料的压实度相同，整平紧靠方木的混合料。</w:t>
      </w:r>
    </w:p>
    <w:p>
      <w:pPr>
        <w:pStyle w:val="BodyText"/>
        <w:spacing w:line="336" w:lineRule="auto"/>
        <w:ind w:left="295" w:right="774" w:firstLine="806"/>
      </w:pPr>
      <w:r>
        <w:t>b、在重新开始摊铺混合料之前，将沙砾或碎石和方木撤除，并将作业面顶面清除干净。</w:t>
      </w:r>
    </w:p>
    <w:p>
      <w:pPr>
        <w:pStyle w:val="BodyText"/>
        <w:spacing w:line="770" w:lineRule="exact"/>
        <w:ind w:left="1101"/>
      </w:pPr>
      <w:r>
        <w:t>c、摊铺机返回到已压实层的末端。重新开始摊铺混合料。</w:t>
      </w:r>
    </w:p>
    <w:p>
      <w:pPr>
        <w:pStyle w:val="BodyText"/>
        <w:spacing w:before="299" w:line="336" w:lineRule="auto"/>
        <w:ind w:left="295" w:right="730" w:firstLine="806"/>
      </w:pPr>
      <w:r>
        <w:t>d</w:t>
      </w:r>
      <w:r>
        <w:rPr>
          <w:spacing w:val="7"/>
        </w:rPr>
        <w:t xml:space="preserve">、如摊铺中断超过 </w:t>
      </w:r>
      <w:r>
        <w:t>2h，而又未按上述方法处理横向接缝，则将摊铺机附近及其下面未压实的混合料铲除，并将已碾压密实且高程和平整度符合要</w:t>
      </w:r>
      <w:r>
        <w:rPr>
          <w:spacing w:val="-9"/>
        </w:rPr>
        <w:t xml:space="preserve">求的末端挖成与路中心垂直并垂直向下的断面，摊铺机安置在已压实的面上， </w:t>
      </w:r>
      <w:r>
        <w:t>下垫木板，高度为虚铺厚度与压实厚度之差，然后再摊铺新的混合料，初压</w:t>
      </w:r>
    </w:p>
    <w:p>
      <w:pPr>
        <w:spacing w:after="0" w:line="336" w:lineRule="auto"/>
        <w:sectPr>
          <w:headerReference w:type="default" r:id="rId27"/>
          <w:footerReference w:type="default" r:id="rId28"/>
          <w:pgSz w:w="17860" w:h="25260"/>
          <w:pgMar w:top="1400" w:right="1000" w:bottom="2020" w:left="1660" w:header="1088" w:footer="1820"/>
          <w:pgNumType w:start="11"/>
          <w:cols w:space="708"/>
        </w:sectPr>
      </w:pPr>
    </w:p>
    <w:p>
      <w:pPr>
        <w:pStyle w:val="BodyText"/>
        <w:spacing w:before="3"/>
        <w:rPr>
          <w:sz w:val="16"/>
        </w:rPr>
      </w:pPr>
    </w:p>
    <w:p>
      <w:pPr>
        <w:pStyle w:val="BodyText"/>
        <w:spacing w:line="766" w:lineRule="exact"/>
        <w:ind w:left="295"/>
      </w:pPr>
      <w:r>
        <w:t>时进行横向碾压。</w:t>
      </w:r>
    </w:p>
    <w:p>
      <w:pPr>
        <w:pStyle w:val="BodyText"/>
        <w:spacing w:before="306"/>
        <w:ind w:left="1101"/>
      </w:pPr>
      <w:r>
        <w:t>e、压路机碾压完毕，沿端头斜面开到下承层上停机过夜。</w:t>
      </w:r>
    </w:p>
    <w:p>
      <w:pPr>
        <w:pStyle w:val="BodyText"/>
        <w:spacing w:before="305" w:line="336" w:lineRule="auto"/>
        <w:ind w:left="295" w:right="890" w:firstLine="806"/>
        <w:jc w:val="both"/>
      </w:pPr>
      <w:r>
        <w:t>f、第二天将压路机沿斜面开到前一天施工的层面上，用三米直尺纵向放在接缝处，定出基层面离开三米直尺的点作为接缝位置，沿横向断面挖除坡下部分混合料，清理干净后，摊铺机从接缝处起步摊铺。</w:t>
      </w:r>
    </w:p>
    <w:p>
      <w:pPr>
        <w:pStyle w:val="BodyText"/>
        <w:spacing w:line="336" w:lineRule="auto"/>
        <w:ind w:left="295" w:right="774" w:firstLine="806"/>
      </w:pPr>
      <w:r>
        <w:t>g、压路机沿接缝横向碾压，由前一天压实层上逐渐推向新铺层，碾压完毕再纵向正常碾压。</w:t>
      </w:r>
    </w:p>
    <w:p>
      <w:pPr>
        <w:pStyle w:val="BodyText"/>
        <w:spacing w:line="766" w:lineRule="exact"/>
        <w:ind w:left="831"/>
      </w:pPr>
      <w:r>
        <w:t>④自检与抽检</w:t>
      </w:r>
    </w:p>
    <w:p>
      <w:pPr>
        <w:pStyle w:val="BodyText"/>
        <w:spacing w:before="299" w:line="336" w:lineRule="auto"/>
        <w:ind w:left="295" w:right="1002" w:firstLine="838"/>
        <w:jc w:val="both"/>
      </w:pPr>
      <w:r>
        <w:t>水稳摊碾压完成后，及时进行压实度、水泥剂量、含水量的检侧，如果发现压实度不足，及时进行补压，自检合格后及时报请监理工程师及现场检测人员进行抽检，抽检合格后方可进入养生。</w:t>
      </w:r>
    </w:p>
    <w:p>
      <w:pPr>
        <w:pStyle w:val="BodyText"/>
        <w:spacing w:line="767" w:lineRule="exact"/>
        <w:ind w:left="835"/>
      </w:pPr>
      <w:r>
        <w:t>⑤养生：</w:t>
      </w:r>
    </w:p>
    <w:p>
      <w:pPr>
        <w:pStyle w:val="BodyText"/>
        <w:spacing w:before="306"/>
        <w:ind w:left="1101"/>
      </w:pPr>
      <w:r>
        <w:t>水稳碎石覆盖 2 小时后，可采用喷头为喷雾式洒水车洒水养生，每天洒</w:t>
      </w:r>
    </w:p>
    <w:p>
      <w:pPr>
        <w:pStyle w:val="BodyText"/>
        <w:spacing w:before="306" w:line="336" w:lineRule="auto"/>
        <w:ind w:left="295" w:right="951"/>
        <w:jc w:val="both"/>
      </w:pPr>
      <w:r>
        <w:t>水次数视气候而定，整个养生期间始终保持水泥稳定碎石层表面湿润。在 7 天内应保持基层处于湿润状态，28 天内正常养护，在养生期间封闭交通。7 天后进行钻孔取芯，芯样应完整，表面密实。</w:t>
      </w:r>
    </w:p>
    <w:p>
      <w:pPr>
        <w:pStyle w:val="BodyText"/>
        <w:spacing w:line="767" w:lineRule="exact"/>
        <w:ind w:left="1101"/>
      </w:pPr>
      <w:r>
        <w:t>⑥质量管理及检查验收</w:t>
      </w:r>
    </w:p>
    <w:p>
      <w:pPr>
        <w:pStyle w:val="BodyText"/>
        <w:spacing w:before="306" w:line="336" w:lineRule="auto"/>
        <w:ind w:left="295" w:right="946" w:firstLine="806"/>
      </w:pPr>
      <w:r>
        <w:t>a</w:t>
      </w:r>
      <w:r>
        <w:rPr>
          <w:spacing w:val="-8"/>
        </w:rPr>
        <w:t>、混合料水泥剂量的测定在拌合机拌合后取样，并及时送到试验室进行</w:t>
      </w:r>
      <w:r>
        <w:t>滴定试验。</w:t>
      </w:r>
    </w:p>
    <w:p>
      <w:pPr>
        <w:spacing w:after="0" w:line="336" w:lineRule="auto"/>
        <w:sectPr>
          <w:headerReference w:type="default" r:id="rId29"/>
          <w:footerReference w:type="default" r:id="rId30"/>
          <w:pgSz w:w="17860" w:h="25260"/>
          <w:pgMar w:top="1400" w:right="1000" w:bottom="2020" w:left="1660" w:header="1088" w:footer="1820"/>
          <w:pgNumType w:start="12"/>
          <w:cols w:space="708"/>
        </w:sectPr>
      </w:pPr>
    </w:p>
    <w:p>
      <w:pPr>
        <w:pStyle w:val="BodyText"/>
        <w:spacing w:before="3"/>
        <w:rPr>
          <w:sz w:val="16"/>
        </w:rPr>
      </w:pPr>
    </w:p>
    <w:p>
      <w:pPr>
        <w:pStyle w:val="BodyText"/>
        <w:spacing w:line="336" w:lineRule="auto"/>
        <w:ind w:left="295" w:right="953" w:firstLine="806"/>
      </w:pPr>
      <w:r>
        <w:t>b</w:t>
      </w:r>
      <w:r>
        <w:rPr>
          <w:spacing w:val="-11"/>
        </w:rPr>
        <w:t>、除用滴定法检测水泥剂量要求外，还应进行总量控制检测。要求记录</w:t>
      </w:r>
      <w:r>
        <w:t>每天的实际用量、集料用量和实际工程量，计算对比水泥剂量的一致性。</w:t>
      </w:r>
    </w:p>
    <w:p>
      <w:pPr>
        <w:pStyle w:val="BodyText"/>
        <w:spacing w:line="336" w:lineRule="auto"/>
        <w:ind w:left="295" w:right="957" w:firstLine="806"/>
      </w:pPr>
      <w:r>
        <w:t>c</w:t>
      </w:r>
      <w:r>
        <w:rPr>
          <w:spacing w:val="-6"/>
        </w:rPr>
        <w:t>、混合料集料级配检验和抗压强度检验在拌合场按规定方法取样，配合</w:t>
      </w:r>
      <w:r>
        <w:t>水泥剂量测定进行水洗法筛分，在基层碾压的同一时间制备强度试件。</w:t>
      </w:r>
    </w:p>
    <w:p>
      <w:pPr>
        <w:pStyle w:val="BodyText"/>
        <w:spacing w:line="336" w:lineRule="auto"/>
        <w:ind w:left="295" w:right="938" w:firstLine="806"/>
      </w:pPr>
      <w:r>
        <w:t>d</w:t>
      </w:r>
      <w:r>
        <w:rPr>
          <w:spacing w:val="-11"/>
        </w:rPr>
        <w:t>、压实度检查在碾压结束后立即进行，对于小于规定值的测点立即进行</w:t>
      </w:r>
      <w:r>
        <w:t>处理，直到全部测点符合要求为止。</w:t>
      </w:r>
    </w:p>
    <w:p>
      <w:pPr>
        <w:pStyle w:val="BodyText"/>
        <w:spacing w:line="336" w:lineRule="auto"/>
        <w:ind w:left="295" w:right="941" w:firstLine="806"/>
        <w:jc w:val="both"/>
      </w:pPr>
      <w:r>
        <w:t>e</w:t>
      </w:r>
      <w:r>
        <w:rPr>
          <w:spacing w:val="-2"/>
        </w:rPr>
        <w:t xml:space="preserve">、水泥稳定碎石基层 </w:t>
      </w:r>
      <w:r>
        <w:t>7</w:t>
      </w:r>
      <w:r>
        <w:rPr>
          <w:spacing w:val="-15"/>
        </w:rPr>
        <w:t xml:space="preserve"> 天龄期应能取出完整的芯样，低剂量水泥稳定碎</w:t>
      </w:r>
      <w:r>
        <w:rPr>
          <w:spacing w:val="-2"/>
        </w:rPr>
        <w:t xml:space="preserve">石底基层 </w:t>
      </w:r>
      <w:r>
        <w:t>28</w:t>
      </w:r>
      <w:r>
        <w:rPr>
          <w:spacing w:val="-15"/>
        </w:rPr>
        <w:t xml:space="preserve"> 天应能取出完整的芯样，如不能取出完整芯样，应确定出不合格</w:t>
      </w:r>
      <w:r>
        <w:t>的段落，进行返工处理。</w:t>
      </w:r>
    </w:p>
    <w:p>
      <w:pPr>
        <w:pStyle w:val="BodyText"/>
        <w:spacing w:before="12"/>
        <w:rPr>
          <w:sz w:val="61"/>
        </w:rPr>
      </w:pPr>
    </w:p>
    <w:p>
      <w:pPr>
        <w:pStyle w:val="Heading1"/>
        <w:tabs>
          <w:tab w:val="left" w:pos="1919"/>
        </w:tabs>
        <w:ind w:right="508"/>
      </w:pPr>
      <w:bookmarkStart w:id="11" w:name="_TOC_250013"/>
      <w:bookmarkEnd w:id="11"/>
      <w:r>
        <w:t>第五章</w:t>
        <w:tab/>
        <w:t>施工进度计划及进度计划保证措施</w:t>
      </w:r>
    </w:p>
    <w:p>
      <w:pPr>
        <w:pStyle w:val="BodyText"/>
        <w:spacing w:before="1"/>
        <w:rPr>
          <w:b/>
          <w:sz w:val="81"/>
        </w:rPr>
      </w:pPr>
    </w:p>
    <w:p>
      <w:pPr>
        <w:pStyle w:val="Heading2"/>
      </w:pPr>
      <w:bookmarkStart w:id="12" w:name="_TOC_250012"/>
      <w:bookmarkEnd w:id="12"/>
      <w:r>
        <w:t>一、施工进度安排：</w:t>
      </w:r>
    </w:p>
    <w:p>
      <w:pPr>
        <w:pStyle w:val="BodyText"/>
        <w:spacing w:before="306" w:line="336" w:lineRule="auto"/>
        <w:ind w:left="295" w:right="849" w:firstLine="838"/>
      </w:pPr>
      <w:r>
        <w:t>计划于 2017 年 06 月 15 日进行水稳碎石的试铺及摊铺工作，工期按照业主及总监办批准的施工计划安排施工。</w:t>
      </w:r>
    </w:p>
    <w:p>
      <w:pPr>
        <w:pStyle w:val="Heading2"/>
        <w:spacing w:line="771" w:lineRule="exact"/>
      </w:pPr>
      <w:bookmarkStart w:id="13" w:name="_TOC_250011"/>
      <w:bookmarkEnd w:id="13"/>
      <w:r>
        <w:t>二、确保工期的措施：</w:t>
      </w:r>
    </w:p>
    <w:p>
      <w:pPr>
        <w:pStyle w:val="BodyText"/>
        <w:spacing w:before="306"/>
        <w:ind w:left="1195"/>
      </w:pPr>
      <w:r>
        <w:t>⑴认真做好施工组织设计的编制工作，合理安排工期。</w:t>
      </w:r>
    </w:p>
    <w:p>
      <w:pPr>
        <w:pStyle w:val="BodyText"/>
        <w:spacing w:before="306" w:line="333" w:lineRule="auto"/>
        <w:ind w:left="295" w:right="944" w:firstLine="900"/>
      </w:pPr>
      <w:r>
        <w:t>⑵抓住关键线路上的环节，优化施工方案，进行必要的技术攻关，提高工作效率。</w:t>
      </w:r>
    </w:p>
    <w:p>
      <w:pPr>
        <w:spacing w:after="0" w:line="333"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1" w:history="1">
        <w:r>
          <w:rPr>
            <w:rFonts w:ascii="SimSun" w:eastAsia="SimSun" w:hAnsi="SimSun" w:cs="SimSun"/>
            <w:b/>
            <w:bCs/>
            <w:color w:val="0000EE"/>
            <w:sz w:val="30"/>
            <w:szCs w:val="30"/>
            <w:u w:val="single" w:color="0000EE"/>
          </w:rPr>
          <w:t>https://d.book118.com/446013223011010054</w:t>
        </w:r>
      </w:hyperlink>
    </w:p>
    <w:p>
      <w:pPr>
        <w:spacing w:after="0" w:line="333" w:lineRule="auto"/>
      </w:pPr>
    </w:p>
    <w:sectPr>
      <w:headerReference w:type="default" r:id="rId32"/>
      <w:footerReference w:type="default" r:id="rId33"/>
      <w:pgSz w:w="17860" w:h="25260"/>
      <w:pgMar w:top="1400" w:right="1000" w:bottom="2020" w:left="1660" w:header="1088" w:footer="1820"/>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pt;height:15.5pt;margin-top:1160.35pt;margin-left:96.78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pt;height:15.5pt;margin-top:1160.35pt;margin-left:96.78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pt;height:15.5pt;margin-top:1160.35pt;margin-left:96.78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pt;height:15.5pt;margin-top:1160.35pt;margin-left:96.78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pt;height:15.5pt;margin-top:1160.35pt;margin-left:96.78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pt;height:15.5pt;margin-top:1160.35pt;margin-left:96.78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9pt;height:15.5pt;margin-top:1160.88pt;margin-left:96.78pt;mso-position-horizontal-relative:page;mso-position-vertical-relative:page;position:absolute;z-index:-2516520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9pt;height:15.5pt;margin-top:1160.88pt;margin-left:96.78pt;mso-position-horizontal-relative:page;mso-position-vertical-relative:page;position:absolute;z-index:-2516510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9pt;height:15.5pt;margin-top:1160.88pt;margin-left:96.78pt;mso-position-horizontal-relative:page;mso-position-vertical-relative:page;position:absolute;z-index:-2516500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9pt;height:15.5pt;margin-top:1160.88pt;margin-left:96.78pt;mso-position-horizontal-relative:page;mso-position-vertical-relative:page;position:absolute;z-index:-2516490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9pt;height:15.5pt;margin-top:1160.88pt;margin-left:96.78pt;mso-position-horizontal-relative:page;mso-position-vertical-relative:page;position:absolute;z-index:-25164800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9pt;height:15.5pt;margin-top:1160.88pt;margin-left:96.78pt;mso-position-horizontal-relative:page;mso-position-vertical-relative:page;position:absolute;z-index:-2516469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9pt;height:15.5pt;margin-top:1160.88pt;margin-left:96.78pt;mso-position-horizontal-relative:page;mso-position-vertical-relative:page;position:absolute;z-index:-25164595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1206500</wp:posOffset>
          </wp:positionH>
          <wp:positionV relativeFrom="page">
            <wp:posOffset>850900</wp:posOffset>
          </wp:positionV>
          <wp:extent cx="89408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940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38pt;margin-left:418.48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1206500</wp:posOffset>
          </wp:positionH>
          <wp:positionV relativeFrom="page">
            <wp:posOffset>850900</wp:posOffset>
          </wp:positionV>
          <wp:extent cx="8940800" cy="38100"/>
          <wp:effectExtent l="0" t="0" r="0" b="0"/>
          <wp:wrapNone/>
          <wp:docPr id="1310510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51080" name="image1.png"/>
                  <pic:cNvPicPr/>
                </pic:nvPicPr>
                <pic:blipFill>
                  <a:blip xmlns:r="http://schemas.openxmlformats.org/officeDocument/2006/relationships" r:embed="rId1" cstate="print"/>
                  <a:stretch>
                    <a:fillRect/>
                  </a:stretch>
                </pic:blipFill>
                <pic:spPr>
                  <a:xfrm>
                    <a:off x="0" y="0"/>
                    <a:ext cx="8940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38pt;margin-left:418.48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1206500</wp:posOffset>
          </wp:positionH>
          <wp:positionV relativeFrom="page">
            <wp:posOffset>850900</wp:posOffset>
          </wp:positionV>
          <wp:extent cx="8940800" cy="38100"/>
          <wp:effectExtent l="0" t="0" r="0" b="0"/>
          <wp:wrapNone/>
          <wp:docPr id="2198110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811061" name="image1.png"/>
                  <pic:cNvPicPr/>
                </pic:nvPicPr>
                <pic:blipFill>
                  <a:blip xmlns:r="http://schemas.openxmlformats.org/officeDocument/2006/relationships" r:embed="rId1" cstate="print"/>
                  <a:stretch>
                    <a:fillRect/>
                  </a:stretch>
                </pic:blipFill>
                <pic:spPr>
                  <a:xfrm>
                    <a:off x="0" y="0"/>
                    <a:ext cx="8940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38pt;margin-left:418.48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1206500</wp:posOffset>
          </wp:positionH>
          <wp:positionV relativeFrom="page">
            <wp:posOffset>850900</wp:posOffset>
          </wp:positionV>
          <wp:extent cx="8940800" cy="38100"/>
          <wp:effectExtent l="0" t="0" r="0" b="0"/>
          <wp:wrapNone/>
          <wp:docPr id="14005588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558823" name="image1.png"/>
                  <pic:cNvPicPr/>
                </pic:nvPicPr>
                <pic:blipFill>
                  <a:blip xmlns:r="http://schemas.openxmlformats.org/officeDocument/2006/relationships" r:embed="rId1" cstate="print"/>
                  <a:stretch>
                    <a:fillRect/>
                  </a:stretch>
                </pic:blipFill>
                <pic:spPr>
                  <a:xfrm>
                    <a:off x="0" y="0"/>
                    <a:ext cx="8940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38pt;margin-left:418.48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1206500</wp:posOffset>
          </wp:positionH>
          <wp:positionV relativeFrom="page">
            <wp:posOffset>850900</wp:posOffset>
          </wp:positionV>
          <wp:extent cx="8940800" cy="38100"/>
          <wp:effectExtent l="0" t="0" r="0" b="0"/>
          <wp:wrapNone/>
          <wp:docPr id="3996233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623317" name="image1.png"/>
                  <pic:cNvPicPr/>
                </pic:nvPicPr>
                <pic:blipFill>
                  <a:blip xmlns:r="http://schemas.openxmlformats.org/officeDocument/2006/relationships" r:embed="rId1" cstate="print"/>
                  <a:stretch>
                    <a:fillRect/>
                  </a:stretch>
                </pic:blipFill>
                <pic:spPr>
                  <a:xfrm>
                    <a:off x="0" y="0"/>
                    <a:ext cx="8940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38pt;margin-left:418.48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1206500</wp:posOffset>
          </wp:positionH>
          <wp:positionV relativeFrom="page">
            <wp:posOffset>850900</wp:posOffset>
          </wp:positionV>
          <wp:extent cx="8940800" cy="38100"/>
          <wp:effectExtent l="0" t="0" r="0" b="0"/>
          <wp:wrapNone/>
          <wp:docPr id="17024969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496979" name="image1.png"/>
                  <pic:cNvPicPr/>
                </pic:nvPicPr>
                <pic:blipFill>
                  <a:blip xmlns:r="http://schemas.openxmlformats.org/officeDocument/2006/relationships" r:embed="rId1" cstate="print"/>
                  <a:stretch>
                    <a:fillRect/>
                  </a:stretch>
                </pic:blipFill>
                <pic:spPr>
                  <a:xfrm>
                    <a:off x="0" y="0"/>
                    <a:ext cx="8940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38pt;margin-left:418.48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1206500</wp:posOffset>
          </wp:positionH>
          <wp:positionV relativeFrom="page">
            <wp:posOffset>850900</wp:posOffset>
          </wp:positionV>
          <wp:extent cx="8940800" cy="381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1" cstate="print"/>
                  <a:stretch>
                    <a:fillRect/>
                  </a:stretch>
                </pic:blipFill>
                <pic:spPr>
                  <a:xfrm>
                    <a:off x="0" y="0"/>
                    <a:ext cx="8940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38pt;margin-left:418.48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1206500</wp:posOffset>
          </wp:positionH>
          <wp:positionV relativeFrom="page">
            <wp:posOffset>850900</wp:posOffset>
          </wp:positionV>
          <wp:extent cx="8940800" cy="38100"/>
          <wp:effectExtent l="0" t="0" r="0" b="0"/>
          <wp:wrapNone/>
          <wp:docPr id="5841336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133677" name="image1.png"/>
                  <pic:cNvPicPr/>
                </pic:nvPicPr>
                <pic:blipFill>
                  <a:blip xmlns:r="http://schemas.openxmlformats.org/officeDocument/2006/relationships" r:embed="rId1" cstate="print"/>
                  <a:stretch>
                    <a:fillRect/>
                  </a:stretch>
                </pic:blipFill>
                <pic:spPr>
                  <a:xfrm>
                    <a:off x="0" y="0"/>
                    <a:ext cx="8940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3.38pt;margin-left:418.48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1206500</wp:posOffset>
          </wp:positionH>
          <wp:positionV relativeFrom="page">
            <wp:posOffset>850900</wp:posOffset>
          </wp:positionV>
          <wp:extent cx="8940800" cy="38100"/>
          <wp:effectExtent l="0" t="0" r="0" b="0"/>
          <wp:wrapNone/>
          <wp:docPr id="3440857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085729" name="image1.png"/>
                  <pic:cNvPicPr/>
                </pic:nvPicPr>
                <pic:blipFill>
                  <a:blip xmlns:r="http://schemas.openxmlformats.org/officeDocument/2006/relationships" r:embed="rId1" cstate="print"/>
                  <a:stretch>
                    <a:fillRect/>
                  </a:stretch>
                </pic:blipFill>
                <pic:spPr>
                  <a:xfrm>
                    <a:off x="0" y="0"/>
                    <a:ext cx="8940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3.38pt;margin-left:418.48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1206500</wp:posOffset>
          </wp:positionH>
          <wp:positionV relativeFrom="page">
            <wp:posOffset>850900</wp:posOffset>
          </wp:positionV>
          <wp:extent cx="8940800" cy="38100"/>
          <wp:effectExtent l="0" t="0" r="0" b="0"/>
          <wp:wrapNone/>
          <wp:docPr id="4083872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387219" name="image1.png"/>
                  <pic:cNvPicPr/>
                </pic:nvPicPr>
                <pic:blipFill>
                  <a:blip xmlns:r="http://schemas.openxmlformats.org/officeDocument/2006/relationships" r:embed="rId1" cstate="print"/>
                  <a:stretch>
                    <a:fillRect/>
                  </a:stretch>
                </pic:blipFill>
                <pic:spPr>
                  <a:xfrm>
                    <a:off x="0" y="0"/>
                    <a:ext cx="8940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5.5pt;margin-top:53.38pt;margin-left:418.48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1206500</wp:posOffset>
          </wp:positionH>
          <wp:positionV relativeFrom="page">
            <wp:posOffset>850900</wp:posOffset>
          </wp:positionV>
          <wp:extent cx="8940800" cy="38100"/>
          <wp:effectExtent l="0" t="0" r="0" b="0"/>
          <wp:wrapNone/>
          <wp:docPr id="12154975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497528" name="image1.png"/>
                  <pic:cNvPicPr/>
                </pic:nvPicPr>
                <pic:blipFill>
                  <a:blip xmlns:r="http://schemas.openxmlformats.org/officeDocument/2006/relationships" r:embed="rId1" cstate="print"/>
                  <a:stretch>
                    <a:fillRect/>
                  </a:stretch>
                </pic:blipFill>
                <pic:spPr>
                  <a:xfrm>
                    <a:off x="0" y="0"/>
                    <a:ext cx="8940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6pt;height:15.5pt;margin-top:53.38pt;margin-left:418.48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1206500</wp:posOffset>
          </wp:positionH>
          <wp:positionV relativeFrom="page">
            <wp:posOffset>850900</wp:posOffset>
          </wp:positionV>
          <wp:extent cx="8940800" cy="38100"/>
          <wp:effectExtent l="0" t="0" r="0" b="0"/>
          <wp:wrapNone/>
          <wp:docPr id="196713616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136168" name="image1.png"/>
                  <pic:cNvPicPr/>
                </pic:nvPicPr>
                <pic:blipFill>
                  <a:blip xmlns:r="http://schemas.openxmlformats.org/officeDocument/2006/relationships" r:embed="rId1" cstate="print"/>
                  <a:stretch>
                    <a:fillRect/>
                  </a:stretch>
                </pic:blipFill>
                <pic:spPr>
                  <a:xfrm>
                    <a:off x="0" y="0"/>
                    <a:ext cx="8940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6pt;height:15.5pt;margin-top:53.38pt;margin-left:418.48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1206500</wp:posOffset>
          </wp:positionH>
          <wp:positionV relativeFrom="page">
            <wp:posOffset>850900</wp:posOffset>
          </wp:positionV>
          <wp:extent cx="8940800" cy="38100"/>
          <wp:effectExtent l="0" t="0" r="0" b="0"/>
          <wp:wrapNone/>
          <wp:docPr id="21093323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332361" name="image1.png"/>
                  <pic:cNvPicPr/>
                </pic:nvPicPr>
                <pic:blipFill>
                  <a:blip xmlns:r="http://schemas.openxmlformats.org/officeDocument/2006/relationships" r:embed="rId1" cstate="print"/>
                  <a:stretch>
                    <a:fillRect/>
                  </a:stretch>
                </pic:blipFill>
                <pic:spPr>
                  <a:xfrm>
                    <a:off x="0" y="0"/>
                    <a:ext cx="8940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6pt;height:15.5pt;margin-top:53.38pt;margin-left:418.48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F18944"/>
    <w:multiLevelType w:val="hybridMultilevel"/>
    <w:tmpl w:val="00000000"/>
    <w:lvl w:ilvl="0">
      <w:start w:val="1"/>
      <w:numFmt w:val="decimal"/>
      <w:lvlText w:val="（%1）"/>
      <w:lvlJc w:val="left"/>
      <w:pPr>
        <w:ind w:left="295" w:hanging="1092"/>
        <w:jc w:val="left"/>
      </w:pPr>
      <w:rPr>
        <w:rFonts w:ascii="微软雅黑" w:eastAsia="微软雅黑" w:hAnsi="微软雅黑" w:cs="微软雅黑" w:hint="default"/>
        <w:spacing w:val="-61"/>
        <w:w w:val="100"/>
        <w:sz w:val="40"/>
        <w:szCs w:val="40"/>
      </w:rPr>
    </w:lvl>
    <w:lvl w:ilvl="1">
      <w:start w:val="0"/>
      <w:numFmt w:val="bullet"/>
      <w:lvlText w:val="•"/>
      <w:lvlJc w:val="left"/>
      <w:pPr>
        <w:ind w:left="1789" w:hanging="1092"/>
      </w:pPr>
      <w:rPr>
        <w:rFonts w:hint="default"/>
      </w:rPr>
    </w:lvl>
    <w:lvl w:ilvl="2">
      <w:start w:val="0"/>
      <w:numFmt w:val="bullet"/>
      <w:lvlText w:val="•"/>
      <w:lvlJc w:val="left"/>
      <w:pPr>
        <w:ind w:left="3279" w:hanging="1092"/>
      </w:pPr>
      <w:rPr>
        <w:rFonts w:hint="default"/>
      </w:rPr>
    </w:lvl>
    <w:lvl w:ilvl="3">
      <w:start w:val="0"/>
      <w:numFmt w:val="bullet"/>
      <w:lvlText w:val="•"/>
      <w:lvlJc w:val="left"/>
      <w:pPr>
        <w:ind w:left="4769" w:hanging="1092"/>
      </w:pPr>
      <w:rPr>
        <w:rFonts w:hint="default"/>
      </w:rPr>
    </w:lvl>
    <w:lvl w:ilvl="4">
      <w:start w:val="0"/>
      <w:numFmt w:val="bullet"/>
      <w:lvlText w:val="•"/>
      <w:lvlJc w:val="left"/>
      <w:pPr>
        <w:ind w:left="6259" w:hanging="1092"/>
      </w:pPr>
      <w:rPr>
        <w:rFonts w:hint="default"/>
      </w:rPr>
    </w:lvl>
    <w:lvl w:ilvl="5">
      <w:start w:val="0"/>
      <w:numFmt w:val="bullet"/>
      <w:lvlText w:val="•"/>
      <w:lvlJc w:val="left"/>
      <w:pPr>
        <w:ind w:left="7749" w:hanging="1092"/>
      </w:pPr>
      <w:rPr>
        <w:rFonts w:hint="default"/>
      </w:rPr>
    </w:lvl>
    <w:lvl w:ilvl="6">
      <w:start w:val="0"/>
      <w:numFmt w:val="bullet"/>
      <w:lvlText w:val="•"/>
      <w:lvlJc w:val="left"/>
      <w:pPr>
        <w:ind w:left="9239" w:hanging="1092"/>
      </w:pPr>
      <w:rPr>
        <w:rFonts w:hint="default"/>
      </w:rPr>
    </w:lvl>
    <w:lvl w:ilvl="7">
      <w:start w:val="0"/>
      <w:numFmt w:val="bullet"/>
      <w:lvlText w:val="•"/>
      <w:lvlJc w:val="left"/>
      <w:pPr>
        <w:ind w:left="10729" w:hanging="1092"/>
      </w:pPr>
      <w:rPr>
        <w:rFonts w:hint="default"/>
      </w:rPr>
    </w:lvl>
    <w:lvl w:ilvl="8">
      <w:start w:val="0"/>
      <w:numFmt w:val="bullet"/>
      <w:lvlText w:val="•"/>
      <w:lvlJc w:val="left"/>
      <w:pPr>
        <w:ind w:left="12219" w:hanging="1092"/>
      </w:pPr>
      <w:rPr>
        <w:rFonts w:hint="default"/>
      </w:rPr>
    </w:lvl>
  </w:abstractNum>
  <w:abstractNum w:abstractNumId="1">
    <w:nsid w:val="69B6F937"/>
    <w:multiLevelType w:val="hybridMultilevel"/>
    <w:tmpl w:val="00000000"/>
    <w:lvl w:ilvl="0">
      <w:start w:val="1"/>
      <w:numFmt w:val="decimal"/>
      <w:lvlText w:val="（%1）"/>
      <w:lvlJc w:val="left"/>
      <w:pPr>
        <w:ind w:left="295" w:hanging="1092"/>
        <w:jc w:val="left"/>
      </w:pPr>
      <w:rPr>
        <w:rFonts w:ascii="微软雅黑" w:eastAsia="微软雅黑" w:hAnsi="微软雅黑" w:cs="微软雅黑" w:hint="default"/>
        <w:spacing w:val="-61"/>
        <w:w w:val="100"/>
        <w:sz w:val="40"/>
        <w:szCs w:val="40"/>
      </w:rPr>
    </w:lvl>
    <w:lvl w:ilvl="1">
      <w:start w:val="0"/>
      <w:numFmt w:val="bullet"/>
      <w:lvlText w:val="•"/>
      <w:lvlJc w:val="left"/>
      <w:pPr>
        <w:ind w:left="1789" w:hanging="1092"/>
      </w:pPr>
      <w:rPr>
        <w:rFonts w:hint="default"/>
      </w:rPr>
    </w:lvl>
    <w:lvl w:ilvl="2">
      <w:start w:val="0"/>
      <w:numFmt w:val="bullet"/>
      <w:lvlText w:val="•"/>
      <w:lvlJc w:val="left"/>
      <w:pPr>
        <w:ind w:left="3279" w:hanging="1092"/>
      </w:pPr>
      <w:rPr>
        <w:rFonts w:hint="default"/>
      </w:rPr>
    </w:lvl>
    <w:lvl w:ilvl="3">
      <w:start w:val="0"/>
      <w:numFmt w:val="bullet"/>
      <w:lvlText w:val="•"/>
      <w:lvlJc w:val="left"/>
      <w:pPr>
        <w:ind w:left="4769" w:hanging="1092"/>
      </w:pPr>
      <w:rPr>
        <w:rFonts w:hint="default"/>
      </w:rPr>
    </w:lvl>
    <w:lvl w:ilvl="4">
      <w:start w:val="0"/>
      <w:numFmt w:val="bullet"/>
      <w:lvlText w:val="•"/>
      <w:lvlJc w:val="left"/>
      <w:pPr>
        <w:ind w:left="6259" w:hanging="1092"/>
      </w:pPr>
      <w:rPr>
        <w:rFonts w:hint="default"/>
      </w:rPr>
    </w:lvl>
    <w:lvl w:ilvl="5">
      <w:start w:val="0"/>
      <w:numFmt w:val="bullet"/>
      <w:lvlText w:val="•"/>
      <w:lvlJc w:val="left"/>
      <w:pPr>
        <w:ind w:left="7749" w:hanging="1092"/>
      </w:pPr>
      <w:rPr>
        <w:rFonts w:hint="default"/>
      </w:rPr>
    </w:lvl>
    <w:lvl w:ilvl="6">
      <w:start w:val="0"/>
      <w:numFmt w:val="bullet"/>
      <w:lvlText w:val="•"/>
      <w:lvlJc w:val="left"/>
      <w:pPr>
        <w:ind w:left="9239" w:hanging="1092"/>
      </w:pPr>
      <w:rPr>
        <w:rFonts w:hint="default"/>
      </w:rPr>
    </w:lvl>
    <w:lvl w:ilvl="7">
      <w:start w:val="0"/>
      <w:numFmt w:val="bullet"/>
      <w:lvlText w:val="•"/>
      <w:lvlJc w:val="left"/>
      <w:pPr>
        <w:ind w:left="10729" w:hanging="1092"/>
      </w:pPr>
      <w:rPr>
        <w:rFonts w:hint="default"/>
      </w:rPr>
    </w:lvl>
    <w:lvl w:ilvl="8">
      <w:start w:val="0"/>
      <w:numFmt w:val="bullet"/>
      <w:lvlText w:val="•"/>
      <w:lvlJc w:val="left"/>
      <w:pPr>
        <w:ind w:left="12219" w:hanging="1092"/>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right="496"/>
      <w:jc w:val="center"/>
      <w:outlineLvl w:val="0"/>
    </w:pPr>
    <w:rPr>
      <w:rFonts w:ascii="微软雅黑" w:eastAsia="微软雅黑" w:hAnsi="微软雅黑" w:cs="微软雅黑"/>
      <w:b/>
      <w:bCs/>
      <w:sz w:val="48"/>
      <w:szCs w:val="48"/>
    </w:rPr>
  </w:style>
  <w:style w:type="paragraph" w:styleId="Heading2">
    <w:name w:val="heading 2"/>
    <w:basedOn w:val="Normal"/>
    <w:uiPriority w:val="1"/>
    <w:qFormat/>
    <w:pPr>
      <w:ind w:left="295"/>
      <w:outlineLvl w:val="1"/>
    </w:pPr>
    <w:rPr>
      <w:rFonts w:ascii="微软雅黑" w:eastAsia="微软雅黑" w:hAnsi="微软雅黑" w:cs="微软雅黑"/>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62"/>
      <w:ind w:left="295"/>
    </w:pPr>
    <w:rPr>
      <w:rFonts w:ascii="微软雅黑" w:eastAsia="微软雅黑" w:hAnsi="微软雅黑" w:cs="微软雅黑"/>
      <w:sz w:val="36"/>
      <w:szCs w:val="36"/>
    </w:rPr>
  </w:style>
  <w:style w:type="paragraph" w:styleId="TOC2">
    <w:name w:val="toc 2"/>
    <w:basedOn w:val="Normal"/>
    <w:uiPriority w:val="1"/>
    <w:qFormat/>
    <w:pPr>
      <w:spacing w:before="262"/>
      <w:ind w:left="925"/>
    </w:pPr>
    <w:rPr>
      <w:rFonts w:ascii="微软雅黑" w:eastAsia="微软雅黑" w:hAnsi="微软雅黑" w:cs="微软雅黑"/>
      <w:sz w:val="36"/>
      <w:szCs w:val="36"/>
    </w:rPr>
  </w:style>
  <w:style w:type="paragraph" w:styleId="BodyText">
    <w:name w:val="Body Text"/>
    <w:basedOn w:val="Normal"/>
    <w:uiPriority w:val="1"/>
    <w:qFormat/>
    <w:rPr>
      <w:rFonts w:ascii="微软雅黑" w:eastAsia="微软雅黑" w:hAnsi="微软雅黑" w:cs="微软雅黑"/>
      <w:sz w:val="42"/>
      <w:szCs w:val="42"/>
    </w:rPr>
  </w:style>
  <w:style w:type="paragraph" w:styleId="Title">
    <w:name w:val="Title"/>
    <w:basedOn w:val="Normal"/>
    <w:uiPriority w:val="1"/>
    <w:qFormat/>
    <w:pPr>
      <w:ind w:right="658"/>
      <w:jc w:val="center"/>
    </w:pPr>
    <w:rPr>
      <w:rFonts w:ascii="微软雅黑" w:eastAsia="微软雅黑" w:hAnsi="微软雅黑" w:cs="微软雅黑"/>
      <w:b/>
      <w:bCs/>
      <w:sz w:val="72"/>
      <w:szCs w:val="72"/>
    </w:rPr>
  </w:style>
  <w:style w:type="paragraph" w:styleId="ListParagraph">
    <w:name w:val="List Paragraph"/>
    <w:basedOn w:val="Normal"/>
    <w:uiPriority w:val="1"/>
    <w:qFormat/>
    <w:pPr>
      <w:ind w:left="295" w:firstLine="856"/>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image" Target="media/image1.png" /><Relationship Id="rId13" Type="http://schemas.openxmlformats.org/officeDocument/2006/relationships/image" Target="media/image2.png"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image" Target="media/image3.png"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yperlink" Target="https://d.book118.com/446013223011010054" TargetMode="External"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2024-02-01T19:56:08Z</dcterms:created>
  <dcterms:modified xsi:type="dcterms:W3CDTF">2024-02-01T19:56:08Z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2022-11-13T00:00:00Z</vt:filetime>
  </property>
  <property fmtid="{D5CDD505-2E9C-101B-9397-08002B2CF9AE}" pid="3" name="LastSaved">
    <vt:filetime>2024-02-01T00:00:00Z</vt:filetime>
  </property>
</Properties>
</file>