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8" w:line="183" w:lineRule="auto"/>
        <w:ind w:left="12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65pt;height:0.75pt;margin-top:728.14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65.</w:t>
      </w:r>
      <w:r>
        <w:rPr>
          <w:rFonts w:ascii="SimHei" w:eastAsia="SimHei" w:hAnsi="SimHei" w:cs="SimHei"/>
          <w:sz w:val="21"/>
          <w:szCs w:val="21"/>
        </w:rPr>
        <w:t>020</w:t>
      </w:r>
    </w:p>
    <w:p>
      <w:pPr>
        <w:spacing w:before="104" w:line="185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16</w:t>
      </w:r>
    </w:p>
    <w:p>
      <w:pPr>
        <w:spacing w:before="68" w:line="223" w:lineRule="auto"/>
        <w:ind w:left="1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备案号：384</w:t>
      </w:r>
      <w:r>
        <w:rPr>
          <w:rFonts w:ascii="SimHei" w:eastAsia="SimHei" w:hAnsi="SimHei" w:cs="SimHei"/>
          <w:sz w:val="21"/>
          <w:szCs w:val="21"/>
        </w:rPr>
        <w:t>98－2013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6"/>
          <w:sz w:val="48"/>
          <w:szCs w:val="48"/>
        </w:rPr>
        <w:t>青</w:t>
      </w:r>
      <w:r>
        <w:rPr>
          <w:rFonts w:ascii="SimHei" w:eastAsia="SimHei" w:hAnsi="SimHei" w:cs="SimHei"/>
          <w:spacing w:val="8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8"/>
          <w:sz w:val="48"/>
          <w:szCs w:val="48"/>
        </w:rPr>
        <w:t>海</w:t>
      </w:r>
      <w:r>
        <w:rPr>
          <w:rFonts w:ascii="SimHei" w:eastAsia="SimHei" w:hAnsi="SimHei" w:cs="SimHei"/>
          <w:spacing w:val="8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8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6" w:line="230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276" w:line="193" w:lineRule="auto"/>
        <w:ind w:left="318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447"/>
          <w:sz w:val="96"/>
          <w:szCs w:val="96"/>
        </w:rPr>
        <w:t>63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9"/>
          <w:sz w:val="48"/>
          <w:szCs w:val="48"/>
        </w:rPr>
        <w:t>方</w:t>
      </w:r>
      <w:r>
        <w:rPr>
          <w:rFonts w:ascii="SimHei" w:eastAsia="SimHei" w:hAnsi="SimHei" w:cs="SimHei"/>
          <w:spacing w:val="9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9"/>
          <w:sz w:val="48"/>
          <w:szCs w:val="48"/>
        </w:rPr>
        <w:t>标</w:t>
      </w:r>
      <w:r>
        <w:rPr>
          <w:rFonts w:ascii="SimHei" w:eastAsia="SimHei" w:hAnsi="SimHei" w:cs="SimHei"/>
          <w:spacing w:val="9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7"/>
          <w:sz w:val="48"/>
          <w:szCs w:val="48"/>
        </w:rPr>
        <w:t>准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88" w:line="203" w:lineRule="exact"/>
        <w:ind w:left="842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position w:val="-3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10"/>
          <w:position w:val="-3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10"/>
          <w:position w:val="-3"/>
          <w:sz w:val="27"/>
          <w:szCs w:val="27"/>
        </w:rPr>
        <w:t>6</w:t>
      </w:r>
      <w:r>
        <w:rPr>
          <w:rFonts w:ascii="SimHei" w:eastAsia="SimHei" w:hAnsi="SimHei" w:cs="SimHei"/>
          <w:spacing w:val="6"/>
          <w:position w:val="-3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spacing w:val="5"/>
          <w:position w:val="-3"/>
          <w:sz w:val="27"/>
          <w:szCs w:val="27"/>
        </w:rPr>
        <w:t>/</w:t>
      </w:r>
      <w:r>
        <w:rPr>
          <w:rFonts w:ascii="Times New Roman" w:eastAsia="Times New Roman" w:hAnsi="Times New Roman" w:cs="Times New Roman"/>
          <w:position w:val="-3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5"/>
          <w:position w:val="-3"/>
          <w:sz w:val="27"/>
          <w:szCs w:val="27"/>
        </w:rPr>
        <w:t xml:space="preserve">  </w:t>
      </w:r>
      <w:r>
        <w:rPr>
          <w:rFonts w:ascii="SimHei" w:eastAsia="SimHei" w:hAnsi="SimHei" w:cs="SimHei"/>
          <w:spacing w:val="5"/>
          <w:position w:val="-3"/>
          <w:sz w:val="27"/>
          <w:szCs w:val="27"/>
        </w:rPr>
        <w:t>1230</w:t>
      </w:r>
      <w:r>
        <w:rPr>
          <w:rFonts w:ascii="Times New Roman" w:eastAsia="Times New Roman" w:hAnsi="Times New Roman" w:cs="Times New Roman"/>
          <w:spacing w:val="5"/>
          <w:position w:val="-3"/>
          <w:sz w:val="27"/>
          <w:szCs w:val="27"/>
        </w:rPr>
        <w:t>—</w:t>
      </w:r>
      <w:r>
        <w:rPr>
          <w:rFonts w:ascii="SimHei" w:eastAsia="SimHei" w:hAnsi="SimHei" w:cs="SimHei"/>
          <w:spacing w:val="5"/>
          <w:position w:val="-3"/>
          <w:sz w:val="27"/>
          <w:szCs w:val="27"/>
        </w:rPr>
        <w:t>2013</w:t>
      </w:r>
    </w:p>
    <w:p>
      <w:pPr>
        <w:sectPr>
          <w:pgSz w:w="11905" w:h="16840"/>
          <w:pgMar w:top="509" w:right="818" w:bottom="0" w:left="1409" w:header="0" w:footer="0" w:gutter="0"/>
          <w:cols w:num="3" w:space="708" w:equalWidth="0">
            <w:col w:w="4408" w:space="100"/>
            <w:col w:w="1401" w:space="100"/>
            <w:col w:w="3668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66" w:line="681" w:lineRule="exact"/>
        <w:ind w:left="1441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4"/>
          <w:position w:val="10"/>
          <w:sz w:val="51"/>
          <w:szCs w:val="51"/>
        </w:rPr>
        <w:t>都</w:t>
      </w:r>
      <w:r>
        <w:rPr>
          <w:rFonts w:ascii="SimHei" w:eastAsia="SimHei" w:hAnsi="SimHei" w:cs="SimHei"/>
          <w:spacing w:val="8"/>
          <w:position w:val="10"/>
          <w:sz w:val="51"/>
          <w:szCs w:val="51"/>
        </w:rPr>
        <w:t>兰钝额斑螟、灰钝额斑螟</w:t>
      </w:r>
    </w:p>
    <w:p>
      <w:pPr>
        <w:spacing w:before="1" w:line="224" w:lineRule="auto"/>
        <w:ind w:left="3029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4"/>
          <w:sz w:val="51"/>
          <w:szCs w:val="51"/>
        </w:rPr>
        <w:t>防</w:t>
      </w:r>
      <w:r>
        <w:rPr>
          <w:rFonts w:ascii="SimHei" w:eastAsia="SimHei" w:hAnsi="SimHei" w:cs="SimHei"/>
          <w:spacing w:val="2"/>
          <w:sz w:val="51"/>
          <w:szCs w:val="51"/>
        </w:rPr>
        <w:t>治技术规程</w:t>
      </w:r>
    </w:p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09" w:right="818" w:bottom="0" w:left="1409" w:header="0" w:footer="0" w:gutter="0"/>
          <w:pgNumType w:start="2"/>
          <w:cols w:num="1" w:space="708" w:equalWidth="0">
            <w:col w:w="9676" w:space="0"/>
          </w:cols>
        </w:sectPr>
      </w:pPr>
    </w:p>
    <w:p/>
    <w:p/>
    <w:p/>
    <w:p/>
    <w:p/>
    <w:p/>
    <w:p/>
    <w:p/>
    <w:p/>
    <w:p/>
    <w:p>
      <w:pPr>
        <w:spacing w:line="145" w:lineRule="exact"/>
      </w:pPr>
    </w:p>
    <w:p>
      <w:pPr>
        <w:sectPr>
          <w:type w:val="nextPage"/>
          <w:pgSz w:w="11905" w:h="16840"/>
          <w:pgMar w:top="509" w:right="818" w:bottom="0" w:left="1409" w:header="0" w:footer="0" w:gutter="0"/>
          <w:pgNumType w:start="3"/>
          <w:cols w:num="1" w:space="708" w:equalWidth="0">
            <w:col w:w="9676" w:space="0"/>
          </w:cols>
          <w:titlePg w:val="0"/>
        </w:sectPr>
      </w:pPr>
    </w:p>
    <w:p>
      <w:pPr>
        <w:spacing w:before="57" w:line="194" w:lineRule="auto"/>
        <w:ind w:left="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10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09" w:right="818" w:bottom="0" w:left="1409" w:header="0" w:footer="0" w:gutter="0"/>
          <w:pgNumType w:start="4"/>
          <w:cols w:num="2" w:space="708" w:equalWidth="0">
            <w:col w:w="7275" w:space="100"/>
            <w:col w:w="230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7" w:line="201" w:lineRule="auto"/>
        <w:ind w:left="19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6"/>
          <w:sz w:val="27"/>
          <w:szCs w:val="27"/>
        </w:rPr>
        <w:t>青</w:t>
      </w:r>
      <w:r>
        <w:rPr>
          <w:rFonts w:ascii="SimHei" w:eastAsia="SimHei" w:hAnsi="SimHei" w:cs="SimHei"/>
          <w:spacing w:val="89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89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09" w:right="818" w:bottom="0" w:left="1409" w:header="0" w:footer="0" w:gutter="0"/>
          <w:pgNumType w:start="5"/>
          <w:cols w:num="1" w:space="708" w:equalWidth="0">
            <w:col w:w="9676" w:space="0"/>
          </w:cols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4041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9" w:line="312" w:lineRule="exact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本标准按照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</w:t>
      </w:r>
      <w:r>
        <w:rPr>
          <w:rFonts w:ascii="Times New Roman" w:eastAsia="Times New Roman" w:hAnsi="Times New Roman" w:cs="Times New Roman"/>
          <w:spacing w:val="-1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2009给出的规则起草。</w:t>
      </w:r>
    </w:p>
    <w:p>
      <w:pPr>
        <w:spacing w:line="219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本标准由</w:t>
      </w:r>
      <w:r>
        <w:rPr>
          <w:rFonts w:ascii="SimSun" w:eastAsia="SimSun" w:hAnsi="SimSun" w:cs="SimSun"/>
          <w:spacing w:val="-2"/>
          <w:sz w:val="21"/>
          <w:szCs w:val="21"/>
        </w:rPr>
        <w:t>青海大学提出并归口。</w:t>
      </w:r>
    </w:p>
    <w:p>
      <w:pPr>
        <w:spacing w:before="61" w:line="220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本标准起草单位：青海大学农牧学</w:t>
      </w:r>
      <w:r>
        <w:rPr>
          <w:rFonts w:ascii="SimSun" w:eastAsia="SimSun" w:hAnsi="SimSun" w:cs="SimSun"/>
          <w:spacing w:val="-1"/>
          <w:sz w:val="21"/>
          <w:szCs w:val="21"/>
        </w:rPr>
        <w:t>院草业科学系。</w:t>
      </w:r>
    </w:p>
    <w:p>
      <w:pPr>
        <w:spacing w:before="63" w:line="287" w:lineRule="auto"/>
        <w:ind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本标准起草人：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严</w:t>
      </w:r>
      <w:r>
        <w:rPr>
          <w:rFonts w:ascii="SimSun" w:eastAsia="SimSun" w:hAnsi="SimSun" w:cs="SimSun"/>
          <w:spacing w:val="-4"/>
          <w:sz w:val="21"/>
          <w:szCs w:val="21"/>
        </w:rPr>
        <w:t>林、仓生海、李晓明、马德寿、熊卫国、杨利林、朱琳、谢久祥、梅洁人、徐志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伟、张永军、邓晓青、郭蕊、郝金</w:t>
      </w:r>
      <w:r>
        <w:rPr>
          <w:rFonts w:ascii="SimSun" w:eastAsia="SimSun" w:hAnsi="SimSun" w:cs="SimSun"/>
          <w:spacing w:val="-1"/>
          <w:sz w:val="21"/>
          <w:szCs w:val="21"/>
        </w:rPr>
        <w:t>娥、李亚娟。</w:t>
      </w:r>
    </w:p>
    <w:p>
      <w:pPr>
        <w:sectPr>
          <w:footerReference w:type="default" r:id="rId4"/>
          <w:pgSz w:w="11905" w:h="16840"/>
          <w:pgMar w:top="1406" w:right="1132" w:bottom="1314" w:left="1424" w:header="0" w:footer="1134" w:gutter="0"/>
          <w:pgNumType w:start="6"/>
          <w:cols w:space="708"/>
        </w:sectPr>
      </w:pPr>
    </w:p>
    <w:p>
      <w:pPr>
        <w:spacing w:before="42" w:line="236" w:lineRule="auto"/>
        <w:ind w:right="76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1" w:lineRule="auto"/>
        <w:ind w:left="1805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"/>
          <w:sz w:val="32"/>
          <w:szCs w:val="32"/>
        </w:rPr>
        <w:t>都兰钝额斑螟、灰钝额斑</w:t>
      </w:r>
      <w:r>
        <w:rPr>
          <w:rFonts w:ascii="SimHei" w:eastAsia="SimHei" w:hAnsi="SimHei" w:cs="SimHei"/>
          <w:sz w:val="32"/>
          <w:szCs w:val="32"/>
        </w:rPr>
        <w:t>螟防治技术规程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68" w:line="280" w:lineRule="auto"/>
        <w:ind w:right="74" w:firstLine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7"/>
          <w:sz w:val="21"/>
          <w:szCs w:val="21"/>
        </w:rPr>
        <w:t>本</w:t>
      </w:r>
      <w:r>
        <w:rPr>
          <w:rFonts w:ascii="SimSun" w:eastAsia="SimSun" w:hAnsi="SimSun" w:cs="SimSun"/>
          <w:spacing w:val="16"/>
          <w:sz w:val="21"/>
          <w:szCs w:val="21"/>
        </w:rPr>
        <w:t>标准规定了都兰钝额斑螟[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Bazaria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dulanensis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Du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>&amp;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Yan</w:t>
      </w:r>
      <w:r>
        <w:rPr>
          <w:rFonts w:ascii="SimSun" w:eastAsia="SimSun" w:hAnsi="SimSun" w:cs="SimSun"/>
          <w:spacing w:val="16"/>
          <w:sz w:val="21"/>
          <w:szCs w:val="21"/>
        </w:rPr>
        <w:t>]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6"/>
          <w:sz w:val="21"/>
          <w:szCs w:val="21"/>
        </w:rPr>
        <w:t>和灰钝额斑螟(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Bazaria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turensis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Ragonot</w:t>
      </w:r>
      <w:r>
        <w:rPr>
          <w:rFonts w:ascii="SimSun" w:eastAsia="SimSun" w:hAnsi="SimSun" w:cs="SimSun"/>
          <w:spacing w:val="1"/>
          <w:sz w:val="21"/>
          <w:szCs w:val="21"/>
          <w14:textOutline w14:w="266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的发生程度及成灾标准、虫情监测、防治原则、防治技术措施</w:t>
      </w:r>
      <w:r>
        <w:rPr>
          <w:rFonts w:ascii="SimSun" w:eastAsia="SimSun" w:hAnsi="SimSun" w:cs="SimSun"/>
          <w:sz w:val="21"/>
          <w:szCs w:val="21"/>
        </w:rPr>
        <w:t>、防治效果检查等方面的技术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要</w:t>
      </w:r>
      <w:r>
        <w:rPr>
          <w:rFonts w:ascii="SimSun" w:eastAsia="SimSun" w:hAnsi="SimSun" w:cs="SimSun"/>
          <w:spacing w:val="-7"/>
          <w:sz w:val="21"/>
          <w:szCs w:val="21"/>
        </w:rPr>
        <w:t>求。</w:t>
      </w:r>
    </w:p>
    <w:p>
      <w:pPr>
        <w:spacing w:before="13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本标准适用于都兰钝额斑螟和灰钝</w:t>
      </w:r>
      <w:r>
        <w:rPr>
          <w:rFonts w:ascii="SimSun" w:eastAsia="SimSun" w:hAnsi="SimSun" w:cs="SimSun"/>
          <w:spacing w:val="-1"/>
          <w:sz w:val="21"/>
          <w:szCs w:val="21"/>
        </w:rPr>
        <w:t>额斑螟的防治。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74" w:lineRule="auto"/>
        <w:ind w:left="8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下列文件</w:t>
      </w:r>
      <w:r>
        <w:rPr>
          <w:rFonts w:ascii="SimSun" w:eastAsia="SimSun" w:hAnsi="SimSun" w:cs="SimSun"/>
          <w:spacing w:val="-13"/>
          <w:sz w:val="21"/>
          <w:szCs w:val="21"/>
        </w:rPr>
        <w:t>对</w:t>
      </w:r>
      <w:r>
        <w:rPr>
          <w:rFonts w:ascii="SimSun" w:eastAsia="SimSun" w:hAnsi="SimSun" w:cs="SimSun"/>
          <w:spacing w:val="-7"/>
          <w:sz w:val="21"/>
          <w:szCs w:val="21"/>
        </w:rPr>
        <w:t>于本文件应用是必不可少的。凡是注日期的引用文件，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仅所注日期的版本适用于本文件。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凡是不注日期的引用文件，其最新版本(包括所有的修改单)适用于本标准</w:t>
      </w:r>
      <w:r>
        <w:rPr>
          <w:rFonts w:ascii="SimSun" w:eastAsia="SimSun" w:hAnsi="SimSun" w:cs="SimSun"/>
          <w:spacing w:val="3"/>
          <w:sz w:val="21"/>
          <w:szCs w:val="21"/>
        </w:rPr>
        <w:t>。</w:t>
      </w:r>
    </w:p>
    <w:p>
      <w:pPr>
        <w:spacing w:before="1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4285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农药安全使用标准</w:t>
      </w:r>
    </w:p>
    <w:p>
      <w:pPr>
        <w:spacing w:before="61" w:line="312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8321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(所有部分)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农药合理使用准则</w:t>
      </w:r>
    </w:p>
    <w:p>
      <w:pPr>
        <w:spacing w:before="1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15781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森林抚育技术规程</w:t>
      </w:r>
    </w:p>
    <w:p>
      <w:pPr>
        <w:spacing w:before="61" w:line="312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18337</w:t>
      </w:r>
      <w:r>
        <w:rPr>
          <w:rFonts w:ascii="SimSun" w:eastAsia="SimSun" w:hAnsi="SimSun" w:cs="SimSun"/>
          <w:position w:val="7"/>
          <w:sz w:val="21"/>
          <w:szCs w:val="21"/>
        </w:rPr>
        <w:t>.3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生态公益林建设技术规程</w:t>
      </w:r>
    </w:p>
    <w:p>
      <w:pPr>
        <w:spacing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24689</w:t>
      </w:r>
      <w:r>
        <w:rPr>
          <w:rFonts w:ascii="SimSun" w:eastAsia="SimSun" w:hAnsi="SimSun" w:cs="SimSun"/>
          <w:sz w:val="21"/>
          <w:szCs w:val="21"/>
        </w:rPr>
        <w:t>.1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植物保护器械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虫情测报灯</w:t>
      </w:r>
    </w:p>
    <w:p>
      <w:pPr>
        <w:spacing w:before="62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24689.</w:t>
      </w:r>
      <w:r>
        <w:rPr>
          <w:rFonts w:ascii="SimSun" w:eastAsia="SimSun" w:hAnsi="SimSun" w:cs="SimSun"/>
          <w:sz w:val="21"/>
          <w:szCs w:val="21"/>
        </w:rPr>
        <w:t>2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植物保护器械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频振式杀虫灯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9" w:lineRule="exact"/>
        <w:ind w:left="43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下列术语和定义适用于本标准。</w:t>
      </w:r>
    </w:p>
    <w:p>
      <w:pPr>
        <w:spacing w:line="187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190" w:line="279" w:lineRule="exact"/>
        <w:ind w:left="42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Hei" w:eastAsia="SimHei" w:hAnsi="SimHei" w:cs="SimHei"/>
          <w:spacing w:val="-2"/>
          <w:position w:val="2"/>
          <w:sz w:val="21"/>
          <w:szCs w:val="21"/>
        </w:rPr>
        <w:t>都兰钝额斑螟</w:t>
      </w:r>
      <w:r>
        <w:rPr>
          <w:rFonts w:ascii="SimHei" w:eastAsia="SimHei" w:hAnsi="SimHei" w:cs="SimHei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2"/>
          <w:sz w:val="21"/>
          <w:szCs w:val="21"/>
        </w:rPr>
        <w:t>Bazaria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2"/>
          <w:sz w:val="21"/>
          <w:szCs w:val="21"/>
        </w:rPr>
        <w:t>dulanensis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Du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&amp;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>Yan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2"/>
          <w:sz w:val="21"/>
          <w:szCs w:val="21"/>
        </w:rPr>
        <w:t>和灰钝额斑螟</w:t>
      </w:r>
      <w:r>
        <w:rPr>
          <w:rFonts w:ascii="SimHei" w:eastAsia="SimHei" w:hAnsi="SimHei" w:cs="SimHei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2"/>
          <w:sz w:val="21"/>
          <w:szCs w:val="21"/>
        </w:rPr>
        <w:t>Ba</w:t>
      </w:r>
      <w:r>
        <w:rPr>
          <w:rFonts w:ascii="Times New Roman" w:eastAsia="Times New Roman" w:hAnsi="Times New Roman" w:cs="Times New Roman"/>
          <w:i/>
          <w:iCs/>
          <w:spacing w:val="-1"/>
          <w:position w:val="2"/>
          <w:sz w:val="21"/>
          <w:szCs w:val="21"/>
        </w:rPr>
        <w:t>zaria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2"/>
          <w:sz w:val="21"/>
          <w:szCs w:val="21"/>
        </w:rPr>
        <w:t>turensis</w:t>
      </w:r>
      <w:r>
        <w:rPr>
          <w:rFonts w:ascii="Times New Roman" w:eastAsia="Times New Roman" w:hAnsi="Times New Roman" w:cs="Times New Roman"/>
          <w:spacing w:val="-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1"/>
          <w:szCs w:val="21"/>
        </w:rPr>
        <w:t>Ragonot</w:t>
      </w:r>
    </w:p>
    <w:p>
      <w:pPr>
        <w:spacing w:before="224" w:line="274" w:lineRule="auto"/>
        <w:ind w:left="2" w:right="13" w:firstLine="425"/>
        <w:rPr>
          <w:rFonts w:ascii="SimSun" w:eastAsia="SimSun" w:hAnsi="SimSun" w:cs="SimSun"/>
          <w:sz w:val="21"/>
          <w:szCs w:val="21"/>
        </w:rPr>
        <w:sectPr>
          <w:footerReference w:type="default" r:id="rId5"/>
          <w:pgSz w:w="11905" w:h="16840"/>
          <w:pgMar w:top="1406" w:right="1056" w:bottom="1316" w:left="1420" w:header="0" w:footer="1134" w:gutter="0"/>
          <w:pgNumType w:start="7"/>
          <w:cols w:space="708"/>
        </w:sectPr>
      </w:pPr>
      <w:r>
        <w:rPr>
          <w:rFonts w:ascii="SimSun" w:eastAsia="SimSun" w:hAnsi="SimSun" w:cs="SimSun"/>
          <w:spacing w:val="16"/>
          <w:sz w:val="21"/>
          <w:szCs w:val="21"/>
        </w:rPr>
        <w:t>都</w:t>
      </w:r>
      <w:r>
        <w:rPr>
          <w:rFonts w:ascii="SimSun" w:eastAsia="SimSun" w:hAnsi="SimSun" w:cs="SimSun"/>
          <w:spacing w:val="12"/>
          <w:sz w:val="21"/>
          <w:szCs w:val="21"/>
        </w:rPr>
        <w:t>兰钝额斑螟和灰钝额斑螟隶属鳞翅目</w:t>
      </w:r>
      <w:r>
        <w:rPr>
          <w:rFonts w:ascii="SimSun" w:eastAsia="SimSun" w:hAnsi="SimSun" w:cs="SimSun"/>
          <w:sz w:val="21"/>
          <w:szCs w:val="21"/>
        </w:rPr>
        <w:t>Lepidoptera</w:t>
      </w:r>
      <w:r>
        <w:rPr>
          <w:rFonts w:ascii="SimSun" w:eastAsia="SimSun" w:hAnsi="SimSun" w:cs="SimSun"/>
          <w:spacing w:val="12"/>
          <w:sz w:val="21"/>
          <w:szCs w:val="21"/>
        </w:rPr>
        <w:t>、螟蛾科</w:t>
      </w:r>
      <w:r>
        <w:rPr>
          <w:rFonts w:ascii="SimSun" w:eastAsia="SimSun" w:hAnsi="SimSun" w:cs="SimSun"/>
          <w:sz w:val="21"/>
          <w:szCs w:val="21"/>
        </w:rPr>
        <w:t>Pyralidae</w:t>
      </w:r>
      <w:r>
        <w:rPr>
          <w:rFonts w:ascii="SimSun" w:eastAsia="SimSun" w:hAnsi="SimSun" w:cs="SimSun"/>
          <w:spacing w:val="12"/>
          <w:sz w:val="21"/>
          <w:szCs w:val="21"/>
        </w:rPr>
        <w:t>、钝额斑螟属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i/>
          <w:iCs/>
          <w:sz w:val="22"/>
          <w:szCs w:val="22"/>
        </w:rPr>
        <w:t>Bazaria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Ragonot</w:t>
      </w:r>
      <w:r>
        <w:rPr>
          <w:rFonts w:ascii="SimSun" w:eastAsia="SimSun" w:hAnsi="SimSun" w:cs="SimSun"/>
          <w:spacing w:val="1"/>
          <w:sz w:val="21"/>
          <w:szCs w:val="21"/>
        </w:rPr>
        <w:t>，前</w:t>
      </w:r>
      <w:r>
        <w:rPr>
          <w:rFonts w:ascii="SimSun" w:eastAsia="SimSun" w:hAnsi="SimSun" w:cs="SimSun"/>
          <w:sz w:val="21"/>
          <w:szCs w:val="21"/>
        </w:rPr>
        <w:t>者是2010年在柴达木盆地发现的世界新物种昆虫，后者是中国新纪录昆虫，两物种是青海</w:t>
      </w:r>
      <w:r>
        <w:rPr>
          <w:rFonts w:ascii="SimSun" w:eastAsia="SimSun" w:hAnsi="SimSun" w:cs="SimSun"/>
          <w:sz w:val="21"/>
          <w:szCs w:val="21"/>
        </w:rPr>
        <w:t xml:space="preserve"> </w:t>
      </w:r>
    </w:p>
    <w:p>
      <w:pPr>
        <w:spacing w:before="224" w:line="274" w:lineRule="auto"/>
        <w:ind w:left="2" w:right="13" w:firstLine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省柴达木盆地荒漠、半荒漠灌丛草原的主要害虫之一。夏季主要以幼虫钻</w:t>
      </w:r>
      <w:r>
        <w:rPr>
          <w:rFonts w:ascii="SimSun" w:eastAsia="SimSun" w:hAnsi="SimSun" w:cs="SimSun"/>
          <w:sz w:val="21"/>
          <w:szCs w:val="21"/>
        </w:rPr>
        <w:t>食危害白刺属</w:t>
      </w:r>
      <w:r>
        <w:rPr>
          <w:rFonts w:ascii="SimSun" w:eastAsia="SimSun" w:hAnsi="SimSun" w:cs="SimSun"/>
          <w:i/>
          <w:iCs/>
          <w:sz w:val="22"/>
          <w:szCs w:val="22"/>
        </w:rPr>
        <w:t>Nitrada</w:t>
      </w:r>
      <w:r>
        <w:rPr>
          <w:rFonts w:ascii="SimSun" w:eastAsia="SimSun" w:hAnsi="SimSun" w:cs="SimSun"/>
          <w:sz w:val="21"/>
          <w:szCs w:val="21"/>
        </w:rPr>
        <w:t>植物的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叶肉。识别特征参见附</w:t>
      </w:r>
      <w:r>
        <w:rPr>
          <w:rFonts w:ascii="SimSun" w:eastAsia="SimSun" w:hAnsi="SimSun" w:cs="SimSun"/>
          <w:spacing w:val="-1"/>
          <w:sz w:val="21"/>
          <w:szCs w:val="21"/>
        </w:rPr>
        <w:t>录A。发生特点参见附录B。</w:t>
      </w:r>
    </w:p>
    <w:p>
      <w:pPr>
        <w:spacing w:before="158" w:line="187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4" w:line="224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标准地和</w:t>
      </w:r>
      <w:r>
        <w:rPr>
          <w:rFonts w:ascii="SimHei" w:eastAsia="SimHei" w:hAnsi="SimHei" w:cs="SimHei"/>
          <w:sz w:val="21"/>
          <w:szCs w:val="21"/>
        </w:rPr>
        <w:t>标准株</w:t>
      </w:r>
    </w:p>
    <w:p>
      <w:pPr>
        <w:spacing w:before="214" w:line="283" w:lineRule="auto"/>
        <w:ind w:left="5" w:right="74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为调查都兰钝额斑螟发生情况和防治效果，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人为判断选出期望代表预定林分总体的典型地块。</w:t>
      </w:r>
      <w:r>
        <w:rPr>
          <w:rFonts w:ascii="SimSun" w:eastAsia="SimSun" w:hAnsi="SimSun" w:cs="SimSun"/>
          <w:spacing w:val="-2"/>
          <w:sz w:val="21"/>
          <w:szCs w:val="21"/>
        </w:rPr>
        <w:t>分</w:t>
      </w:r>
      <w:r>
        <w:rPr>
          <w:rFonts w:ascii="SimSun" w:eastAsia="SimSun" w:hAnsi="SimSun" w:cs="SimSun"/>
          <w:sz w:val="21"/>
          <w:szCs w:val="21"/>
        </w:rPr>
        <w:t>临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时标准地和</w:t>
      </w:r>
      <w:r>
        <w:rPr>
          <w:rFonts w:ascii="SimSun" w:eastAsia="SimSun" w:hAnsi="SimSun" w:cs="SimSun"/>
          <w:spacing w:val="-7"/>
          <w:sz w:val="21"/>
          <w:szCs w:val="21"/>
        </w:rPr>
        <w:t>永</w:t>
      </w:r>
      <w:r>
        <w:rPr>
          <w:rFonts w:ascii="SimSun" w:eastAsia="SimSun" w:hAnsi="SimSun" w:cs="SimSun"/>
          <w:spacing w:val="-6"/>
          <w:sz w:val="21"/>
          <w:szCs w:val="21"/>
        </w:rPr>
        <w:t>久标准地两种，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前者是调查时临时设置的非固定标准地，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后者用于长期、定期监测的固定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标准地。标准地内被选取用作</w:t>
      </w:r>
      <w:r>
        <w:rPr>
          <w:rFonts w:ascii="SimSun" w:eastAsia="SimSun" w:hAnsi="SimSun" w:cs="SimSun"/>
          <w:spacing w:val="-1"/>
          <w:sz w:val="21"/>
          <w:szCs w:val="21"/>
        </w:rPr>
        <w:t>系统调查的样树为标准株。</w:t>
      </w:r>
    </w:p>
    <w:p>
      <w:pPr>
        <w:spacing w:before="157" w:line="187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3</w:t>
      </w:r>
    </w:p>
    <w:p>
      <w:pPr>
        <w:sectPr>
          <w:footerReference w:type="default" r:id="rId6"/>
          <w:type w:val="nextPage"/>
          <w:pgSz w:w="11905" w:h="16840"/>
          <w:pgMar w:top="1406" w:right="1056" w:bottom="1316" w:left="1420" w:header="0" w:footer="1134" w:gutter="0"/>
          <w:pgNumType w:start="8"/>
          <w:cols w:space="708"/>
          <w:titlePg w:val="0"/>
        </w:sectPr>
      </w:pPr>
    </w:p>
    <w:p>
      <w:pPr>
        <w:spacing w:before="42" w:line="236" w:lineRule="auto"/>
        <w:ind w:right="7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42" w:line="224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监测</w:t>
      </w:r>
    </w:p>
    <w:p>
      <w:pPr>
        <w:spacing w:before="214" w:line="287" w:lineRule="auto"/>
        <w:ind w:left="5" w:right="75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在生物学、生态学、生理学基础上，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运用先进技术手段和科学调查方法，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观察都兰钝额斑螟种群</w:t>
      </w:r>
      <w:r>
        <w:rPr>
          <w:rFonts w:ascii="SimSun" w:eastAsia="SimSun" w:hAnsi="SimSun" w:cs="SimSun"/>
          <w:spacing w:val="-6"/>
          <w:sz w:val="21"/>
          <w:szCs w:val="21"/>
        </w:rPr>
        <w:t>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态</w:t>
      </w:r>
      <w:r>
        <w:rPr>
          <w:rFonts w:ascii="SimSun" w:eastAsia="SimSun" w:hAnsi="SimSun" w:cs="SimSun"/>
          <w:spacing w:val="-7"/>
          <w:sz w:val="21"/>
          <w:szCs w:val="21"/>
        </w:rPr>
        <w:t>规律。</w:t>
      </w:r>
    </w:p>
    <w:p>
      <w:pPr>
        <w:spacing w:before="157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4</w:t>
      </w:r>
    </w:p>
    <w:p>
      <w:pPr>
        <w:spacing w:before="223" w:line="221" w:lineRule="auto"/>
        <w:ind w:left="43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防</w:t>
      </w:r>
      <w:r>
        <w:rPr>
          <w:rFonts w:ascii="SimHei" w:eastAsia="SimHei" w:hAnsi="SimHei" w:cs="SimHei"/>
          <w:spacing w:val="-3"/>
          <w:sz w:val="21"/>
          <w:szCs w:val="21"/>
        </w:rPr>
        <w:t>治指标</w:t>
      </w:r>
    </w:p>
    <w:p>
      <w:pPr>
        <w:spacing w:before="218" w:line="287" w:lineRule="auto"/>
        <w:ind w:left="22" w:right="74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防治病、虫、草等有害生物挽回的</w:t>
      </w:r>
      <w:r>
        <w:rPr>
          <w:rFonts w:ascii="SimSun" w:eastAsia="SimSun" w:hAnsi="SimSun" w:cs="SimSun"/>
          <w:spacing w:val="-3"/>
          <w:sz w:val="21"/>
          <w:szCs w:val="21"/>
        </w:rPr>
        <w:t>经</w:t>
      </w:r>
      <w:r>
        <w:rPr>
          <w:rFonts w:ascii="SimSun" w:eastAsia="SimSun" w:hAnsi="SimSun" w:cs="SimSun"/>
          <w:spacing w:val="-2"/>
          <w:sz w:val="21"/>
          <w:szCs w:val="21"/>
        </w:rPr>
        <w:t>济损失与防治成本等价时的作物受害程度或有害生物种群密度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的</w:t>
      </w:r>
      <w:r>
        <w:rPr>
          <w:rFonts w:ascii="SimSun" w:eastAsia="SimSun" w:hAnsi="SimSun" w:cs="SimSun"/>
          <w:spacing w:val="-10"/>
          <w:sz w:val="21"/>
          <w:szCs w:val="21"/>
        </w:rPr>
        <w:t>数值。</w:t>
      </w:r>
    </w:p>
    <w:p>
      <w:pPr>
        <w:spacing w:before="157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5</w:t>
      </w:r>
    </w:p>
    <w:p>
      <w:pPr>
        <w:spacing w:before="224" w:line="222" w:lineRule="auto"/>
        <w:ind w:left="42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经济</w:t>
      </w:r>
      <w:r>
        <w:rPr>
          <w:rFonts w:ascii="SimHei" w:eastAsia="SimHei" w:hAnsi="SimHei" w:cs="SimHei"/>
          <w:spacing w:val="-1"/>
          <w:sz w:val="21"/>
          <w:szCs w:val="21"/>
        </w:rPr>
        <w:t>损害允许水平</w:t>
      </w:r>
    </w:p>
    <w:p>
      <w:pPr>
        <w:spacing w:before="216" w:line="499" w:lineRule="exact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害虫危害造成经济损失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的作物最低受害程度或有害生物最低种群密度。</w:t>
      </w:r>
    </w:p>
    <w:p>
      <w:pPr>
        <w:spacing w:line="186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</w:p>
    <w:p>
      <w:pPr>
        <w:spacing w:before="225" w:line="221" w:lineRule="auto"/>
        <w:ind w:left="43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防</w:t>
      </w:r>
      <w:r>
        <w:rPr>
          <w:rFonts w:ascii="SimHei" w:eastAsia="SimHei" w:hAnsi="SimHei" w:cs="SimHei"/>
          <w:spacing w:val="-3"/>
          <w:sz w:val="21"/>
          <w:szCs w:val="21"/>
        </w:rPr>
        <w:t>治适期</w:t>
      </w:r>
    </w:p>
    <w:p>
      <w:pPr>
        <w:spacing w:before="217" w:line="499" w:lineRule="exact"/>
        <w:ind w:left="43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position w:val="22"/>
          <w:sz w:val="21"/>
          <w:szCs w:val="21"/>
        </w:rPr>
        <w:t>防</w:t>
      </w:r>
      <w:r>
        <w:rPr>
          <w:rFonts w:ascii="SimSun" w:eastAsia="SimSun" w:hAnsi="SimSun" w:cs="SimSun"/>
          <w:spacing w:val="-6"/>
          <w:position w:val="22"/>
          <w:sz w:val="21"/>
          <w:szCs w:val="21"/>
        </w:rPr>
        <w:t>治</w:t>
      </w: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害虫的最佳时期。</w:t>
      </w:r>
    </w:p>
    <w:p>
      <w:pPr>
        <w:spacing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7</w:t>
      </w:r>
    </w:p>
    <w:p>
      <w:pPr>
        <w:spacing w:before="224" w:line="221" w:lineRule="auto"/>
        <w:ind w:left="4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虫口密度</w:t>
      </w:r>
    </w:p>
    <w:p>
      <w:pPr>
        <w:spacing w:before="217" w:line="220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在各样点</w:t>
      </w:r>
      <w:r>
        <w:rPr>
          <w:rFonts w:ascii="SimSun" w:eastAsia="SimSun" w:hAnsi="SimSun" w:cs="SimSun"/>
          <w:spacing w:val="4"/>
          <w:sz w:val="21"/>
          <w:szCs w:val="21"/>
        </w:rPr>
        <w:t>植物树冠上单位面积内都兰钝额斑螟和灰钝额斑螟幼虫的数量(头/平方米)。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发生程度和成灾标准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发生程度</w:t>
      </w:r>
    </w:p>
    <w:p>
      <w:pPr>
        <w:spacing w:before="217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8"/>
          <w:sz w:val="21"/>
          <w:szCs w:val="21"/>
        </w:rPr>
        <w:t>都兰钝</w:t>
      </w:r>
      <w:r>
        <w:rPr>
          <w:rFonts w:ascii="SimSun" w:eastAsia="SimSun" w:hAnsi="SimSun" w:cs="SimSun"/>
          <w:spacing w:val="-11"/>
          <w:sz w:val="21"/>
          <w:szCs w:val="21"/>
        </w:rPr>
        <w:t>额</w:t>
      </w:r>
      <w:r>
        <w:rPr>
          <w:rFonts w:ascii="SimSun" w:eastAsia="SimSun" w:hAnsi="SimSun" w:cs="SimSun"/>
          <w:spacing w:val="-9"/>
          <w:sz w:val="21"/>
          <w:szCs w:val="21"/>
        </w:rPr>
        <w:t>斑螟、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灰钝额斑螟发生程度分轻度发生、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中度发生和重度发生3个等级。划分标准见附录C。</w:t>
      </w:r>
    </w:p>
    <w:p>
      <w:pPr>
        <w:spacing w:before="21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成灾标准</w:t>
      </w:r>
    </w:p>
    <w:p>
      <w:pPr>
        <w:spacing w:before="215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都兰钝额斑螟</w:t>
      </w:r>
    </w:p>
    <w:p>
      <w:pPr>
        <w:spacing w:before="218" w:line="287" w:lineRule="auto"/>
        <w:ind w:left="9" w:right="75" w:firstLine="4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白刺生长在立地条件差的干旱、半干旱地区，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幼虫虫口密度达到23头/平方米以上,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或平均叶片</w:t>
      </w:r>
      <w:r>
        <w:rPr>
          <w:rFonts w:ascii="SimSun" w:eastAsia="SimSun" w:hAnsi="SimSun" w:cs="SimSun"/>
          <w:sz w:val="21"/>
          <w:szCs w:val="21"/>
        </w:rPr>
        <w:t>被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0"/>
          <w:sz w:val="21"/>
          <w:szCs w:val="21"/>
        </w:rPr>
        <w:t>害</w:t>
      </w:r>
      <w:r>
        <w:rPr>
          <w:rFonts w:ascii="SimSun" w:eastAsia="SimSun" w:hAnsi="SimSun" w:cs="SimSun"/>
          <w:spacing w:val="16"/>
          <w:sz w:val="21"/>
          <w:szCs w:val="21"/>
        </w:rPr>
        <w:t>率</w:t>
      </w:r>
      <w:r>
        <w:rPr>
          <w:rFonts w:ascii="SimSun" w:eastAsia="SimSun" w:hAnsi="SimSun" w:cs="SimSun"/>
          <w:spacing w:val="15"/>
          <w:sz w:val="21"/>
          <w:szCs w:val="21"/>
        </w:rPr>
        <w:t>达到20%以上，即为成灾。平均叶片被害率(%)按公式(1)和(2)计算。</w:t>
      </w:r>
    </w:p>
    <w:p>
      <w:pPr>
        <w:spacing w:before="134" w:line="683" w:lineRule="exact"/>
        <w:ind w:right="189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SimSun" w:eastAsia="SimSun" w:hAnsi="SimSun" w:cs="SimSun"/>
          <w:spacing w:val="-2"/>
          <w:position w:val="9"/>
          <w:sz w:val="20"/>
          <w:szCs w:val="20"/>
        </w:rPr>
        <w:t>叶片被害率(</w:t>
      </w:r>
      <w:r>
        <w:rPr>
          <w:rFonts w:ascii="Times New Roman" w:eastAsia="Times New Roman" w:hAnsi="Times New Roman" w:cs="Times New Roman"/>
          <w:spacing w:val="-2"/>
          <w:position w:val="9"/>
          <w:sz w:val="20"/>
          <w:szCs w:val="20"/>
        </w:rPr>
        <w:t>%,</w:t>
      </w:r>
      <w:r>
        <w:rPr>
          <w:rFonts w:ascii="Times New Roman" w:eastAsia="Times New Roman" w:hAnsi="Times New Roman" w:cs="Times New Roman"/>
          <w:spacing w:val="-1"/>
          <w:position w:val="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position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>i</w:t>
      </w:r>
      <w:r>
        <w:rPr>
          <w:rFonts w:ascii="Times New Roman" w:eastAsia="Times New Roman" w:hAnsi="Times New Roman" w:cs="Times New Roman"/>
          <w:spacing w:val="-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position w:val="9"/>
          <w:sz w:val="20"/>
          <w:szCs w:val="20"/>
        </w:rPr>
        <w:t>)</w:t>
      </w:r>
      <w:r>
        <w:rPr>
          <w:rFonts w:ascii="SimSun" w:eastAsia="SimSun" w:hAnsi="SimSun" w:cs="SimSun"/>
          <w:spacing w:val="-2"/>
          <w:position w:val="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2"/>
          <w:position w:val="9"/>
          <w:sz w:val="20"/>
          <w:szCs w:val="20"/>
        </w:rPr>
        <w:t>=</w:t>
      </w:r>
      <w:r>
        <w:rPr>
          <w:rFonts w:ascii="Symbol" w:eastAsia="Symbol" w:hAnsi="Symbol" w:cs="Symbol"/>
          <w:spacing w:val="-2"/>
          <w:position w:val="9"/>
          <w:sz w:val="20"/>
          <w:szCs w:val="20"/>
        </w:rPr>
        <w:t xml:space="preserve"> </w:t>
      </w:r>
      <w:r>
        <w:rPr>
          <w:rFonts w:ascii="SimSun" w:eastAsia="SimSun" w:hAnsi="SimSun" w:cs="SimSun"/>
          <w:strike/>
          <w:spacing w:val="-2"/>
          <w:position w:val="21"/>
          <w:sz w:val="20"/>
          <w:szCs w:val="20"/>
        </w:rPr>
        <w:t>样</w:t>
      </w:r>
      <w:r>
        <w:ruby>
          <w:rubyPr>
            <w:rubyAlign w:val="left"/>
            <w:hps w:val="20"/>
            <w:hpsRaise w:val="12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11"/>
                <w:position w:val="9"/>
                <w:sz w:val="20"/>
                <w:szCs w:val="20"/>
              </w:rPr>
              <w:t>方</w:t>
            </w:r>
            <w:r>
              <w:rPr>
                <w:rFonts w:ascii="SimSun" w:eastAsia="SimSun" w:hAnsi="SimSun" w:cs="SimSun"/>
                <w:strike/>
                <w:spacing w:val="7"/>
                <w:position w:val="9"/>
                <w:sz w:val="20"/>
                <w:szCs w:val="20"/>
              </w:rPr>
              <w:t>内害虫危害叶片</w:t>
            </w:r>
          </w:rt>
          <w:rubyBase>
            <w:r>
              <w:rPr>
                <w:rFonts w:ascii="SimSun" w:eastAsia="SimSun" w:hAnsi="SimSun" w:cs="SimSun"/>
                <w:strike/>
                <w:spacing w:val="23"/>
                <w:position w:val="-8"/>
                <w:sz w:val="20"/>
                <w:szCs w:val="20"/>
              </w:rPr>
              <w:t>样方内总叶片数</w:t>
            </w:r>
          </w:rubyBase>
        </w:ruby>
      </w:r>
      <w:r>
        <w:rPr>
          <w:rFonts w:ascii="SimSun" w:eastAsia="SimSun" w:hAnsi="SimSun" w:cs="SimSun"/>
          <w:strike/>
          <w:spacing w:val="-2"/>
          <w:position w:val="21"/>
          <w:sz w:val="20"/>
          <w:szCs w:val="20"/>
        </w:rPr>
        <w:t>数</w:t>
      </w:r>
      <w:r>
        <w:rPr>
          <w:rFonts w:ascii="SimSun" w:eastAsia="SimSun" w:hAnsi="SimSun" w:cs="SimSun"/>
          <w:strike/>
          <w:spacing w:val="-2"/>
          <w:position w:val="2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position w:val="21"/>
          <w:sz w:val="20"/>
          <w:szCs w:val="20"/>
        </w:rPr>
        <w:t xml:space="preserve"> </w:t>
      </w:r>
      <w:r>
        <w:rPr>
          <w:position w:val="4"/>
          <w:sz w:val="20"/>
          <w:szCs w:val="20"/>
        </w:rPr>
        <w:drawing>
          <wp:inline distT="0" distB="0" distL="0" distR="0">
            <wp:extent cx="56965" cy="161909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65" cy="161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9"/>
          <w:sz w:val="20"/>
          <w:szCs w:val="20"/>
        </w:rPr>
        <w:t>100</w:t>
      </w:r>
      <w:r>
        <w:rPr>
          <w:rFonts w:ascii="Times New Roman" w:eastAsia="Times New Roman" w:hAnsi="Times New Roman" w:cs="Times New Roman"/>
          <w:spacing w:val="-1"/>
          <w:position w:val="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position w:val="11"/>
          <w:sz w:val="20"/>
          <w:szCs w:val="20"/>
        </w:rPr>
        <w:t>……………………………</w:t>
      </w:r>
      <w:r>
        <w:rPr>
          <w:rFonts w:ascii="Arial" w:eastAsia="Arial" w:hAnsi="Arial" w:cs="Arial"/>
          <w:spacing w:val="-1"/>
          <w:position w:val="11"/>
          <w:sz w:val="20"/>
          <w:szCs w:val="20"/>
        </w:rPr>
        <w:t xml:space="preserve">   </w:t>
      </w:r>
      <w:r>
        <w:rPr>
          <w:rFonts w:ascii="Arial" w:eastAsia="Arial" w:hAnsi="Arial" w:cs="Arial"/>
          <w:spacing w:val="-1"/>
          <w:position w:val="11"/>
          <w:sz w:val="20"/>
          <w:szCs w:val="20"/>
        </w:rPr>
        <w:t>(1)</w:t>
      </w:r>
    </w:p>
    <w:p>
      <w:pPr>
        <w:spacing w:before="63" w:line="225" w:lineRule="auto"/>
        <w:ind w:right="185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position w:val="2"/>
          <w:sz w:val="22"/>
          <w:szCs w:val="22"/>
        </w:rPr>
        <w:t>平均叶</w:t>
      </w:r>
      <w:r>
        <w:rPr>
          <w:rFonts w:ascii="SimSun" w:eastAsia="SimSun" w:hAnsi="SimSun" w:cs="SimSun"/>
          <w:spacing w:val="3"/>
          <w:position w:val="2"/>
          <w:sz w:val="22"/>
          <w:szCs w:val="22"/>
        </w:rPr>
        <w:t>片</w:t>
      </w:r>
      <w:r>
        <w:rPr>
          <w:rFonts w:ascii="SimSun" w:eastAsia="SimSun" w:hAnsi="SimSun" w:cs="SimSun"/>
          <w:spacing w:val="2"/>
          <w:position w:val="2"/>
          <w:sz w:val="22"/>
          <w:szCs w:val="22"/>
        </w:rPr>
        <w:t>被害率(</w:t>
      </w:r>
      <w:r>
        <w:rPr>
          <w:rFonts w:ascii="Times New Roman" w:eastAsia="Times New Roman" w:hAnsi="Times New Roman" w:cs="Times New Roman"/>
          <w:spacing w:val="2"/>
          <w:position w:val="2"/>
          <w:sz w:val="22"/>
          <w:szCs w:val="22"/>
        </w:rPr>
        <w:t>%</w:t>
      </w:r>
      <w:r>
        <w:rPr>
          <w:rFonts w:ascii="SimSun" w:eastAsia="SimSun" w:hAnsi="SimSun" w:cs="SimSun"/>
          <w:spacing w:val="2"/>
          <w:position w:val="2"/>
          <w:sz w:val="22"/>
          <w:szCs w:val="22"/>
        </w:rPr>
        <w:t>)</w:t>
      </w:r>
      <w:r>
        <w:rPr>
          <w:rFonts w:ascii="SimSun" w:eastAsia="SimSun" w:hAnsi="SimSun" w:cs="SimSun"/>
          <w:spacing w:val="2"/>
          <w:position w:val="2"/>
          <w:sz w:val="22"/>
          <w:szCs w:val="22"/>
        </w:rPr>
        <w:t xml:space="preserve"> </w:t>
      </w:r>
      <w:r>
        <w:rPr>
          <w:rFonts w:ascii="Symbol" w:eastAsia="Symbol" w:hAnsi="Symbol" w:cs="Symbol"/>
          <w:spacing w:val="2"/>
          <w:position w:val="2"/>
          <w:sz w:val="22"/>
          <w:szCs w:val="22"/>
        </w:rPr>
        <w:t>=</w:t>
      </w:r>
      <w:r>
        <w:rPr>
          <w:rFonts w:ascii="Symbol" w:eastAsia="Symbol" w:hAnsi="Symbol" w:cs="Symbol"/>
          <w:spacing w:val="2"/>
          <w:position w:val="2"/>
          <w:sz w:val="22"/>
          <w:szCs w:val="22"/>
        </w:rPr>
        <w:t xml:space="preserve"> </w:t>
      </w:r>
      <w:r>
        <w:rPr>
          <w:position w:val="-23"/>
          <w:sz w:val="22"/>
          <w:szCs w:val="22"/>
        </w:rPr>
        <w:drawing>
          <wp:inline distT="0" distB="0" distL="0" distR="0">
            <wp:extent cx="143135" cy="34318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3135" cy="343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trike/>
          <w:spacing w:val="2"/>
          <w:position w:val="-15"/>
          <w:sz w:val="22"/>
          <w:szCs w:val="22"/>
        </w:rPr>
        <w:t>调</w:t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叶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5"/>
                <w:sz w:val="22"/>
                <w:szCs w:val="22"/>
              </w:rPr>
              <w:t>查</w:t>
            </w:r>
          </w:rubyBase>
        </w:ruby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片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5"/>
                <w:sz w:val="22"/>
                <w:szCs w:val="22"/>
              </w:rPr>
              <w:t>的</w:t>
            </w:r>
          </w:rubyBase>
        </w:ruby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被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5"/>
                <w:sz w:val="22"/>
                <w:szCs w:val="22"/>
              </w:rPr>
              <w:t>样</w:t>
            </w:r>
          </w:rubyBase>
        </w:ruby>
      </w:r>
      <w:r>
        <w:ruby>
          <w:rubyPr>
            <w:rubyAlign w:val="left"/>
            <w:hps w:val="22"/>
            <w:hpsRaise w:val="16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17"/>
                <w:w w:val="78"/>
                <w:sz w:val="22"/>
                <w:szCs w:val="22"/>
              </w:rPr>
              <w:t>害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5"/>
                <w:sz w:val="22"/>
                <w:szCs w:val="22"/>
              </w:rPr>
              <w:t>方</w:t>
            </w:r>
          </w:rubyBase>
        </w:ruby>
      </w:r>
      <w:r>
        <w:ruby>
          <w:rubyPr>
            <w:rubyAlign w:val="left"/>
            <w:hps w:val="13"/>
            <w:hpsRaise w:val="14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-3"/>
                <w:w w:val="87"/>
                <w:sz w:val="22"/>
                <w:szCs w:val="22"/>
              </w:rPr>
              <w:t>率</w:t>
            </w:r>
            <w:r>
              <w:rPr>
                <w:rFonts w:ascii="Times New Roman" w:eastAsia="Times New Roman" w:hAnsi="Times New Roman" w:cs="Times New Roman"/>
                <w:strike/>
                <w:spacing w:val="-3"/>
                <w:w w:val="87"/>
                <w:sz w:val="22"/>
                <w:szCs w:val="22"/>
              </w:rPr>
              <w:t>N</w:t>
            </w:r>
            <w:r>
              <w:rPr>
                <w:rFonts w:ascii="Times New Roman" w:eastAsia="Times New Roman" w:hAnsi="Times New Roman" w:cs="Times New Roman"/>
                <w:strike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trike/>
                <w:spacing w:val="-3"/>
                <w:w w:val="87"/>
                <w:sz w:val="13"/>
                <w:szCs w:val="13"/>
              </w:rPr>
              <w:t>i</w:t>
            </w:r>
          </w:rt>
          <w:rubyBase>
            <w:r>
              <w:rPr>
                <w:rFonts w:ascii="SimSun" w:eastAsia="SimSun" w:hAnsi="SimSun" w:cs="SimSun"/>
                <w:strike/>
                <w:spacing w:val="3"/>
                <w:position w:val="-15"/>
                <w:sz w:val="22"/>
                <w:szCs w:val="22"/>
              </w:rPr>
              <w:t>总数</w:t>
            </w:r>
          </w:rubyBase>
        </w:ruby>
      </w:r>
      <w:r>
        <w:rPr>
          <w:rFonts w:ascii="Times New Roman" w:eastAsia="Times New Roman" w:hAnsi="Times New Roman" w:cs="Times New Roman"/>
          <w:strike/>
          <w:position w:val="-15"/>
          <w:sz w:val="22"/>
          <w:szCs w:val="22"/>
        </w:rPr>
        <w:t>n</w:t>
      </w:r>
      <w:r>
        <w:rPr>
          <w:rFonts w:ascii="Times New Roman" w:eastAsia="Times New Roman" w:hAnsi="Times New Roman" w:cs="Times New Roman"/>
          <w:spacing w:val="2"/>
          <w:position w:val="-15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position w:val="4"/>
          <w:sz w:val="20"/>
          <w:szCs w:val="20"/>
        </w:rPr>
        <w:t>……………………………………</w:t>
      </w:r>
      <w:r>
        <w:rPr>
          <w:rFonts w:ascii="Arial" w:eastAsia="Arial" w:hAnsi="Arial" w:cs="Arial"/>
          <w:spacing w:val="2"/>
          <w:position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position w:val="4"/>
          <w:sz w:val="21"/>
          <w:szCs w:val="21"/>
        </w:rPr>
        <w:t>(2)</w:t>
      </w:r>
    </w:p>
    <w:p>
      <w:pPr>
        <w:spacing w:line="297" w:lineRule="auto"/>
        <w:rPr>
          <w:rFonts w:ascii="Arial"/>
          <w:sz w:val="21"/>
        </w:rPr>
        <w:sectPr>
          <w:footerReference w:type="default" r:id="rId9"/>
          <w:pgSz w:w="11905" w:h="16840"/>
          <w:pgMar w:top="1406" w:right="1057" w:bottom="1315" w:left="1419" w:header="0" w:footer="1134" w:gutter="0"/>
          <w:pgNumType w:start="9"/>
          <w:cols w:space="708"/>
        </w:sectPr>
      </w:pPr>
    </w:p>
    <w:p>
      <w:pPr>
        <w:spacing w:before="69" w:line="221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1" w:line="312" w:lineRule="exact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position w:val="7"/>
          <w:sz w:val="21"/>
          <w:szCs w:val="21"/>
        </w:rPr>
        <w:t>i</w:t>
      </w:r>
      <w:r>
        <w:rPr>
          <w:rFonts w:ascii="SimSun" w:eastAsia="SimSun" w:hAnsi="SimSun" w:cs="SimSun"/>
          <w:spacing w:val="-8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表示调查的样方序号；</w:t>
      </w:r>
    </w:p>
    <w:p>
      <w:pPr>
        <w:spacing w:line="220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表示调查的样方总数；</w:t>
      </w:r>
    </w:p>
    <w:p>
      <w:pPr>
        <w:sectPr>
          <w:footerReference w:type="default" r:id="rId10"/>
          <w:type w:val="nextPage"/>
          <w:pgSz w:w="11905" w:h="16840"/>
          <w:pgMar w:top="1406" w:right="1057" w:bottom="1315" w:left="1419" w:header="0" w:footer="1134" w:gutter="0"/>
          <w:pgNumType w:start="10"/>
          <w:cols w:space="708"/>
          <w:titlePg w:val="0"/>
        </w:sectPr>
      </w:pPr>
    </w:p>
    <w:p>
      <w:pPr>
        <w:spacing w:before="42" w:line="236" w:lineRule="auto"/>
        <w:ind w:right="7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11" w:line="276" w:lineRule="exact"/>
        <w:ind w:left="4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Ni</w:t>
      </w:r>
      <w:r>
        <w:rPr>
          <w:rFonts w:ascii="Times New Roman" w:eastAsia="Times New Roman" w:hAnsi="Times New Roman" w:cs="Times New Roman"/>
          <w:spacing w:val="18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position w:val="1"/>
          <w:sz w:val="21"/>
          <w:szCs w:val="21"/>
        </w:rPr>
        <w:t>表示第</w:t>
      </w:r>
      <w:r>
        <w:rPr>
          <w:rFonts w:ascii="SimSun" w:eastAsia="SimSun" w:hAnsi="SimSun" w:cs="SimSun"/>
          <w:spacing w:val="9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9"/>
          <w:position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9"/>
          <w:position w:val="1"/>
          <w:sz w:val="21"/>
          <w:szCs w:val="21"/>
        </w:rPr>
        <w:t>样方叶片被害率(</w:t>
      </w:r>
      <w:r>
        <w:rPr>
          <w:rFonts w:ascii="Times New Roman" w:eastAsia="Times New Roman" w:hAnsi="Times New Roman" w:cs="Times New Roman"/>
          <w:spacing w:val="9"/>
          <w:position w:val="1"/>
          <w:sz w:val="21"/>
          <w:szCs w:val="21"/>
        </w:rPr>
        <w:t>%</w:t>
      </w:r>
      <w:r>
        <w:rPr>
          <w:rFonts w:ascii="SimSun" w:eastAsia="SimSun" w:hAnsi="SimSun" w:cs="SimSun"/>
          <w:spacing w:val="9"/>
          <w:position w:val="1"/>
          <w:sz w:val="21"/>
          <w:szCs w:val="21"/>
        </w:rPr>
        <w:t>)。</w:t>
      </w:r>
    </w:p>
    <w:p>
      <w:pPr>
        <w:spacing w:before="222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灰钝额斑螟</w:t>
      </w:r>
    </w:p>
    <w:p>
      <w:pPr>
        <w:spacing w:before="217" w:line="287" w:lineRule="auto"/>
        <w:ind w:left="11" w:right="75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幼虫虫口</w:t>
      </w:r>
      <w:r>
        <w:rPr>
          <w:rFonts w:ascii="SimSun" w:eastAsia="SimSun" w:hAnsi="SimSun" w:cs="SimSun"/>
          <w:spacing w:val="-7"/>
          <w:sz w:val="21"/>
          <w:szCs w:val="21"/>
        </w:rPr>
        <w:t>密</w:t>
      </w:r>
      <w:r>
        <w:rPr>
          <w:rFonts w:ascii="SimSun" w:eastAsia="SimSun" w:hAnsi="SimSun" w:cs="SimSun"/>
          <w:spacing w:val="-4"/>
          <w:sz w:val="21"/>
          <w:szCs w:val="21"/>
        </w:rPr>
        <w:t>度达到50头/平方米以上,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或平均叶片被害率达到20%以上，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即为成灾。平均叶片被害率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5"/>
          <w:sz w:val="21"/>
          <w:szCs w:val="21"/>
        </w:rPr>
        <w:t>(</w:t>
      </w:r>
      <w:r>
        <w:rPr>
          <w:rFonts w:ascii="SimSun" w:eastAsia="SimSun" w:hAnsi="SimSun" w:cs="SimSun"/>
          <w:spacing w:val="36"/>
          <w:sz w:val="21"/>
          <w:szCs w:val="21"/>
        </w:rPr>
        <w:t>%)按公式(1)和(2)计算。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发生面积的统计起点</w:t>
      </w:r>
    </w:p>
    <w:p>
      <w:pPr>
        <w:spacing w:before="217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按虫口密度达到</w:t>
      </w:r>
      <w:r>
        <w:rPr>
          <w:rFonts w:ascii="SimSun" w:eastAsia="SimSun" w:hAnsi="SimSun" w:cs="SimSun"/>
          <w:spacing w:val="-1"/>
          <w:sz w:val="21"/>
          <w:szCs w:val="21"/>
        </w:rPr>
        <w:t>能造成轻度发生以上或已造成轻度危害以上时进行统计。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虫情监测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调查内容</w:t>
      </w:r>
    </w:p>
    <w:p>
      <w:pPr>
        <w:spacing w:before="215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都兰钝额斑螟和灰钝额斑</w:t>
      </w:r>
      <w:r>
        <w:rPr>
          <w:rFonts w:ascii="SimSun" w:eastAsia="SimSun" w:hAnsi="SimSun" w:cs="SimSun"/>
          <w:spacing w:val="-1"/>
          <w:sz w:val="21"/>
          <w:szCs w:val="21"/>
        </w:rPr>
        <w:t>螟幼虫发生面积、密度、发生程度调查。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调查方法</w:t>
      </w:r>
    </w:p>
    <w:p>
      <w:pPr>
        <w:spacing w:before="217" w:line="317" w:lineRule="auto"/>
        <w:ind w:right="785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线路踏查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"/>
          <w:sz w:val="21"/>
          <w:szCs w:val="21"/>
        </w:rPr>
        <w:t>5.2.1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时间</w:t>
      </w:r>
    </w:p>
    <w:p>
      <w:pPr>
        <w:spacing w:before="215" w:line="411" w:lineRule="auto"/>
        <w:ind w:right="327" w:firstLine="424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每年1次。都兰钝额斑螟6月下旬~7月中旬，灰钝额斑螟6月上旬~6月下旬，幼虫开始活动</w:t>
      </w:r>
      <w:r>
        <w:rPr>
          <w:rFonts w:ascii="SimSun" w:eastAsia="SimSun" w:hAnsi="SimSun" w:cs="SimSun"/>
          <w:spacing w:val="1"/>
          <w:sz w:val="21"/>
          <w:szCs w:val="21"/>
        </w:rPr>
        <w:t>后</w:t>
      </w:r>
      <w:r>
        <w:rPr>
          <w:rFonts w:ascii="SimSun" w:eastAsia="SimSun" w:hAnsi="SimSun" w:cs="SimSun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路线</w:t>
      </w:r>
    </w:p>
    <w:p>
      <w:pPr>
        <w:spacing w:before="3" w:line="282" w:lineRule="auto"/>
        <w:ind w:left="7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在寄主树种(</w:t>
      </w:r>
      <w:r>
        <w:rPr>
          <w:rFonts w:ascii="SimSun" w:eastAsia="SimSun" w:hAnsi="SimSun" w:cs="SimSun"/>
          <w:spacing w:val="-5"/>
          <w:sz w:val="21"/>
          <w:szCs w:val="21"/>
        </w:rPr>
        <w:t>白</w:t>
      </w:r>
      <w:r>
        <w:rPr>
          <w:rFonts w:ascii="SimSun" w:eastAsia="SimSun" w:hAnsi="SimSun" w:cs="SimSun"/>
          <w:spacing w:val="-4"/>
          <w:sz w:val="21"/>
          <w:szCs w:val="21"/>
        </w:rPr>
        <w:t>刺、枸杞)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发生区，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根据森林资源分布图，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选定踏查路线。主要沿林道、土路、公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路、铁路等</w:t>
      </w:r>
      <w:r>
        <w:rPr>
          <w:rFonts w:ascii="SimSun" w:eastAsia="SimSun" w:hAnsi="SimSun" w:cs="SimSun"/>
          <w:spacing w:val="-9"/>
          <w:sz w:val="21"/>
          <w:szCs w:val="21"/>
        </w:rPr>
        <w:t>路</w:t>
      </w:r>
      <w:r>
        <w:rPr>
          <w:rFonts w:ascii="SimSun" w:eastAsia="SimSun" w:hAnsi="SimSun" w:cs="SimSun"/>
          <w:spacing w:val="-6"/>
          <w:sz w:val="21"/>
          <w:szCs w:val="21"/>
        </w:rPr>
        <w:t>线调查，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重点对白刺灌木林进行踏查，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按每50株~l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00株树选1株样株的比例，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进行调查。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调查结果填入都兰</w:t>
      </w:r>
      <w:r>
        <w:rPr>
          <w:rFonts w:ascii="SimSun" w:eastAsia="SimSun" w:hAnsi="SimSun" w:cs="SimSun"/>
          <w:spacing w:val="-1"/>
          <w:sz w:val="21"/>
          <w:szCs w:val="21"/>
        </w:rPr>
        <w:t>钝额斑螟踏查记录表。调查表记录内容见附录D。</w:t>
      </w:r>
    </w:p>
    <w:p>
      <w:pPr>
        <w:spacing w:before="12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标准地调查</w:t>
      </w:r>
    </w:p>
    <w:p>
      <w:pPr>
        <w:spacing w:before="21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>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确定标准地和标准株</w:t>
      </w:r>
    </w:p>
    <w:p>
      <w:pPr>
        <w:spacing w:before="215" w:line="281" w:lineRule="auto"/>
        <w:ind w:left="6" w:right="74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在</w:t>
      </w:r>
      <w:r>
        <w:rPr>
          <w:rFonts w:ascii="SimSun" w:eastAsia="SimSun" w:hAnsi="SimSun" w:cs="SimSun"/>
          <w:spacing w:val="-7"/>
          <w:sz w:val="21"/>
          <w:szCs w:val="21"/>
        </w:rPr>
        <w:t>已</w:t>
      </w:r>
      <w:r>
        <w:rPr>
          <w:rFonts w:ascii="SimSun" w:eastAsia="SimSun" w:hAnsi="SimSun" w:cs="SimSun"/>
          <w:spacing w:val="-4"/>
          <w:sz w:val="21"/>
          <w:szCs w:val="21"/>
        </w:rPr>
        <w:t>发生区的寄主树种面积内选取有代表性的地点，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67公顷(约1000亩)林地设一块固定标准地0.07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公顷(约1亩)</w:t>
      </w:r>
      <w:r>
        <w:rPr>
          <w:rFonts w:ascii="SimSun" w:eastAsia="SimSun" w:hAnsi="SimSun" w:cs="SimSun"/>
          <w:spacing w:val="7"/>
          <w:sz w:val="21"/>
          <w:szCs w:val="21"/>
        </w:rPr>
        <w:t>。</w:t>
      </w:r>
      <w:r>
        <w:rPr>
          <w:rFonts w:ascii="SimSun" w:eastAsia="SimSun" w:hAnsi="SimSun" w:cs="SimSun"/>
          <w:spacing w:val="4"/>
          <w:sz w:val="21"/>
          <w:szCs w:val="21"/>
        </w:rPr>
        <w:t>如当年固定标准地无虫，可在附近有虫林分另设临时性标准地进行观察。每块标准地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内选取有代表性</w:t>
      </w:r>
      <w:r>
        <w:rPr>
          <w:rFonts w:ascii="SimSun" w:eastAsia="SimSun" w:hAnsi="SimSun" w:cs="SimSun"/>
          <w:spacing w:val="3"/>
          <w:sz w:val="21"/>
          <w:szCs w:val="21"/>
        </w:rPr>
        <w:t>的</w:t>
      </w:r>
      <w:r>
        <w:rPr>
          <w:rFonts w:ascii="SimSun" w:eastAsia="SimSun" w:hAnsi="SimSun" w:cs="SimSun"/>
          <w:spacing w:val="2"/>
          <w:sz w:val="21"/>
          <w:szCs w:val="21"/>
        </w:rPr>
        <w:t>标准株3株~5株，进行发生为害程度调查。标准株一般采用双对角线法或“</w:t>
      </w:r>
      <w:r>
        <w:rPr>
          <w:rFonts w:ascii="SimSun" w:eastAsia="SimSun" w:hAnsi="SimSun" w:cs="SimSun"/>
          <w:sz w:val="21"/>
          <w:szCs w:val="21"/>
        </w:rPr>
        <w:t>Z</w:t>
      </w:r>
      <w:r>
        <w:rPr>
          <w:rFonts w:ascii="SimSun" w:eastAsia="SimSun" w:hAnsi="SimSun" w:cs="SimSun"/>
          <w:spacing w:val="2"/>
          <w:sz w:val="21"/>
          <w:szCs w:val="21"/>
        </w:rPr>
        <w:t>”字形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法</w:t>
      </w:r>
      <w:r>
        <w:rPr>
          <w:rFonts w:ascii="SimSun" w:eastAsia="SimSun" w:hAnsi="SimSun" w:cs="SimSun"/>
          <w:spacing w:val="-7"/>
          <w:sz w:val="21"/>
          <w:szCs w:val="21"/>
        </w:rPr>
        <w:t>取样。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>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虫口密度调查方法</w:t>
      </w:r>
    </w:p>
    <w:p>
      <w:pPr>
        <w:spacing w:before="216" w:line="278" w:lineRule="auto"/>
        <w:ind w:left="5" w:firstLine="419"/>
        <w:rPr>
          <w:rFonts w:ascii="SimSun" w:eastAsia="SimSun" w:hAnsi="SimSun" w:cs="SimSun"/>
          <w:sz w:val="21"/>
          <w:szCs w:val="21"/>
        </w:rPr>
        <w:sectPr>
          <w:footerReference w:type="default" r:id="rId11"/>
          <w:pgSz w:w="11905" w:h="16840"/>
          <w:pgMar w:top="1406" w:right="1057" w:bottom="1315" w:left="1419" w:header="0" w:footer="1135" w:gutter="0"/>
          <w:pgNumType w:start="11"/>
          <w:cols w:space="708"/>
        </w:sectPr>
      </w:pPr>
      <w:r>
        <w:rPr>
          <w:rFonts w:ascii="SimSun" w:eastAsia="SimSun" w:hAnsi="SimSun" w:cs="SimSun"/>
          <w:spacing w:val="12"/>
          <w:sz w:val="21"/>
          <w:szCs w:val="21"/>
        </w:rPr>
        <w:t>每年6月</w:t>
      </w:r>
      <w:r>
        <w:rPr>
          <w:rFonts w:ascii="SimSun" w:eastAsia="SimSun" w:hAnsi="SimSun" w:cs="SimSun"/>
          <w:spacing w:val="6"/>
          <w:sz w:val="21"/>
          <w:szCs w:val="21"/>
        </w:rPr>
        <w:t>中旬至7月下旬(都兰钝额斑螟)，或每年5月下旬至7月上旬(灰钝额斑螟)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，每隔5天调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查一次，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在标准株(每丛白刺灌丛)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树冠部位选取东、南、西、北、中5个方位，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每个方位的树冠分</w:t>
      </w:r>
      <w:r>
        <w:rPr>
          <w:rFonts w:ascii="SimSun" w:eastAsia="SimSun" w:hAnsi="SimSun" w:cs="SimSun"/>
          <w:spacing w:val="-4"/>
          <w:sz w:val="21"/>
          <w:szCs w:val="21"/>
        </w:rPr>
        <w:t>上</w:t>
      </w:r>
      <w:r>
        <w:rPr>
          <w:rFonts w:ascii="SimSun" w:eastAsia="SimSun" w:hAnsi="SimSun" w:cs="SimSun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6"/>
          <w:sz w:val="21"/>
          <w:szCs w:val="21"/>
        </w:rPr>
        <w:t>中</w:t>
      </w:r>
      <w:r>
        <w:rPr>
          <w:rFonts w:ascii="SimSun" w:eastAsia="SimSun" w:hAnsi="SimSun" w:cs="SimSun"/>
          <w:spacing w:val="10"/>
          <w:sz w:val="21"/>
          <w:szCs w:val="21"/>
        </w:rPr>
        <w:t>、</w:t>
      </w:r>
      <w:r>
        <w:rPr>
          <w:rFonts w:ascii="SimSun" w:eastAsia="SimSun" w:hAnsi="SimSun" w:cs="SimSun"/>
          <w:spacing w:val="8"/>
          <w:sz w:val="21"/>
          <w:szCs w:val="21"/>
        </w:rPr>
        <w:t>下3层(各层厚度范围在10厘米~20厘米之间)，共15个资源单位，每个资源单位设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20</w:t>
      </w:r>
      <w:r>
        <w:rPr>
          <w:rFonts w:ascii="SimSun" w:eastAsia="SimSun" w:hAnsi="SimSun" w:cs="SimSun"/>
          <w:spacing w:val="8"/>
          <w:sz w:val="21"/>
          <w:szCs w:val="21"/>
        </w:rPr>
        <w:t>厘米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×20</w:t>
      </w:r>
      <w:r>
        <w:rPr>
          <w:rFonts w:ascii="SimSun" w:eastAsia="SimSun" w:hAnsi="SimSun" w:cs="SimSun"/>
          <w:spacing w:val="8"/>
          <w:sz w:val="21"/>
          <w:szCs w:val="21"/>
        </w:rPr>
        <w:t>厘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8"/>
          <w:sz w:val="21"/>
          <w:szCs w:val="21"/>
        </w:rPr>
        <w:t>米(</w:t>
      </w:r>
      <w:r>
        <w:rPr>
          <w:rFonts w:ascii="SimSun" w:eastAsia="SimSun" w:hAnsi="SimSun" w:cs="SimSun"/>
          <w:spacing w:val="21"/>
          <w:sz w:val="21"/>
          <w:szCs w:val="21"/>
        </w:rPr>
        <w:t>都</w:t>
      </w:r>
      <w:r>
        <w:rPr>
          <w:rFonts w:ascii="SimSun" w:eastAsia="SimSun" w:hAnsi="SimSun" w:cs="SimSun"/>
          <w:spacing w:val="14"/>
          <w:sz w:val="21"/>
          <w:szCs w:val="21"/>
        </w:rPr>
        <w:t>兰钝额斑螟)或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>50</w:t>
      </w:r>
      <w:r>
        <w:rPr>
          <w:rFonts w:ascii="SimSun" w:eastAsia="SimSun" w:hAnsi="SimSun" w:cs="SimSun"/>
          <w:spacing w:val="14"/>
          <w:sz w:val="21"/>
          <w:szCs w:val="21"/>
        </w:rPr>
        <w:t>厘米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>×50</w:t>
      </w:r>
      <w:r>
        <w:rPr>
          <w:rFonts w:ascii="SimSun" w:eastAsia="SimSun" w:hAnsi="SimSun" w:cs="SimSun"/>
          <w:spacing w:val="14"/>
          <w:sz w:val="21"/>
          <w:szCs w:val="21"/>
        </w:rPr>
        <w:t>厘米(灰钝额斑螟)的样方1个，在样方内随机取10片~50片叶(视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取样量大小定</w:t>
      </w:r>
      <w:r>
        <w:rPr>
          <w:rFonts w:ascii="SimSun" w:eastAsia="SimSun" w:hAnsi="SimSun" w:cs="SimSun"/>
          <w:spacing w:val="-6"/>
          <w:sz w:val="21"/>
          <w:szCs w:val="21"/>
        </w:rPr>
        <w:t>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调查样方少，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取叶片可多些)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，检查并记录叶片上的钝额斑螟幼虫数量、被害叶片(有</w:t>
      </w:r>
      <w:r>
        <w:rPr>
          <w:rFonts w:ascii="SimSun" w:eastAsia="SimSun" w:hAnsi="SimSun" w:cs="SimSun"/>
          <w:sz w:val="21"/>
          <w:szCs w:val="21"/>
        </w:rPr>
        <w:t xml:space="preserve"> </w:t>
      </w:r>
    </w:p>
    <w:p>
      <w:pPr>
        <w:spacing w:before="216" w:line="278" w:lineRule="auto"/>
        <w:ind w:left="5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斑螟取食痕迹的叶片，或有钻蛀痕迹的叶片，或有</w:t>
      </w:r>
      <w:r>
        <w:rPr>
          <w:rFonts w:ascii="SimSun" w:eastAsia="SimSun" w:hAnsi="SimSun" w:cs="SimSun"/>
          <w:spacing w:val="1"/>
          <w:sz w:val="21"/>
          <w:szCs w:val="21"/>
        </w:rPr>
        <w:t>卷叶的叶片，或因虫害掉落的叶片)数、总叶片数。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标</w:t>
      </w:r>
      <w:r>
        <w:rPr>
          <w:rFonts w:ascii="SimSun" w:eastAsia="SimSun" w:hAnsi="SimSun" w:cs="SimSun"/>
          <w:spacing w:val="-3"/>
          <w:sz w:val="21"/>
          <w:szCs w:val="21"/>
        </w:rPr>
        <w:t>准地调查表见附录E。</w:t>
      </w:r>
    </w:p>
    <w:p>
      <w:pPr>
        <w:spacing w:before="284" w:line="221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防治策略</w:t>
      </w:r>
    </w:p>
    <w:p>
      <w:pPr>
        <w:sectPr>
          <w:footerReference w:type="default" r:id="rId12"/>
          <w:type w:val="nextPage"/>
          <w:pgSz w:w="11905" w:h="16840"/>
          <w:pgMar w:top="1406" w:right="1057" w:bottom="1315" w:left="1419" w:header="0" w:footer="1135" w:gutter="0"/>
          <w:pgNumType w:start="12"/>
          <w:cols w:space="708"/>
          <w:titlePg w:val="0"/>
        </w:sectPr>
      </w:pPr>
    </w:p>
    <w:p>
      <w:pPr>
        <w:spacing w:before="42" w:line="236" w:lineRule="auto"/>
        <w:ind w:right="67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42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防治策略</w:t>
      </w:r>
    </w:p>
    <w:p>
      <w:pPr>
        <w:spacing w:before="215" w:line="281" w:lineRule="auto"/>
        <w:ind w:left="6" w:right="7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7"/>
          <w:sz w:val="21"/>
          <w:szCs w:val="21"/>
        </w:rPr>
        <w:t>贯</w:t>
      </w:r>
      <w:r>
        <w:rPr>
          <w:rFonts w:ascii="SimSun" w:eastAsia="SimSun" w:hAnsi="SimSun" w:cs="SimSun"/>
          <w:spacing w:val="-16"/>
          <w:sz w:val="21"/>
          <w:szCs w:val="21"/>
        </w:rPr>
        <w:t>彻“预防为主，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科学防控，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依法治理，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促进健康”的方针，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因地制宜，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分区治理。加强虫情监测，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以营林措施</w:t>
      </w:r>
      <w:r>
        <w:rPr>
          <w:rFonts w:ascii="SimSun" w:eastAsia="SimSun" w:hAnsi="SimSun" w:cs="SimSun"/>
          <w:sz w:val="21"/>
          <w:szCs w:val="21"/>
        </w:rPr>
        <w:t>为基础，无公害防治为主导，以1-3龄幼虫防治为重点，以经济阈值为标准，掌握最佳防治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时期</w:t>
      </w:r>
      <w:r>
        <w:rPr>
          <w:rFonts w:ascii="SimSun" w:eastAsia="SimSun" w:hAnsi="SimSun" w:cs="SimSun"/>
          <w:spacing w:val="-21"/>
          <w:sz w:val="21"/>
          <w:szCs w:val="21"/>
        </w:rPr>
        <w:t>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协调运用生物、药剂等防治措施，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保护天敌资源，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增加生物多样性，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改善生态环境，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逐步降低有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虫叶率和虫口密度，减轻危害程度，实现</w:t>
      </w:r>
      <w:r>
        <w:rPr>
          <w:rFonts w:ascii="SimSun" w:eastAsia="SimSun" w:hAnsi="SimSun" w:cs="SimSun"/>
          <w:spacing w:val="-1"/>
          <w:sz w:val="21"/>
          <w:szCs w:val="21"/>
        </w:rPr>
        <w:t>有虫不成灾。</w:t>
      </w:r>
    </w:p>
    <w:p>
      <w:pPr>
        <w:spacing w:before="12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分区治理原则</w:t>
      </w:r>
    </w:p>
    <w:p>
      <w:pPr>
        <w:spacing w:before="21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重度发生区</w:t>
      </w:r>
    </w:p>
    <w:p>
      <w:pPr>
        <w:spacing w:before="216" w:line="283" w:lineRule="auto"/>
        <w:ind w:right="67" w:firstLine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实施大范围生物药剂、仿生药剂和植物源药剂混合的无公害药剂防治，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以及局部化学药剂应急防</w:t>
      </w:r>
      <w:r>
        <w:rPr>
          <w:rFonts w:ascii="SimSun" w:eastAsia="SimSun" w:hAnsi="SimSun" w:cs="SimSun"/>
          <w:sz w:val="21"/>
          <w:szCs w:val="21"/>
        </w:rPr>
        <w:t>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的原则。连</w:t>
      </w:r>
      <w:r>
        <w:rPr>
          <w:rFonts w:ascii="SimSun" w:eastAsia="SimSun" w:hAnsi="SimSun" w:cs="SimSun"/>
          <w:spacing w:val="-9"/>
          <w:sz w:val="21"/>
          <w:szCs w:val="21"/>
        </w:rPr>
        <w:t>续</w:t>
      </w:r>
      <w:r>
        <w:rPr>
          <w:rFonts w:ascii="SimSun" w:eastAsia="SimSun" w:hAnsi="SimSun" w:cs="SimSun"/>
          <w:spacing w:val="-6"/>
          <w:sz w:val="21"/>
          <w:szCs w:val="21"/>
        </w:rPr>
        <w:t>接种式或低剂量喷施生物制剂，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或喷施仿生药剂、植物源药剂；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爆发时喷施化学杀虫剂与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微生物药剂混合剂；长期保护天敌昆</w:t>
      </w:r>
      <w:r>
        <w:rPr>
          <w:rFonts w:ascii="SimSun" w:eastAsia="SimSun" w:hAnsi="SimSun" w:cs="SimSun"/>
          <w:spacing w:val="-1"/>
          <w:sz w:val="21"/>
          <w:szCs w:val="21"/>
        </w:rPr>
        <w:t>虫资源。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中度发生区和轻度发生区</w:t>
      </w:r>
    </w:p>
    <w:p>
      <w:pPr>
        <w:spacing w:before="216" w:line="283" w:lineRule="auto"/>
        <w:ind w:left="3" w:right="67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8"/>
          <w:sz w:val="21"/>
          <w:szCs w:val="21"/>
        </w:rPr>
        <w:t>实</w:t>
      </w:r>
      <w:r>
        <w:rPr>
          <w:rFonts w:ascii="SimSun" w:eastAsia="SimSun" w:hAnsi="SimSun" w:cs="SimSun"/>
          <w:spacing w:val="-11"/>
          <w:sz w:val="21"/>
          <w:szCs w:val="21"/>
        </w:rPr>
        <w:t>行</w:t>
      </w:r>
      <w:r>
        <w:rPr>
          <w:rFonts w:ascii="SimSun" w:eastAsia="SimSun" w:hAnsi="SimSun" w:cs="SimSun"/>
          <w:spacing w:val="-9"/>
          <w:sz w:val="21"/>
          <w:szCs w:val="21"/>
        </w:rPr>
        <w:t>保护与改善生态条件，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采取预防措施为主，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重点防控虫源地、治点保面。对虫源地，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连续接种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式或低剂量喷施</w:t>
      </w:r>
      <w:r>
        <w:rPr>
          <w:rFonts w:ascii="SimSun" w:eastAsia="SimSun" w:hAnsi="SimSun" w:cs="SimSun"/>
          <w:spacing w:val="-4"/>
          <w:sz w:val="21"/>
          <w:szCs w:val="21"/>
        </w:rPr>
        <w:t>生物制剂；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长期保护天敌昆虫资源。对有虫叶率和虫口密度较低的轻度发生区以微生物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药剂防治为主。</w:t>
      </w:r>
    </w:p>
    <w:p>
      <w:pPr>
        <w:spacing w:before="127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未发生区</w:t>
      </w:r>
    </w:p>
    <w:p>
      <w:pPr>
        <w:spacing w:before="217" w:line="287" w:lineRule="auto"/>
        <w:ind w:right="65" w:firstLine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实行保护良好生态环境及生物多样性，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长期保护自然控制的原则。重点监测与都兰钝额斑螟、</w:t>
      </w:r>
      <w:r>
        <w:rPr>
          <w:rFonts w:ascii="SimSun" w:eastAsia="SimSun" w:hAnsi="SimSun" w:cs="SimSun"/>
          <w:spacing w:val="-2"/>
          <w:sz w:val="21"/>
          <w:szCs w:val="21"/>
        </w:rPr>
        <w:t>灰</w:t>
      </w:r>
      <w:r>
        <w:rPr>
          <w:rFonts w:ascii="SimSun" w:eastAsia="SimSun" w:hAnsi="SimSun" w:cs="SimSun"/>
          <w:sz w:val="21"/>
          <w:szCs w:val="21"/>
        </w:rPr>
        <w:t>钝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额斑螟发生区毗邻的地区；及时发</w:t>
      </w:r>
      <w:r>
        <w:rPr>
          <w:rFonts w:ascii="SimSun" w:eastAsia="SimSun" w:hAnsi="SimSun" w:cs="SimSun"/>
          <w:spacing w:val="-1"/>
          <w:sz w:val="21"/>
          <w:szCs w:val="21"/>
        </w:rPr>
        <w:t>现，及时治理。</w:t>
      </w:r>
    </w:p>
    <w:p>
      <w:pPr>
        <w:spacing w:before="284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防</w:t>
      </w:r>
      <w:r>
        <w:rPr>
          <w:rFonts w:ascii="SimHei" w:eastAsia="SimHei" w:hAnsi="SimHei" w:cs="SimHei"/>
          <w:sz w:val="21"/>
          <w:szCs w:val="21"/>
        </w:rPr>
        <w:t>治技术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营</w:t>
      </w:r>
      <w:r>
        <w:rPr>
          <w:rFonts w:ascii="SimHei" w:eastAsia="SimHei" w:hAnsi="SimHei" w:cs="SimHei"/>
          <w:sz w:val="21"/>
          <w:szCs w:val="21"/>
        </w:rPr>
        <w:t>林技术</w:t>
      </w:r>
    </w:p>
    <w:p>
      <w:pPr>
        <w:spacing w:before="215" w:line="223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7.1.1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封山育林</w:t>
      </w:r>
    </w:p>
    <w:p>
      <w:pPr>
        <w:spacing w:before="214" w:line="468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按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18337.3执行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。</w:t>
      </w:r>
    </w:p>
    <w:p>
      <w:pPr>
        <w:spacing w:before="1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7.1.2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抚育管理</w:t>
      </w:r>
    </w:p>
    <w:p>
      <w:pPr>
        <w:spacing w:before="215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按</w:t>
      </w:r>
      <w:r>
        <w:rPr>
          <w:rFonts w:ascii="SimSun" w:eastAsia="SimSun" w:hAnsi="SimSun" w:cs="SimSun"/>
          <w:spacing w:val="-2"/>
          <w:sz w:val="21"/>
          <w:szCs w:val="21"/>
        </w:rPr>
        <w:t>GB/T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15781执行。</w:t>
      </w:r>
    </w:p>
    <w:p>
      <w:pPr>
        <w:spacing w:before="218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防治</w:t>
      </w:r>
      <w:r>
        <w:rPr>
          <w:rFonts w:ascii="SimHei" w:eastAsia="SimHei" w:hAnsi="SimHei" w:cs="SimHei"/>
          <w:sz w:val="21"/>
          <w:szCs w:val="21"/>
        </w:rPr>
        <w:t>标准及防区确定</w:t>
      </w:r>
    </w:p>
    <w:p>
      <w:pPr>
        <w:spacing w:before="216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防治指标</w:t>
      </w:r>
    </w:p>
    <w:p>
      <w:pPr>
        <w:spacing w:before="218" w:line="274" w:lineRule="auto"/>
        <w:ind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都兰钝额斑螟防治指标为幼虫虫口密度23头/平方米，或经济损害允许水平即平均叶片被</w:t>
      </w:r>
      <w:r>
        <w:rPr>
          <w:rFonts w:ascii="SimSun" w:eastAsia="SimSun" w:hAnsi="SimSun" w:cs="SimSun"/>
          <w:sz w:val="21"/>
          <w:szCs w:val="21"/>
        </w:rPr>
        <w:t>害率17%。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2"/>
          <w:sz w:val="21"/>
          <w:szCs w:val="21"/>
        </w:rPr>
        <w:t>平</w:t>
      </w:r>
      <w:r>
        <w:rPr>
          <w:rFonts w:ascii="SimSun" w:eastAsia="SimSun" w:hAnsi="SimSun" w:cs="SimSun"/>
          <w:spacing w:val="25"/>
          <w:sz w:val="21"/>
          <w:szCs w:val="21"/>
        </w:rPr>
        <w:t>均叶片被害率(%)按公式(1)和(2)计算。</w:t>
      </w:r>
    </w:p>
    <w:p>
      <w:pPr>
        <w:spacing w:line="287" w:lineRule="auto"/>
        <w:ind w:left="1" w:right="66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灰钝额斑螟防</w:t>
      </w:r>
      <w:r>
        <w:rPr>
          <w:rFonts w:ascii="SimSun" w:eastAsia="SimSun" w:hAnsi="SimSun" w:cs="SimSun"/>
          <w:spacing w:val="-3"/>
          <w:sz w:val="21"/>
          <w:szCs w:val="21"/>
        </w:rPr>
        <w:t>治</w:t>
      </w:r>
      <w:r>
        <w:rPr>
          <w:rFonts w:ascii="SimSun" w:eastAsia="SimSun" w:hAnsi="SimSun" w:cs="SimSun"/>
          <w:spacing w:val="-2"/>
          <w:sz w:val="21"/>
          <w:szCs w:val="21"/>
        </w:rPr>
        <w:t>指标为幼虫虫口密度50头/平方米，或经济损害允许水平即平均叶片被害率20%。平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7"/>
          <w:sz w:val="21"/>
          <w:szCs w:val="21"/>
        </w:rPr>
        <w:t>均叶片被害率(%)按公式(1)和(2)计算</w:t>
      </w:r>
      <w:r>
        <w:rPr>
          <w:rFonts w:ascii="SimSun" w:eastAsia="SimSun" w:hAnsi="SimSun" w:cs="SimSun"/>
          <w:spacing w:val="23"/>
          <w:sz w:val="21"/>
          <w:szCs w:val="21"/>
        </w:rPr>
        <w:t>。</w:t>
      </w:r>
    </w:p>
    <w:p>
      <w:pPr>
        <w:spacing w:before="126" w:line="221" w:lineRule="auto"/>
        <w:ind w:left="1"/>
        <w:rPr>
          <w:rFonts w:ascii="SimHei" w:eastAsia="SimHei" w:hAnsi="SimHei" w:cs="SimHei"/>
          <w:sz w:val="21"/>
          <w:szCs w:val="21"/>
        </w:rPr>
        <w:sectPr>
          <w:footerReference w:type="default" r:id="rId13"/>
          <w:pgSz w:w="11905" w:h="16840"/>
          <w:pgMar w:top="1406" w:right="1065" w:bottom="1315" w:left="1424" w:header="0" w:footer="1134" w:gutter="0"/>
          <w:pgNumType w:start="13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7.2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防控区</w:t>
      </w:r>
    </w:p>
    <w:p>
      <w:pPr>
        <w:spacing w:before="217" w:line="221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虫口密度达到</w:t>
      </w:r>
      <w:r>
        <w:rPr>
          <w:rFonts w:ascii="SimSun" w:eastAsia="SimSun" w:hAnsi="SimSun" w:cs="SimSun"/>
          <w:spacing w:val="-1"/>
          <w:sz w:val="21"/>
          <w:szCs w:val="21"/>
        </w:rPr>
        <w:t>防治指标，或中度发生，且危害面积达到100公顷就确定为防治区。</w:t>
      </w:r>
    </w:p>
    <w:p>
      <w:pPr>
        <w:spacing w:before="217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防治方法</w:t>
      </w:r>
    </w:p>
    <w:p>
      <w:pPr>
        <w:sectPr>
          <w:footerReference w:type="default" r:id="rId14"/>
          <w:type w:val="nextPage"/>
          <w:pgSz w:w="11905" w:h="16840"/>
          <w:pgMar w:top="1406" w:right="1065" w:bottom="1315" w:left="1424" w:header="0" w:footer="1134" w:gutter="0"/>
          <w:pgNumType w:start="14"/>
          <w:cols w:space="708"/>
          <w:titlePg w:val="0"/>
        </w:sectPr>
      </w:pPr>
    </w:p>
    <w:p>
      <w:pPr>
        <w:spacing w:before="42" w:line="236" w:lineRule="auto"/>
        <w:ind w:right="6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42" w:line="221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常</w:t>
      </w:r>
      <w:r>
        <w:rPr>
          <w:rFonts w:ascii="SimSun" w:eastAsia="SimSun" w:hAnsi="SimSun" w:cs="SimSun"/>
          <w:spacing w:val="-5"/>
          <w:sz w:val="21"/>
          <w:szCs w:val="21"/>
        </w:rPr>
        <w:t>量喷雾防治。</w:t>
      </w:r>
    </w:p>
    <w:p>
      <w:pPr>
        <w:spacing w:before="216" w:line="221" w:lineRule="auto"/>
        <w:ind w:left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防治适期</w:t>
      </w:r>
    </w:p>
    <w:p>
      <w:pPr>
        <w:spacing w:before="216" w:line="312" w:lineRule="exact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position w:val="7"/>
          <w:sz w:val="21"/>
          <w:szCs w:val="21"/>
        </w:rPr>
        <w:t>都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>兰钝额斑螟防治适期：7月中旬至7月下旬，1龄~3龄幼虫发生盛期。</w:t>
      </w:r>
    </w:p>
    <w:p>
      <w:pPr>
        <w:spacing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灰钝</w:t>
      </w:r>
      <w:r>
        <w:rPr>
          <w:rFonts w:ascii="SimSun" w:eastAsia="SimSun" w:hAnsi="SimSun" w:cs="SimSun"/>
          <w:spacing w:val="2"/>
          <w:sz w:val="21"/>
          <w:szCs w:val="21"/>
        </w:rPr>
        <w:t>额斑螟防治治适期：6月下旬至7月上旬，1龄~3龄幼虫发生盛期。</w:t>
      </w:r>
    </w:p>
    <w:p>
      <w:pPr>
        <w:spacing w:before="217" w:line="222" w:lineRule="auto"/>
        <w:ind w:left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最佳</w:t>
      </w:r>
      <w:r>
        <w:rPr>
          <w:rFonts w:ascii="SimHei" w:eastAsia="SimHei" w:hAnsi="SimHei" w:cs="SimHei"/>
          <w:sz w:val="21"/>
          <w:szCs w:val="21"/>
        </w:rPr>
        <w:t>使用药液量</w:t>
      </w:r>
    </w:p>
    <w:p>
      <w:pPr>
        <w:spacing w:before="217" w:line="287" w:lineRule="auto"/>
        <w:ind w:left="7" w:right="66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常量喷</w:t>
      </w:r>
      <w:r>
        <w:rPr>
          <w:rFonts w:ascii="SimSun" w:eastAsia="SimSun" w:hAnsi="SimSun" w:cs="SimSun"/>
          <w:spacing w:val="-7"/>
          <w:sz w:val="21"/>
          <w:szCs w:val="21"/>
        </w:rPr>
        <w:t>雾</w:t>
      </w:r>
      <w:r>
        <w:rPr>
          <w:rFonts w:ascii="SimSun" w:eastAsia="SimSun" w:hAnsi="SimSun" w:cs="SimSun"/>
          <w:spacing w:val="-4"/>
          <w:sz w:val="21"/>
          <w:szCs w:val="21"/>
        </w:rPr>
        <w:t>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灰钝额斑螟合理用药液量为50公斤~60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公斤/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667平方米，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都兰钝额斑螟防治时的合理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用药液</w:t>
      </w:r>
      <w:r>
        <w:rPr>
          <w:rFonts w:ascii="SimSun" w:eastAsia="SimSun" w:hAnsi="SimSun" w:cs="SimSun"/>
          <w:spacing w:val="4"/>
          <w:sz w:val="21"/>
          <w:szCs w:val="21"/>
        </w:rPr>
        <w:t>量</w:t>
      </w:r>
      <w:r>
        <w:rPr>
          <w:rFonts w:ascii="SimSun" w:eastAsia="SimSun" w:hAnsi="SimSun" w:cs="SimSun"/>
          <w:spacing w:val="3"/>
          <w:sz w:val="21"/>
          <w:szCs w:val="21"/>
        </w:rPr>
        <w:t>为40公斤~50公斤/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667平方米。</w:t>
      </w:r>
    </w:p>
    <w:p>
      <w:pPr>
        <w:spacing w:before="283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综</w:t>
      </w:r>
      <w:r>
        <w:rPr>
          <w:rFonts w:ascii="SimHei" w:eastAsia="SimHei" w:hAnsi="SimHei" w:cs="SimHei"/>
          <w:sz w:val="21"/>
          <w:szCs w:val="21"/>
        </w:rPr>
        <w:t>合防治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物理防治</w:t>
      </w:r>
    </w:p>
    <w:p>
      <w:pPr>
        <w:spacing w:before="216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灯光诱杀</w:t>
      </w:r>
    </w:p>
    <w:p>
      <w:pPr>
        <w:spacing w:before="217" w:line="297" w:lineRule="auto"/>
        <w:ind w:left="8" w:right="72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每年5月，</w:t>
      </w:r>
      <w:r>
        <w:rPr>
          <w:rFonts w:ascii="SimSun" w:eastAsia="SimSun" w:hAnsi="SimSun" w:cs="SimSun"/>
          <w:sz w:val="21"/>
          <w:szCs w:val="21"/>
        </w:rPr>
        <w:t>可设置白炽灯、高压汞灯、黑光灯、太阳能频振式杀虫灯等诱杀雄成虫。诱虫灯按GB/T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24689.1</w:t>
      </w:r>
      <w:r>
        <w:rPr>
          <w:rFonts w:ascii="SimSun" w:eastAsia="SimSun" w:hAnsi="SimSun" w:cs="SimSun"/>
          <w:spacing w:val="-1"/>
          <w:sz w:val="21"/>
          <w:szCs w:val="21"/>
        </w:rPr>
        <w:t>和GB/T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24689.2执行。</w:t>
      </w:r>
    </w:p>
    <w:p>
      <w:pPr>
        <w:spacing w:before="103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生物防治</w:t>
      </w:r>
    </w:p>
    <w:p>
      <w:pPr>
        <w:spacing w:before="217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</w:t>
      </w:r>
      <w:r>
        <w:rPr>
          <w:rFonts w:ascii="SimHei" w:eastAsia="SimHei" w:hAnsi="SimHei" w:cs="SimHei"/>
          <w:sz w:val="21"/>
          <w:szCs w:val="21"/>
        </w:rPr>
        <w:t>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以虫治虫</w:t>
      </w:r>
    </w:p>
    <w:p>
      <w:pPr>
        <w:spacing w:before="216" w:line="288" w:lineRule="auto"/>
        <w:ind w:left="11" w:right="64" w:firstLine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保护利用天敌，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如瓢虫、草蛉、蜘蛛、蜻蜓、寄蝇、寄生蜂等防治都兰钝额斑螟和灰钝额斑螟的幼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虫</w:t>
      </w:r>
      <w:r>
        <w:rPr>
          <w:rFonts w:ascii="SimSun" w:eastAsia="SimSun" w:hAnsi="SimSun" w:cs="SimSun"/>
          <w:spacing w:val="-6"/>
          <w:sz w:val="21"/>
          <w:szCs w:val="21"/>
        </w:rPr>
        <w:t>、卵和蛹。</w:t>
      </w:r>
    </w:p>
    <w:p>
      <w:pPr>
        <w:spacing w:before="125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</w:t>
      </w:r>
      <w:r>
        <w:rPr>
          <w:rFonts w:ascii="SimHei" w:eastAsia="SimHei" w:hAnsi="SimHei" w:cs="SimHei"/>
          <w:sz w:val="21"/>
          <w:szCs w:val="21"/>
        </w:rPr>
        <w:t>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以菌治虫</w:t>
      </w:r>
    </w:p>
    <w:p>
      <w:pPr>
        <w:spacing w:before="217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利用微生物制剂，苏云金杆菌、核多角病毒、内产碱等防治都兰钝额斑螟和灰钝额斑螟</w:t>
      </w:r>
      <w:r>
        <w:rPr>
          <w:rFonts w:ascii="SimSun" w:eastAsia="SimSun" w:hAnsi="SimSun" w:cs="SimSun"/>
          <w:sz w:val="21"/>
          <w:szCs w:val="21"/>
        </w:rPr>
        <w:t>幼虫。</w:t>
      </w:r>
    </w:p>
    <w:p>
      <w:pPr>
        <w:spacing w:before="21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药剂防治</w:t>
      </w:r>
    </w:p>
    <w:p>
      <w:pPr>
        <w:spacing w:before="216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植物源农药治虫</w:t>
      </w:r>
    </w:p>
    <w:p>
      <w:pPr>
        <w:spacing w:before="217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利用除虫菊素、苦参碱、烟碱、鱼藤酮、印楝素、藜芦碱等防治都兰钝额斑螟和灰钝额斑</w:t>
      </w:r>
      <w:r>
        <w:rPr>
          <w:rFonts w:ascii="SimSun" w:eastAsia="SimSun" w:hAnsi="SimSun" w:cs="SimSun"/>
          <w:sz w:val="21"/>
          <w:szCs w:val="21"/>
        </w:rPr>
        <w:t>螟幼虫。</w:t>
      </w:r>
    </w:p>
    <w:p>
      <w:pPr>
        <w:spacing w:before="21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8.3.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化学农药治虫</w:t>
      </w:r>
    </w:p>
    <w:p>
      <w:pPr>
        <w:spacing w:before="217" w:line="274" w:lineRule="auto"/>
        <w:ind w:left="11" w:right="65" w:firstLine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重度发生区或中度</w:t>
      </w:r>
      <w:r>
        <w:rPr>
          <w:rFonts w:ascii="SimSun" w:eastAsia="SimSun" w:hAnsi="SimSun" w:cs="SimSun"/>
          <w:spacing w:val="-2"/>
          <w:sz w:val="21"/>
          <w:szCs w:val="21"/>
        </w:rPr>
        <w:t>发生区应急时，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应采用高效低毒化学药剂+微生物药剂混用的防治方法。初孵幼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虫可喷施生物激素类药剂，如灭幼</w:t>
      </w:r>
      <w:r>
        <w:rPr>
          <w:rFonts w:ascii="SimSun" w:eastAsia="SimSun" w:hAnsi="SimSun" w:cs="SimSun"/>
          <w:spacing w:val="-1"/>
          <w:sz w:val="21"/>
          <w:szCs w:val="21"/>
        </w:rPr>
        <w:t>脲，或高效低毒化学药剂。</w:t>
      </w:r>
    </w:p>
    <w:p>
      <w:pPr>
        <w:spacing w:before="1" w:line="287" w:lineRule="auto"/>
        <w:ind w:left="425" w:right="2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推荐使用的生物药剂、仿生型药剂、植物源杀虫剂、化学药剂及其参考用量参见附录</w:t>
      </w:r>
      <w:r>
        <w:rPr>
          <w:rFonts w:ascii="SimSun" w:eastAsia="SimSun" w:hAnsi="SimSun" w:cs="SimSun"/>
          <w:sz w:val="21"/>
          <w:szCs w:val="21"/>
        </w:rPr>
        <w:t>F</w:t>
      </w:r>
      <w:r>
        <w:rPr>
          <w:rFonts w:ascii="SimSun" w:eastAsia="SimSun" w:hAnsi="SimSun" w:cs="SimSun"/>
          <w:spacing w:val="-1"/>
          <w:sz w:val="21"/>
          <w:szCs w:val="21"/>
        </w:rPr>
        <w:t>、附</w:t>
      </w:r>
      <w:r>
        <w:rPr>
          <w:rFonts w:ascii="SimSun" w:eastAsia="SimSun" w:hAnsi="SimSun" w:cs="SimSun"/>
          <w:sz w:val="21"/>
          <w:szCs w:val="21"/>
        </w:rPr>
        <w:t>录G。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农药安全使用执行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4285。</w:t>
      </w:r>
    </w:p>
    <w:p>
      <w:pPr>
        <w:spacing w:before="283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防治效果检查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  <w:sectPr>
          <w:footerReference w:type="default" r:id="rId15"/>
          <w:pgSz w:w="11905" w:h="16840"/>
          <w:pgMar w:top="1406" w:right="1066" w:bottom="1314" w:left="1419" w:header="0" w:footer="1135" w:gutter="0"/>
          <w:pgNumType w:start="15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检查内容</w:t>
      </w:r>
    </w:p>
    <w:p>
      <w:pPr>
        <w:spacing w:before="216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检</w:t>
      </w:r>
      <w:r>
        <w:rPr>
          <w:rFonts w:ascii="SimSun" w:eastAsia="SimSun" w:hAnsi="SimSun" w:cs="SimSun"/>
          <w:spacing w:val="-2"/>
          <w:sz w:val="21"/>
          <w:szCs w:val="21"/>
        </w:rPr>
        <w:t>查虫口减退率或防治效果、成灾率。</w:t>
      </w:r>
    </w:p>
    <w:p>
      <w:pPr>
        <w:spacing w:before="21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9.2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调查时间</w:t>
      </w:r>
    </w:p>
    <w:p>
      <w:pPr>
        <w:sectPr>
          <w:footerReference w:type="default" r:id="rId16"/>
          <w:type w:val="nextPage"/>
          <w:pgSz w:w="11905" w:h="16840"/>
          <w:pgMar w:top="1406" w:right="1066" w:bottom="1314" w:left="1419" w:header="0" w:footer="1135" w:gutter="0"/>
          <w:pgNumType w:start="16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97.05pt;height:14.7pt;margin-top:299.68pt;margin-left:238.29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21"/>
                      <w:szCs w:val="21"/>
                    </w:rPr>
                    <w:t>防</w:t>
                  </w:r>
                  <w:r>
                    <w:rPr>
                      <w:rFonts w:ascii="SimSun" w:eastAsia="SimSun" w:hAnsi="SimSun" w:cs="SimSun"/>
                      <w:spacing w:val="1"/>
                      <w:sz w:val="21"/>
                      <w:szCs w:val="21"/>
                    </w:rPr>
                    <w:t>治平均叶片被害率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243" w:line="287" w:lineRule="auto"/>
        <w:ind w:left="9" w:right="13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防治前调查1次，施药后1天、3天、7天各调查一次。如果是生物农药或植物</w:t>
      </w:r>
      <w:r>
        <w:rPr>
          <w:rFonts w:ascii="SimSun" w:eastAsia="SimSun" w:hAnsi="SimSun" w:cs="SimSun"/>
          <w:spacing w:val="1"/>
          <w:sz w:val="21"/>
          <w:szCs w:val="21"/>
        </w:rPr>
        <w:t>源农药，在施药后15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天</w:t>
      </w:r>
      <w:r>
        <w:rPr>
          <w:rFonts w:ascii="SimSun" w:eastAsia="SimSun" w:hAnsi="SimSun" w:cs="SimSun"/>
          <w:spacing w:val="-4"/>
          <w:sz w:val="21"/>
          <w:szCs w:val="21"/>
        </w:rPr>
        <w:t>增</w:t>
      </w:r>
      <w:r>
        <w:rPr>
          <w:rFonts w:ascii="SimSun" w:eastAsia="SimSun" w:hAnsi="SimSun" w:cs="SimSun"/>
          <w:spacing w:val="-3"/>
          <w:sz w:val="21"/>
          <w:szCs w:val="21"/>
        </w:rPr>
        <w:t>加1次调查。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>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检查方法</w:t>
      </w:r>
    </w:p>
    <w:p>
      <w:pPr>
        <w:spacing w:before="217" w:line="287" w:lineRule="auto"/>
        <w:ind w:left="11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按</w:t>
      </w:r>
      <w:r>
        <w:rPr>
          <w:rFonts w:ascii="SimSun" w:eastAsia="SimSun" w:hAnsi="SimSun" w:cs="SimSun"/>
          <w:sz w:val="21"/>
          <w:szCs w:val="21"/>
        </w:rPr>
        <w:t>70公顷不少于1块、500公顷不少于3块、1000公顷不少于5块设置标准地。每标准地设标准株3株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4"/>
          <w:sz w:val="21"/>
          <w:szCs w:val="21"/>
        </w:rPr>
        <w:t>(</w:t>
      </w:r>
      <w:r>
        <w:rPr>
          <w:rFonts w:ascii="SimSun" w:eastAsia="SimSun" w:hAnsi="SimSun" w:cs="SimSun"/>
          <w:spacing w:val="25"/>
          <w:sz w:val="21"/>
          <w:szCs w:val="21"/>
        </w:rPr>
        <w:t>灌</w:t>
      </w:r>
      <w:r>
        <w:rPr>
          <w:rFonts w:ascii="SimSun" w:eastAsia="SimSun" w:hAnsi="SimSun" w:cs="SimSun"/>
          <w:spacing w:val="17"/>
          <w:sz w:val="21"/>
          <w:szCs w:val="21"/>
        </w:rPr>
        <w:t>丛)，按5.2.2调查防治前后的活虫数，平均叶片被害率(%)按公式(1)和公式(2)计算。</w:t>
      </w:r>
    </w:p>
    <w:p>
      <w:pPr>
        <w:spacing w:before="12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9.4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计算公式</w:t>
      </w:r>
    </w:p>
    <w:p>
      <w:pPr>
        <w:spacing w:before="216" w:line="220" w:lineRule="auto"/>
        <w:ind w:left="43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4"/>
          <w:sz w:val="21"/>
          <w:szCs w:val="21"/>
        </w:rPr>
        <w:t>虫</w:t>
      </w:r>
      <w:r>
        <w:rPr>
          <w:rFonts w:ascii="SimSun" w:eastAsia="SimSun" w:hAnsi="SimSun" w:cs="SimSun"/>
          <w:spacing w:val="23"/>
          <w:sz w:val="21"/>
          <w:szCs w:val="21"/>
        </w:rPr>
        <w:t>口</w:t>
      </w:r>
      <w:r>
        <w:rPr>
          <w:rFonts w:ascii="SimSun" w:eastAsia="SimSun" w:hAnsi="SimSun" w:cs="SimSun"/>
          <w:spacing w:val="12"/>
          <w:sz w:val="21"/>
          <w:szCs w:val="21"/>
        </w:rPr>
        <w:t>减退率按公式(3)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</w:rPr>
        <w:t>计算，防治效果按公式(4)、成灾率按公式(5)计算。</w:t>
      </w:r>
    </w:p>
    <w:p>
      <w:pPr>
        <w:spacing w:line="31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0"/>
          <w:szCs w:val="20"/>
        </w:rPr>
        <w:id w:val="66248308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8477"/>
            </w:tabs>
            <w:spacing w:before="69" w:line="613" w:lineRule="exact"/>
            <w:ind w:left="150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position w:val="6"/>
              <w:sz w:val="20"/>
              <w:szCs w:val="20"/>
            </w:rPr>
            <w:t>虫</w:t>
          </w:r>
          <w:r>
            <w:rPr>
              <w:rFonts w:ascii="SimSun" w:eastAsia="SimSun" w:hAnsi="SimSun" w:cs="SimSun"/>
              <w:spacing w:val="-3"/>
              <w:position w:val="6"/>
              <w:sz w:val="20"/>
              <w:szCs w:val="20"/>
            </w:rPr>
            <w:t>口减退率(</w:t>
          </w:r>
          <w:r>
            <w:rPr>
              <w:rFonts w:ascii="Times New Roman" w:eastAsia="Times New Roman" w:hAnsi="Times New Roman" w:cs="Times New Roman"/>
              <w:spacing w:val="-3"/>
              <w:position w:val="6"/>
              <w:sz w:val="20"/>
              <w:szCs w:val="20"/>
            </w:rPr>
            <w:t>%</w:t>
          </w:r>
          <w:r>
            <w:rPr>
              <w:rFonts w:ascii="SimSun" w:eastAsia="SimSun" w:hAnsi="SimSun" w:cs="SimSun"/>
              <w:spacing w:val="-3"/>
              <w:position w:val="6"/>
              <w:sz w:val="20"/>
              <w:szCs w:val="20"/>
            </w:rPr>
            <w:t>)</w:t>
          </w:r>
          <w:r>
            <w:rPr>
              <w:rFonts w:ascii="SimSun" w:eastAsia="SimSun" w:hAnsi="SimSun" w:cs="SimSun"/>
              <w:spacing w:val="-3"/>
              <w:position w:val="6"/>
              <w:sz w:val="20"/>
              <w:szCs w:val="20"/>
            </w:rPr>
            <w:t xml:space="preserve"> </w:t>
          </w:r>
          <w:r>
            <w:rPr>
              <w:rFonts w:ascii="Symbol" w:eastAsia="Symbol" w:hAnsi="Symbol" w:cs="Symbol"/>
              <w:spacing w:val="-3"/>
              <w:position w:val="6"/>
              <w:sz w:val="20"/>
              <w:szCs w:val="20"/>
            </w:rPr>
            <w:t>=</w:t>
          </w:r>
          <w:r>
            <w:rPr>
              <w:rFonts w:ascii="Symbol" w:eastAsia="Symbol" w:hAnsi="Symbol" w:cs="Symbol"/>
              <w:spacing w:val="-3"/>
              <w:position w:val="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-3"/>
              <w:position w:val="18"/>
              <w:sz w:val="20"/>
              <w:szCs w:val="20"/>
            </w:rPr>
            <w:t>防治前活</w:t>
          </w:r>
          <w:r>
            <w:ruby>
              <w:rubyPr>
                <w:rubyAlign w:val="left"/>
                <w:hps w:val="20"/>
                <w:hpsRaise w:val="10"/>
                <w:hpsBaseText w:val="21"/>
              </w:rubyPr>
              <w:rt>
                <w:r>
                  <w:rPr>
                    <w:rFonts w:ascii="SimSun" w:eastAsia="SimSun" w:hAnsi="SimSun" w:cs="SimSun"/>
                    <w:spacing w:val="-13"/>
                    <w:position w:val="8"/>
                    <w:sz w:val="20"/>
                    <w:szCs w:val="20"/>
                  </w:rPr>
                  <w:t>虫</w:t>
                </w:r>
                <w:r>
                  <w:rPr>
                    <w:rFonts w:ascii="SimSun" w:eastAsia="SimSun" w:hAnsi="SimSun" w:cs="SimSun"/>
                    <w:spacing w:val="-12"/>
                    <w:position w:val="8"/>
                    <w:sz w:val="20"/>
                    <w:szCs w:val="20"/>
                  </w:rPr>
                  <w:t>数</w:t>
                </w:r>
                <w:r>
                  <w:rPr>
                    <w:rFonts w:ascii="SimSun" w:eastAsia="SimSun" w:hAnsi="SimSun" w:cs="SimSun"/>
                    <w:spacing w:val="-12"/>
                    <w:position w:val="8"/>
                    <w:sz w:val="20"/>
                    <w:szCs w:val="20"/>
                  </w:rPr>
                  <w:t xml:space="preserve"> </w:t>
                </w:r>
                <w:r>
                  <w:rPr>
                    <w:rFonts w:ascii="SimSun" w:eastAsia="SimSun" w:hAnsi="SimSun" w:cs="SimSun"/>
                    <w:spacing w:val="-12"/>
                    <w:position w:val="8"/>
                    <w:sz w:val="20"/>
                    <w:szCs w:val="20"/>
                  </w:rPr>
                  <w:t>—</w:t>
                </w:r>
              </w:rt>
              <w:rubyBase>
                <w:r>
                  <w:rPr>
                    <w:rFonts w:ascii="SimSun" w:eastAsia="SimSun" w:hAnsi="SimSun" w:cs="SimSun"/>
                    <w:spacing w:val="-14"/>
                    <w:position w:val="-10"/>
                    <w:sz w:val="20"/>
                    <w:szCs w:val="20"/>
                  </w:rPr>
                  <w:t>防</w:t>
                </w:r>
                <w:r>
                  <w:rPr>
                    <w:rFonts w:ascii="SimSun" w:eastAsia="SimSun" w:hAnsi="SimSun" w:cs="SimSun"/>
                    <w:spacing w:val="-12"/>
                    <w:position w:val="-10"/>
                    <w:sz w:val="20"/>
                    <w:szCs w:val="20"/>
                  </w:rPr>
                  <w:t>治前活</w:t>
                </w:r>
              </w:rubyBase>
            </w:ruby>
          </w:r>
          <w:r>
            <w:ruby>
              <w:rubyPr>
                <w:rubyAlign w:val="left"/>
                <w:hps w:val="20"/>
                <w:hpsRaise w:val="10"/>
                <w:hpsBaseText w:val="21"/>
              </w:rubyPr>
              <w:rt>
                <w:r>
                  <w:rPr>
                    <w:rFonts w:ascii="SimSun" w:eastAsia="SimSun" w:hAnsi="SimSun" w:cs="SimSun"/>
                    <w:spacing w:val="-20"/>
                    <w:position w:val="8"/>
                    <w:sz w:val="20"/>
                    <w:szCs w:val="20"/>
                  </w:rPr>
                  <w:t>防</w:t>
                </w:r>
                <w:r>
                  <w:rPr>
                    <w:rFonts w:ascii="SimSun" w:eastAsia="SimSun" w:hAnsi="SimSun" w:cs="SimSun"/>
                    <w:spacing w:val="-18"/>
                    <w:position w:val="8"/>
                    <w:sz w:val="20"/>
                    <w:szCs w:val="20"/>
                  </w:rPr>
                  <w:t>治后</w:t>
                </w:r>
              </w:rt>
              <w:rubyBase>
                <w:r>
                  <w:rPr>
                    <w:rFonts w:ascii="SimSun" w:eastAsia="SimSun" w:hAnsi="SimSun" w:cs="SimSun"/>
                    <w:spacing w:val="5"/>
                    <w:position w:val="-10"/>
                    <w:sz w:val="20"/>
                    <w:szCs w:val="20"/>
                  </w:rPr>
                  <w:t>虫数</w:t>
                </w:r>
              </w:rubyBase>
            </w:ruby>
          </w:r>
          <w:r>
            <w:rPr>
              <w:rFonts w:ascii="SimSun" w:eastAsia="SimSun" w:hAnsi="SimSun" w:cs="SimSun"/>
              <w:spacing w:val="-3"/>
              <w:position w:val="18"/>
              <w:sz w:val="20"/>
              <w:szCs w:val="20"/>
            </w:rPr>
            <w:t>活虫数</w:t>
          </w:r>
          <w:r>
            <w:rPr>
              <w:rFonts w:ascii="SimSun" w:eastAsia="SimSun" w:hAnsi="SimSun" w:cs="SimSun"/>
              <w:spacing w:val="-3"/>
              <w:position w:val="18"/>
              <w:sz w:val="20"/>
              <w:szCs w:val="20"/>
            </w:rPr>
            <w:t xml:space="preserve"> </w:t>
          </w:r>
          <w:r>
            <w:rPr>
              <w:position w:val="2"/>
              <w:sz w:val="20"/>
              <w:szCs w:val="20"/>
            </w:rPr>
            <w:drawing>
              <wp:inline distT="0" distB="0" distL="0" distR="0">
                <wp:extent cx="56129" cy="159532"/>
                <wp:effectExtent l="0" t="0" r="0" b="0"/>
                <wp:docPr id="3" name="I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 3"/>
                        <pic:cNvPicPr/>
                      </pic:nvPicPr>
                      <pic:blipFill>
                        <a:blip xmlns:r="http://schemas.openxmlformats.org/officeDocument/2006/relationships" r:embed="rId1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29" cy="1595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-3"/>
              <w:position w:val="18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position w:val="6"/>
              <w:sz w:val="20"/>
              <w:szCs w:val="20"/>
            </w:rPr>
            <w:t>100</w:t>
          </w:r>
          <w:r>
            <w:rPr>
              <w:rFonts w:ascii="Times New Roman" w:eastAsia="Times New Roman" w:hAnsi="Times New Roman" w:cs="Times New Roman"/>
              <w:spacing w:val="-3"/>
              <w:position w:val="6"/>
              <w:sz w:val="20"/>
              <w:szCs w:val="20"/>
            </w:rPr>
            <w:t xml:space="preserve">   </w:t>
          </w:r>
          <w:r>
            <w:rPr>
              <w:rFonts w:ascii="SimSun" w:eastAsia="SimSun" w:hAnsi="SimSun" w:cs="SimSun"/>
              <w:position w:val="8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3"/>
              <w:position w:val="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-3"/>
              <w:position w:val="9"/>
              <w:sz w:val="21"/>
              <w:szCs w:val="21"/>
            </w:rPr>
            <w:t>(</w:t>
          </w:r>
          <w:hyperlink w:anchor="_bookmark1" w:history="1">
            <w:r>
              <w:rPr>
                <w:rFonts w:ascii="SimSun" w:eastAsia="SimSun" w:hAnsi="SimSun" w:cs="SimSun"/>
                <w:spacing w:val="-3"/>
                <w:position w:val="9"/>
                <w:sz w:val="21"/>
                <w:szCs w:val="21"/>
              </w:rPr>
              <w:t>3)</w:t>
            </w:r>
          </w:hyperlink>
        </w:p>
        <w:p>
          <w:pPr>
            <w:tabs>
              <w:tab w:val="right" w:leader="dot" w:pos="8497"/>
            </w:tabs>
            <w:spacing w:before="1" w:line="233" w:lineRule="auto"/>
            <w:ind w:left="55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8"/>
              <w:position w:val="-8"/>
              <w:sz w:val="21"/>
              <w:szCs w:val="21"/>
            </w:rPr>
            <w:t>防治</w:t>
          </w:r>
          <w:r>
            <w:rPr>
              <w:rFonts w:ascii="SimSun" w:eastAsia="SimSun" w:hAnsi="SimSun" w:cs="SimSun"/>
              <w:spacing w:val="-4"/>
              <w:position w:val="-8"/>
              <w:sz w:val="21"/>
              <w:szCs w:val="21"/>
            </w:rPr>
            <w:t>效果(</w:t>
          </w:r>
          <w:r>
            <w:rPr>
              <w:rFonts w:ascii="Times New Roman" w:eastAsia="Times New Roman" w:hAnsi="Times New Roman" w:cs="Times New Roman"/>
              <w:spacing w:val="-4"/>
              <w:position w:val="-8"/>
              <w:sz w:val="21"/>
              <w:szCs w:val="21"/>
            </w:rPr>
            <w:t>%</w:t>
          </w:r>
          <w:r>
            <w:rPr>
              <w:rFonts w:ascii="SimSun" w:eastAsia="SimSun" w:hAnsi="SimSun" w:cs="SimSun"/>
              <w:spacing w:val="-4"/>
              <w:position w:val="-8"/>
              <w:sz w:val="21"/>
              <w:szCs w:val="21"/>
            </w:rPr>
            <w:t>)</w:t>
          </w:r>
          <w:r>
            <w:rPr>
              <w:rFonts w:ascii="SimSun" w:eastAsia="SimSun" w:hAnsi="SimSun" w:cs="SimSun"/>
              <w:spacing w:val="-4"/>
              <w:position w:val="-8"/>
              <w:sz w:val="21"/>
              <w:szCs w:val="21"/>
            </w:rPr>
            <w:t xml:space="preserve"> </w:t>
          </w:r>
          <w:r>
            <w:rPr>
              <w:rFonts w:ascii="Symbol" w:eastAsia="Symbol" w:hAnsi="Symbol" w:cs="Symbol"/>
              <w:spacing w:val="-4"/>
              <w:position w:val="-8"/>
              <w:sz w:val="21"/>
              <w:szCs w:val="21"/>
            </w:rPr>
            <w:t>=</w:t>
          </w:r>
          <w:r>
            <w:rPr>
              <w:rFonts w:ascii="Symbol" w:eastAsia="Symbol" w:hAnsi="Symbol" w:cs="Symbol"/>
              <w:spacing w:val="-4"/>
              <w:position w:val="-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position w:val="5"/>
              <w:sz w:val="21"/>
              <w:szCs w:val="21"/>
            </w:rPr>
            <w:t>防治前平均叶片被害率—</w:t>
          </w:r>
          <w:r>
            <w:rPr>
              <w:rFonts w:ascii="SimSun" w:eastAsia="SimSun" w:hAnsi="SimSun" w:cs="SimSun"/>
              <w:spacing w:val="-4"/>
              <w:position w:val="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position w:val="5"/>
              <w:sz w:val="21"/>
              <w:szCs w:val="21"/>
            </w:rPr>
            <w:t>防治后平均叶片被害率</w:t>
          </w:r>
          <w:r>
            <w:rPr>
              <w:rFonts w:ascii="SimSun" w:eastAsia="SimSun" w:hAnsi="SimSun" w:cs="SimSun"/>
              <w:spacing w:val="-4"/>
              <w:position w:val="5"/>
              <w:sz w:val="21"/>
              <w:szCs w:val="21"/>
            </w:rPr>
            <w:t xml:space="preserve"> </w:t>
          </w:r>
          <w:r>
            <w:rPr>
              <w:position w:val="-13"/>
              <w:sz w:val="21"/>
              <w:szCs w:val="21"/>
            </w:rPr>
            <w:drawing>
              <wp:inline distT="0" distB="0" distL="0" distR="0">
                <wp:extent cx="58398" cy="165982"/>
                <wp:effectExtent l="0" t="0" r="0" b="0"/>
                <wp:docPr id="4" name="I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 4"/>
                        <pic:cNvPicPr/>
                      </pic:nvPicPr>
                      <pic:blipFill>
                        <a:blip xmlns:r="http://schemas.openxmlformats.org/officeDocument/2006/relationships" r:embed="rId1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398" cy="1659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-4"/>
              <w:position w:val="5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position w:val="-8"/>
              <w:sz w:val="21"/>
              <w:szCs w:val="21"/>
            </w:rPr>
            <w:t>100</w:t>
          </w:r>
          <w:r>
            <w:rPr>
              <w:rFonts w:ascii="Times New Roman" w:eastAsia="Times New Roman" w:hAnsi="Times New Roman" w:cs="Times New Roman"/>
              <w:spacing w:val="-4"/>
              <w:position w:val="-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4"/>
              <w:position w:val="-8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4"/>
              <w:position w:val="-5"/>
              <w:sz w:val="21"/>
              <w:szCs w:val="21"/>
            </w:rPr>
            <w:t>(</w:t>
          </w:r>
          <w:hyperlink w:anchor="_bookmark2" w:history="1">
            <w:r>
              <w:rPr>
                <w:rFonts w:ascii="SimSun" w:eastAsia="SimSun" w:hAnsi="SimSun" w:cs="SimSun"/>
                <w:spacing w:val="-4"/>
                <w:position w:val="-5"/>
                <w:sz w:val="21"/>
                <w:szCs w:val="21"/>
              </w:rPr>
              <w:t>4)</w:t>
            </w:r>
          </w:hyperlink>
        </w:p>
      </w:sdtContent>
    </w:sdt>
    <w:p>
      <w:pPr>
        <w:spacing w:line="468" w:lineRule="auto"/>
        <w:rPr>
          <w:rFonts w:ascii="Arial"/>
          <w:sz w:val="21"/>
        </w:rPr>
      </w:pPr>
    </w:p>
    <w:p>
      <w:pPr>
        <w:spacing w:before="68" w:line="713" w:lineRule="exact"/>
        <w:ind w:left="265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position w:val="12"/>
          <w:sz w:val="21"/>
          <w:szCs w:val="21"/>
        </w:rPr>
        <w:t>成灾率</w:t>
      </w:r>
      <w:r>
        <w:rPr>
          <w:rFonts w:ascii="SimSun" w:eastAsia="SimSun" w:hAnsi="SimSun" w:cs="SimSun"/>
          <w:spacing w:val="-8"/>
          <w:position w:val="12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7"/>
          <w:position w:val="12"/>
          <w:sz w:val="21"/>
          <w:szCs w:val="21"/>
        </w:rPr>
        <w:t>=</w:t>
      </w:r>
      <w:r>
        <w:rPr>
          <w:rFonts w:ascii="Symbol" w:eastAsia="Symbol" w:hAnsi="Symbol" w:cs="Symbol"/>
          <w:spacing w:val="-4"/>
          <w:position w:val="12"/>
          <w:sz w:val="21"/>
          <w:szCs w:val="21"/>
        </w:rPr>
        <w:t xml:space="preserve"> </w:t>
      </w:r>
      <w:r>
        <w:rPr>
          <w:rFonts w:ascii="Symbol" w:eastAsia="Symbol" w:hAnsi="Symbol" w:cs="Symbol"/>
          <w:strike/>
          <w:spacing w:val="-4"/>
          <w:position w:val="12"/>
          <w:sz w:val="21"/>
          <w:szCs w:val="21"/>
        </w:rPr>
        <w:t xml:space="preserve"> </w:t>
      </w:r>
      <w:r>
        <w:ruby>
          <w:rubyPr>
            <w:rubyAlign w:val="left"/>
            <w:hps w:val="21"/>
            <w:hpsRaise w:val="12"/>
            <w:hpsBaseText w:val="21"/>
          </w:rubyPr>
          <w:rt>
            <w:r>
              <w:rPr>
                <w:rFonts w:ascii="SimSun" w:eastAsia="SimSun" w:hAnsi="SimSun" w:cs="SimSun"/>
                <w:strike/>
                <w:spacing w:val="6"/>
                <w:position w:val="12"/>
                <w:sz w:val="21"/>
                <w:szCs w:val="21"/>
              </w:rPr>
              <w:t>实</w:t>
            </w:r>
            <w:r>
              <w:rPr>
                <w:rFonts w:ascii="SimSun" w:eastAsia="SimSun" w:hAnsi="SimSun" w:cs="SimSun"/>
                <w:strike/>
                <w:spacing w:val="4"/>
                <w:position w:val="12"/>
                <w:sz w:val="21"/>
                <w:szCs w:val="21"/>
              </w:rPr>
              <w:t>际</w:t>
            </w:r>
            <w:r>
              <w:rPr>
                <w:rFonts w:ascii="SimSun" w:eastAsia="SimSun" w:hAnsi="SimSun" w:cs="SimSun"/>
                <w:strike/>
                <w:spacing w:val="3"/>
                <w:position w:val="12"/>
                <w:sz w:val="21"/>
                <w:szCs w:val="21"/>
              </w:rPr>
              <w:t>成灾面积</w:t>
            </w:r>
          </w:rt>
          <w:rubyBase>
            <w:r>
              <w:rPr>
                <w:rFonts w:ascii="SimSun" w:eastAsia="SimSun" w:hAnsi="SimSun" w:cs="SimSun"/>
                <w:strike/>
                <w:spacing w:val="26"/>
                <w:position w:val="-5"/>
                <w:sz w:val="21"/>
                <w:szCs w:val="21"/>
              </w:rPr>
              <w:t>寄</w:t>
            </w:r>
            <w:r>
              <w:rPr>
                <w:rFonts w:ascii="SimSun" w:eastAsia="SimSun" w:hAnsi="SimSun" w:cs="SimSun"/>
                <w:strike/>
                <w:spacing w:val="23"/>
                <w:position w:val="-5"/>
                <w:sz w:val="21"/>
                <w:szCs w:val="21"/>
              </w:rPr>
              <w:t>主总面积</w:t>
            </w:r>
          </w:rubyBase>
        </w:ruby>
      </w:r>
      <w:r>
        <w:rPr>
          <w:position w:val="8"/>
          <w:sz w:val="21"/>
          <w:szCs w:val="21"/>
        </w:rPr>
        <w:drawing>
          <wp:inline distT="0" distB="0" distL="0" distR="0">
            <wp:extent cx="80155" cy="168021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0155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2"/>
          <w:sz w:val="21"/>
          <w:szCs w:val="21"/>
        </w:rPr>
        <w:t>100%</w:t>
      </w:r>
      <w:r>
        <w:rPr>
          <w:rFonts w:ascii="Times New Roman" w:eastAsia="Times New Roman" w:hAnsi="Times New Roman" w:cs="Times New Roman"/>
          <w:spacing w:val="-4"/>
          <w:position w:val="1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4"/>
          <w:position w:val="14"/>
          <w:sz w:val="21"/>
          <w:szCs w:val="21"/>
        </w:rPr>
        <w:t>……………………………</w:t>
      </w:r>
      <w:r>
        <w:rPr>
          <w:rFonts w:ascii="Times New Roman" w:eastAsia="Times New Roman" w:hAnsi="Times New Roman" w:cs="Times New Roman"/>
          <w:spacing w:val="-4"/>
          <w:position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4"/>
          <w:sz w:val="21"/>
          <w:szCs w:val="21"/>
        </w:rPr>
        <w:t>…</w:t>
      </w:r>
      <w:r>
        <w:rPr>
          <w:rFonts w:ascii="Times New Roman" w:eastAsia="Times New Roman" w:hAnsi="Times New Roman" w:cs="Times New Roman"/>
          <w:spacing w:val="-4"/>
          <w:position w:val="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14"/>
          <w:sz w:val="21"/>
          <w:szCs w:val="21"/>
        </w:rPr>
        <w:t>(5)</w:t>
      </w:r>
    </w:p>
    <w:p>
      <w:pPr>
        <w:sectPr>
          <w:footerReference w:type="default" r:id="rId20"/>
          <w:pgSz w:w="11905" w:h="16840"/>
          <w:pgMar w:top="1406" w:right="1132" w:bottom="1315" w:left="1419" w:header="0" w:footer="1135" w:gutter="0"/>
          <w:pgNumType w:start="17"/>
          <w:cols w:space="708"/>
        </w:sectPr>
      </w:pPr>
    </w:p>
    <w:p>
      <w:pPr>
        <w:spacing w:before="42" w:line="236" w:lineRule="auto"/>
        <w:ind w:right="66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1230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013</w:t>
      </w:r>
    </w:p>
    <w:p>
      <w:pPr>
        <w:spacing w:before="61" w:line="201" w:lineRule="auto"/>
        <w:ind w:left="463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FFFF"/>
          <w:spacing w:val="-1"/>
          <w:sz w:val="21"/>
          <w:szCs w:val="21"/>
        </w:rPr>
        <w:t>AA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9" w:line="312" w:lineRule="exact"/>
        <w:ind w:left="42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position w:val="7"/>
          <w:sz w:val="21"/>
          <w:szCs w:val="21"/>
        </w:rPr>
        <w:t>附</w:t>
      </w:r>
      <w:r>
        <w:rPr>
          <w:rFonts w:ascii="SimHei" w:eastAsia="SimHei" w:hAnsi="SimHei" w:cs="SimHei"/>
          <w:spacing w:val="-3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录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A</w:t>
      </w:r>
    </w:p>
    <w:p>
      <w:pPr>
        <w:spacing w:line="221" w:lineRule="auto"/>
        <w:ind w:left="396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(</w:t>
      </w:r>
      <w:r>
        <w:rPr>
          <w:rFonts w:ascii="SimHei" w:eastAsia="SimHei" w:hAnsi="SimHei" w:cs="SimHei"/>
          <w:spacing w:val="8"/>
          <w:sz w:val="21"/>
          <w:szCs w:val="21"/>
        </w:rPr>
        <w:t>资料性附录)</w:t>
      </w:r>
    </w:p>
    <w:p>
      <w:pPr>
        <w:spacing w:before="61" w:line="622" w:lineRule="exact"/>
        <w:ind w:left="300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position w:val="32"/>
          <w:sz w:val="21"/>
          <w:szCs w:val="21"/>
        </w:rPr>
        <w:t>都兰钝额斑螟、灰</w:t>
      </w:r>
      <w:r>
        <w:rPr>
          <w:rFonts w:ascii="SimHei" w:eastAsia="SimHei" w:hAnsi="SimHei" w:cs="SimHei"/>
          <w:position w:val="32"/>
          <w:sz w:val="21"/>
          <w:szCs w:val="21"/>
        </w:rPr>
        <w:t>钝额斑螟识别特征</w:t>
      </w:r>
    </w:p>
    <w:p>
      <w:pPr>
        <w:spacing w:before="1" w:line="220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10"/>
          <w:sz w:val="21"/>
          <w:szCs w:val="21"/>
        </w:rPr>
        <w:t>.</w:t>
      </w:r>
      <w:r>
        <w:rPr>
          <w:rFonts w:ascii="SimHei" w:eastAsia="SimHei" w:hAnsi="SimHei" w:cs="SimHei"/>
          <w:spacing w:val="5"/>
          <w:sz w:val="21"/>
          <w:szCs w:val="21"/>
        </w:rPr>
        <w:t>1</w:t>
      </w:r>
      <w:r>
        <w:rPr>
          <w:rFonts w:ascii="SimHei" w:eastAsia="SimHei" w:hAnsi="SimHei" w:cs="SimHei"/>
          <w:spacing w:val="5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5"/>
          <w:sz w:val="21"/>
          <w:szCs w:val="21"/>
        </w:rPr>
        <w:t>都兰钝额斑螟识别特征(图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5"/>
          <w:sz w:val="21"/>
          <w:szCs w:val="21"/>
        </w:rPr>
        <w:t>.1)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1"/>
          <w:sz w:val="21"/>
          <w:szCs w:val="21"/>
        </w:rPr>
        <w:t>.</w:t>
      </w:r>
      <w:r>
        <w:rPr>
          <w:rFonts w:ascii="SimHei" w:eastAsia="SimHei" w:hAnsi="SimHei" w:cs="SimHei"/>
          <w:sz w:val="21"/>
          <w:szCs w:val="21"/>
        </w:rPr>
        <w:t>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成虫</w:t>
      </w:r>
    </w:p>
    <w:p>
      <w:pPr>
        <w:spacing w:before="217" w:line="274" w:lineRule="auto"/>
        <w:ind w:left="4" w:right="66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成</w:t>
      </w:r>
      <w:r>
        <w:rPr>
          <w:rFonts w:ascii="SimSun" w:eastAsia="SimSun" w:hAnsi="SimSun" w:cs="SimSun"/>
          <w:sz w:val="21"/>
          <w:szCs w:val="21"/>
        </w:rPr>
        <w:t>虫翅展17.0-18.0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mm。头顶鳞毛鼠灰色。触角暗黄褐色，雄性触角3-8节背面内凹，呈一较浅的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缺刻，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每</w:t>
      </w:r>
      <w:r>
        <w:rPr>
          <w:rFonts w:ascii="SimSun" w:eastAsia="SimSun" w:hAnsi="SimSun" w:cs="SimSun"/>
          <w:spacing w:val="-8"/>
          <w:sz w:val="21"/>
          <w:szCs w:val="21"/>
        </w:rPr>
        <w:t>节具刺状感觉器。中部缺刻的纤毛略短于触角干的宽。下唇须暗黄褐色，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前伸，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端部两节的腹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面具长</w:t>
      </w:r>
      <w:r>
        <w:rPr>
          <w:rFonts w:ascii="SimSun" w:eastAsia="SimSun" w:hAnsi="SimSun" w:cs="SimSun"/>
          <w:spacing w:val="-8"/>
          <w:sz w:val="21"/>
          <w:szCs w:val="21"/>
        </w:rPr>
        <w:t>鳞</w:t>
      </w:r>
      <w:r>
        <w:rPr>
          <w:rFonts w:ascii="SimSun" w:eastAsia="SimSun" w:hAnsi="SimSun" w:cs="SimSun"/>
          <w:spacing w:val="-6"/>
          <w:sz w:val="21"/>
          <w:szCs w:val="21"/>
        </w:rPr>
        <w:t>片；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第二节分别是第1、3节长的2倍和3倍。雌性雄性两者的下颚须均为暗黄褐色，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由一簇羽形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鳞</w:t>
      </w:r>
      <w:r>
        <w:rPr>
          <w:rFonts w:ascii="SimSun" w:eastAsia="SimSun" w:hAnsi="SimSun" w:cs="SimSun"/>
          <w:spacing w:val="-2"/>
          <w:sz w:val="21"/>
          <w:szCs w:val="21"/>
        </w:rPr>
        <w:t>片形成，约与下唇须第3节等长。</w:t>
      </w:r>
    </w:p>
    <w:p>
      <w:pPr>
        <w:spacing w:before="1" w:line="286" w:lineRule="auto"/>
        <w:ind w:left="5" w:right="64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0"/>
          <w:sz w:val="21"/>
          <w:szCs w:val="21"/>
        </w:rPr>
        <w:t>前</w:t>
      </w:r>
      <w:r>
        <w:rPr>
          <w:rFonts w:ascii="SimSun" w:eastAsia="SimSun" w:hAnsi="SimSun" w:cs="SimSun"/>
          <w:spacing w:val="-13"/>
          <w:sz w:val="21"/>
          <w:szCs w:val="21"/>
        </w:rPr>
        <w:t>翅窄，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底色黄白色，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杂褐色鳞片；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内横线灰白色、锯齿状，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内侧被黑色细线，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外侧近前缘处被黑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8"/>
          <w:sz w:val="21"/>
          <w:szCs w:val="21"/>
        </w:rPr>
        <w:t>褐</w:t>
      </w:r>
      <w:r>
        <w:rPr>
          <w:rFonts w:ascii="SimSun" w:eastAsia="SimSun" w:hAnsi="SimSun" w:cs="SimSun"/>
          <w:spacing w:val="-18"/>
          <w:sz w:val="21"/>
          <w:szCs w:val="21"/>
        </w:rPr>
        <w:t>色</w:t>
      </w:r>
      <w:r>
        <w:rPr>
          <w:rFonts w:ascii="SimSun" w:eastAsia="SimSun" w:hAnsi="SimSun" w:cs="SimSun"/>
          <w:spacing w:val="-14"/>
          <w:sz w:val="21"/>
          <w:szCs w:val="21"/>
        </w:rPr>
        <w:t>边；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外横线灰白色，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与翅外缘平行；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中室端脉斑明显，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黑褐色，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二斑相互分离。后翅灰色，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缘毛白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色</w:t>
      </w:r>
      <w:r>
        <w:rPr>
          <w:rFonts w:ascii="SimSun" w:eastAsia="SimSun" w:hAnsi="SimSun" w:cs="SimSun"/>
          <w:spacing w:val="-9"/>
          <w:sz w:val="21"/>
          <w:szCs w:val="21"/>
        </w:rPr>
        <w:t>。</w:t>
      </w:r>
    </w:p>
    <w:p>
      <w:pPr>
        <w:spacing w:before="11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2"/>
          <w:sz w:val="21"/>
          <w:szCs w:val="21"/>
        </w:rPr>
        <w:t>.1.2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卵</w:t>
      </w:r>
    </w:p>
    <w:p>
      <w:pPr>
        <w:spacing w:before="216" w:line="287" w:lineRule="auto"/>
        <w:ind w:left="6" w:right="64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初产卵白</w:t>
      </w:r>
      <w:r>
        <w:rPr>
          <w:rFonts w:ascii="SimSun" w:eastAsia="SimSun" w:hAnsi="SimSun" w:cs="SimSun"/>
          <w:sz w:val="21"/>
          <w:szCs w:val="21"/>
        </w:rPr>
        <w:t>色,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后为黄白色,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孵化前略呈红色,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扁椭圆形,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长1.0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,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宽0.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6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,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卵壳较软,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面</w:t>
      </w:r>
      <w:r>
        <w:rPr>
          <w:rFonts w:ascii="SimSun" w:eastAsia="SimSun" w:hAnsi="SimSun" w:cs="SimSun"/>
          <w:spacing w:val="-6"/>
          <w:sz w:val="21"/>
          <w:szCs w:val="21"/>
        </w:rPr>
        <w:t>不光滑。</w:t>
      </w:r>
    </w:p>
    <w:p>
      <w:pPr>
        <w:spacing w:before="126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1"/>
          <w:sz w:val="21"/>
          <w:szCs w:val="21"/>
        </w:rPr>
        <w:t>.1.</w:t>
      </w:r>
      <w:r>
        <w:rPr>
          <w:rFonts w:ascii="SimHei" w:eastAsia="SimHei" w:hAnsi="SimHei" w:cs="SimHei"/>
          <w:sz w:val="21"/>
          <w:szCs w:val="21"/>
        </w:rPr>
        <w:t>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幼虫</w:t>
      </w:r>
    </w:p>
    <w:p>
      <w:pPr>
        <w:spacing w:before="214" w:line="283" w:lineRule="auto"/>
        <w:ind w:left="3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1"/>
          <w:sz w:val="21"/>
          <w:szCs w:val="21"/>
        </w:rPr>
        <w:t>初</w:t>
      </w:r>
      <w:r>
        <w:rPr>
          <w:rFonts w:ascii="SimSun" w:eastAsia="SimSun" w:hAnsi="SimSun" w:cs="SimSun"/>
          <w:spacing w:val="-6"/>
          <w:sz w:val="21"/>
          <w:szCs w:val="21"/>
        </w:rPr>
        <w:t>孵幼虫体长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3.0~5.0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mm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,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灰白色，头及前胸背板漆黑色。1、2龄幼虫多浅绿色，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略带淡黄，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3~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5龄多为咖啡色。老熟幼虫体长</w:t>
      </w:r>
      <w:r>
        <w:rPr>
          <w:rFonts w:ascii="SimSun" w:eastAsia="SimSun" w:hAnsi="SimSun" w:cs="SimSun"/>
          <w:spacing w:val="1"/>
          <w:sz w:val="21"/>
          <w:szCs w:val="21"/>
        </w:rPr>
        <w:t>14.0~18.0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1"/>
          <w:sz w:val="21"/>
          <w:szCs w:val="21"/>
        </w:rPr>
        <w:t>,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灰绿杂暗红褐色,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头、前胸背板褐色,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背线、亚背线、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侧线、气门上线、气门线、气门下线明显黄绿色。</w:t>
      </w:r>
      <w:r>
        <w:rPr>
          <w:rFonts w:ascii="SimSun" w:eastAsia="SimSun" w:hAnsi="SimSun" w:cs="SimSun"/>
          <w:spacing w:val="1"/>
          <w:sz w:val="21"/>
          <w:szCs w:val="21"/>
        </w:rPr>
        <w:t>气门上方具原生刚毛1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根。臀板具6~8根原生刚毛。</w:t>
      </w:r>
    </w:p>
    <w:p>
      <w:pPr>
        <w:spacing w:before="127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A.1.3.1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幼虫虫龄</w:t>
      </w:r>
    </w:p>
    <w:p>
      <w:pPr>
        <w:spacing w:before="214" w:line="287" w:lineRule="auto"/>
        <w:ind w:left="5" w:right="6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都兰钝额</w:t>
      </w:r>
      <w:r>
        <w:rPr>
          <w:rFonts w:ascii="SimSun" w:eastAsia="SimSun" w:hAnsi="SimSun" w:cs="SimSun"/>
          <w:spacing w:val="-13"/>
          <w:sz w:val="21"/>
          <w:szCs w:val="21"/>
        </w:rPr>
        <w:t>斑</w:t>
      </w:r>
      <w:r>
        <w:rPr>
          <w:rFonts w:ascii="SimSun" w:eastAsia="SimSun" w:hAnsi="SimSun" w:cs="SimSun"/>
          <w:spacing w:val="-7"/>
          <w:sz w:val="21"/>
          <w:szCs w:val="21"/>
        </w:rPr>
        <w:t>螟幼虫共划分为5个虫龄。根据A.1表中各虫龄的头壳宽、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体长、体宽数据作为参考标准，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判断</w:t>
      </w:r>
      <w:r>
        <w:rPr>
          <w:rFonts w:ascii="SimSun" w:eastAsia="SimSun" w:hAnsi="SimSun" w:cs="SimSun"/>
          <w:spacing w:val="-1"/>
          <w:sz w:val="21"/>
          <w:szCs w:val="21"/>
        </w:rPr>
        <w:t>调查时野外采集的都兰钝额斑螟幼虫所处虫龄和龄期，以便确定防治时间。</w:t>
      </w:r>
    </w:p>
    <w:p>
      <w:pPr>
        <w:spacing w:before="127" w:line="221" w:lineRule="auto"/>
        <w:ind w:left="274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-1"/>
          <w:sz w:val="21"/>
          <w:szCs w:val="21"/>
        </w:rPr>
        <w:t>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都兰钝额斑螟</w:t>
      </w:r>
      <w:r>
        <w:rPr>
          <w:rFonts w:ascii="SimHei" w:eastAsia="SimHei" w:hAnsi="SimHei" w:cs="SimHei"/>
          <w:sz w:val="21"/>
          <w:szCs w:val="21"/>
        </w:rPr>
        <w:t>幼虫虫龄划分标准表</w:t>
      </w:r>
    </w:p>
    <w:tbl>
      <w:tblPr>
        <w:tblStyle w:val="TableNormal0"/>
        <w:tblW w:w="9160" w:type="dxa"/>
        <w:tblInd w:w="9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50"/>
        <w:gridCol w:w="1367"/>
        <w:gridCol w:w="1367"/>
        <w:gridCol w:w="1367"/>
        <w:gridCol w:w="1367"/>
        <w:gridCol w:w="1369"/>
        <w:gridCol w:w="1373"/>
      </w:tblGrid>
      <w:tr>
        <w:tblPrEx>
          <w:tblW w:w="9160" w:type="dxa"/>
          <w:tblInd w:w="9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9"/>
        </w:trPr>
        <w:tc>
          <w:tcPr>
            <w:tcW w:w="950" w:type="dxa"/>
            <w:vAlign w:val="top"/>
          </w:tcPr>
          <w:p>
            <w:pPr>
              <w:spacing w:before="207" w:line="223" w:lineRule="auto"/>
              <w:ind w:left="3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虫龄</w:t>
            </w:r>
          </w:p>
        </w:tc>
        <w:tc>
          <w:tcPr>
            <w:tcW w:w="1367" w:type="dxa"/>
            <w:vAlign w:val="top"/>
          </w:tcPr>
          <w:p>
            <w:pPr>
              <w:spacing w:before="90" w:line="239" w:lineRule="auto"/>
              <w:ind w:left="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体长</w:t>
            </w:r>
          </w:p>
          <w:p>
            <w:pPr>
              <w:spacing w:line="223" w:lineRule="auto"/>
              <w:ind w:left="5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mm)</w:t>
            </w:r>
          </w:p>
        </w:tc>
        <w:tc>
          <w:tcPr>
            <w:tcW w:w="1367" w:type="dxa"/>
            <w:vAlign w:val="top"/>
          </w:tcPr>
          <w:p>
            <w:pPr>
              <w:spacing w:before="91" w:line="221" w:lineRule="auto"/>
              <w:ind w:left="3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变化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范围</w:t>
            </w:r>
          </w:p>
          <w:p>
            <w:pPr>
              <w:spacing w:before="17" w:line="223" w:lineRule="auto"/>
              <w:ind w:left="4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mm</w:t>
            </w: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>)</w:t>
            </w:r>
          </w:p>
        </w:tc>
        <w:tc>
          <w:tcPr>
            <w:tcW w:w="1367" w:type="dxa"/>
            <w:vAlign w:val="top"/>
          </w:tcPr>
          <w:p>
            <w:pPr>
              <w:spacing w:before="90" w:line="239" w:lineRule="auto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体宽</w:t>
            </w:r>
          </w:p>
          <w:p>
            <w:pPr>
              <w:spacing w:line="223" w:lineRule="auto"/>
              <w:ind w:left="4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mm</w:t>
            </w: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>)</w:t>
            </w:r>
          </w:p>
        </w:tc>
        <w:tc>
          <w:tcPr>
            <w:tcW w:w="1367" w:type="dxa"/>
            <w:vAlign w:val="top"/>
          </w:tcPr>
          <w:p>
            <w:pPr>
              <w:spacing w:before="91" w:line="221" w:lineRule="auto"/>
              <w:ind w:left="3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变化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范围</w:t>
            </w:r>
          </w:p>
          <w:p>
            <w:pPr>
              <w:spacing w:before="17" w:line="223" w:lineRule="auto"/>
              <w:ind w:left="42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mm</w:t>
            </w: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>)</w:t>
            </w:r>
          </w:p>
        </w:tc>
        <w:tc>
          <w:tcPr>
            <w:tcW w:w="1369" w:type="dxa"/>
            <w:vAlign w:val="top"/>
          </w:tcPr>
          <w:p>
            <w:pPr>
              <w:spacing w:before="90" w:line="239" w:lineRule="auto"/>
              <w:ind w:left="5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头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宽</w:t>
            </w:r>
          </w:p>
          <w:p>
            <w:pPr>
              <w:spacing w:line="223" w:lineRule="auto"/>
              <w:ind w:left="4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mm</w:t>
            </w: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>)</w:t>
            </w:r>
          </w:p>
        </w:tc>
        <w:tc>
          <w:tcPr>
            <w:tcW w:w="1373" w:type="dxa"/>
            <w:vAlign w:val="top"/>
          </w:tcPr>
          <w:p>
            <w:pPr>
              <w:spacing w:before="91" w:line="221" w:lineRule="auto"/>
              <w:ind w:left="3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变化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范围</w:t>
            </w:r>
          </w:p>
          <w:p>
            <w:pPr>
              <w:spacing w:before="17" w:line="223" w:lineRule="auto"/>
              <w:ind w:left="4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mm</w:t>
            </w:r>
            <w:r>
              <w:rPr>
                <w:rFonts w:ascii="SimSun" w:eastAsia="SimSun" w:hAnsi="SimSun" w:cs="SimSun"/>
                <w:spacing w:val="33"/>
                <w:sz w:val="18"/>
                <w:szCs w:val="18"/>
              </w:rPr>
              <w:t>)</w:t>
            </w:r>
          </w:p>
        </w:tc>
      </w:tr>
      <w:tr>
        <w:tblPrEx>
          <w:tblW w:w="9160" w:type="dxa"/>
          <w:tblInd w:w="94" w:type="dxa"/>
          <w:tblLayout w:type="fixed"/>
        </w:tblPrEx>
        <w:trPr>
          <w:trHeight w:val="480"/>
        </w:trPr>
        <w:tc>
          <w:tcPr>
            <w:tcW w:w="950" w:type="dxa"/>
            <w:vAlign w:val="top"/>
          </w:tcPr>
          <w:p>
            <w:pPr>
              <w:spacing w:before="148" w:line="223" w:lineRule="auto"/>
              <w:ind w:left="3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龄</w:t>
            </w:r>
          </w:p>
        </w:tc>
        <w:tc>
          <w:tcPr>
            <w:tcW w:w="1367" w:type="dxa"/>
            <w:vAlign w:val="top"/>
          </w:tcPr>
          <w:p>
            <w:pPr>
              <w:spacing w:before="170" w:line="237" w:lineRule="exact"/>
              <w:ind w:left="2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4.30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</w:t>
            </w: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23</w:t>
            </w:r>
          </w:p>
        </w:tc>
        <w:tc>
          <w:tcPr>
            <w:tcW w:w="1367" w:type="dxa"/>
            <w:vAlign w:val="top"/>
          </w:tcPr>
          <w:p>
            <w:pPr>
              <w:spacing w:before="225" w:line="184" w:lineRule="auto"/>
              <w:ind w:left="1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.00~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5.00</w:t>
            </w:r>
          </w:p>
        </w:tc>
        <w:tc>
          <w:tcPr>
            <w:tcW w:w="1367" w:type="dxa"/>
            <w:vAlign w:val="top"/>
          </w:tcPr>
          <w:p>
            <w:pPr>
              <w:spacing w:before="170" w:line="237" w:lineRule="exact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0.71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0.03</w:t>
            </w:r>
          </w:p>
        </w:tc>
        <w:tc>
          <w:tcPr>
            <w:tcW w:w="1367" w:type="dxa"/>
            <w:vAlign w:val="top"/>
          </w:tcPr>
          <w:p>
            <w:pPr>
              <w:spacing w:before="225" w:line="185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.64~0.83</w:t>
            </w:r>
          </w:p>
        </w:tc>
        <w:tc>
          <w:tcPr>
            <w:tcW w:w="1369" w:type="dxa"/>
            <w:vAlign w:val="top"/>
          </w:tcPr>
          <w:p>
            <w:pPr>
              <w:spacing w:before="170" w:line="237" w:lineRule="exact"/>
              <w:ind w:left="28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0.41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0.02</w:t>
            </w:r>
          </w:p>
        </w:tc>
        <w:tc>
          <w:tcPr>
            <w:tcW w:w="1373" w:type="dxa"/>
            <w:vAlign w:val="top"/>
          </w:tcPr>
          <w:p>
            <w:pPr>
              <w:spacing w:before="225" w:line="185" w:lineRule="auto"/>
              <w:ind w:left="2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0.28~0.46</w:t>
            </w:r>
          </w:p>
        </w:tc>
      </w:tr>
    </w:tbl>
    <w:p>
      <w:pPr>
        <w:sectPr>
          <w:footerReference w:type="default" r:id="rId21"/>
          <w:pgSz w:w="11905" w:h="16840"/>
          <w:pgMar w:top="1406" w:right="1066" w:bottom="1314" w:left="1419" w:header="0" w:footer="1135" w:gutter="0"/>
          <w:pgNumType w:start="18"/>
          <w:cols w:space="708"/>
        </w:sectPr>
      </w:pPr>
    </w:p>
    <w:tbl>
      <w:tblPr>
        <w:tblStyle w:val="TableNormal1"/>
        <w:tblW w:w="9160" w:type="dxa"/>
        <w:tblInd w:w="9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50"/>
        <w:gridCol w:w="1367"/>
        <w:gridCol w:w="1367"/>
        <w:gridCol w:w="1367"/>
        <w:gridCol w:w="1367"/>
        <w:gridCol w:w="1369"/>
        <w:gridCol w:w="1373"/>
      </w:tblGrid>
      <w:tr>
        <w:tblPrEx>
          <w:tblW w:w="9160" w:type="dxa"/>
          <w:tblInd w:w="9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0"/>
        </w:trPr>
        <w:tc>
          <w:tcPr>
            <w:tcW w:w="950" w:type="dxa"/>
            <w:vAlign w:val="top"/>
          </w:tcPr>
          <w:p>
            <w:pPr>
              <w:spacing w:before="149" w:line="223" w:lineRule="auto"/>
              <w:ind w:left="3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2龄</w:t>
            </w:r>
          </w:p>
        </w:tc>
        <w:tc>
          <w:tcPr>
            <w:tcW w:w="1367" w:type="dxa"/>
            <w:vAlign w:val="top"/>
          </w:tcPr>
          <w:p>
            <w:pPr>
              <w:spacing w:before="171" w:line="237" w:lineRule="exact"/>
              <w:ind w:left="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6.11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0.52</w:t>
            </w:r>
          </w:p>
        </w:tc>
        <w:tc>
          <w:tcPr>
            <w:tcW w:w="1367" w:type="dxa"/>
            <w:vAlign w:val="top"/>
          </w:tcPr>
          <w:p>
            <w:pPr>
              <w:spacing w:before="226" w:line="184" w:lineRule="auto"/>
              <w:ind w:left="1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.00~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8.50</w:t>
            </w:r>
          </w:p>
        </w:tc>
        <w:tc>
          <w:tcPr>
            <w:tcW w:w="1367" w:type="dxa"/>
            <w:vAlign w:val="top"/>
          </w:tcPr>
          <w:p>
            <w:pPr>
              <w:spacing w:before="171" w:line="237" w:lineRule="exact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0.91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0.05</w:t>
            </w:r>
          </w:p>
        </w:tc>
        <w:tc>
          <w:tcPr>
            <w:tcW w:w="1367" w:type="dxa"/>
            <w:vAlign w:val="top"/>
          </w:tcPr>
          <w:p>
            <w:pPr>
              <w:spacing w:before="226" w:line="185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0.71~1.47</w:t>
            </w:r>
          </w:p>
        </w:tc>
        <w:tc>
          <w:tcPr>
            <w:tcW w:w="1369" w:type="dxa"/>
            <w:vAlign w:val="top"/>
          </w:tcPr>
          <w:p>
            <w:pPr>
              <w:spacing w:before="171" w:line="237" w:lineRule="exact"/>
              <w:ind w:left="28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0.63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0.02</w:t>
            </w:r>
          </w:p>
        </w:tc>
        <w:tc>
          <w:tcPr>
            <w:tcW w:w="1373" w:type="dxa"/>
            <w:vAlign w:val="top"/>
          </w:tcPr>
          <w:p>
            <w:pPr>
              <w:spacing w:before="226" w:line="185" w:lineRule="auto"/>
              <w:ind w:left="2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.50~0.73</w:t>
            </w:r>
          </w:p>
        </w:tc>
      </w:tr>
      <w:tr>
        <w:tblPrEx>
          <w:tblW w:w="9160" w:type="dxa"/>
          <w:tblInd w:w="94" w:type="dxa"/>
          <w:tblLayout w:type="fixed"/>
        </w:tblPrEx>
        <w:trPr>
          <w:trHeight w:val="480"/>
        </w:trPr>
        <w:tc>
          <w:tcPr>
            <w:tcW w:w="950" w:type="dxa"/>
            <w:vAlign w:val="top"/>
          </w:tcPr>
          <w:p>
            <w:pPr>
              <w:spacing w:before="150" w:line="223" w:lineRule="auto"/>
              <w:ind w:left="3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3龄</w:t>
            </w:r>
          </w:p>
        </w:tc>
        <w:tc>
          <w:tcPr>
            <w:tcW w:w="1367" w:type="dxa"/>
            <w:vAlign w:val="top"/>
          </w:tcPr>
          <w:p>
            <w:pPr>
              <w:spacing w:before="172" w:line="237" w:lineRule="exact"/>
              <w:ind w:left="2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8.49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0.16</w:t>
            </w:r>
          </w:p>
        </w:tc>
        <w:tc>
          <w:tcPr>
            <w:tcW w:w="1367" w:type="dxa"/>
            <w:vAlign w:val="top"/>
          </w:tcPr>
          <w:p>
            <w:pPr>
              <w:spacing w:before="227" w:line="185" w:lineRule="auto"/>
              <w:ind w:left="1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7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.00~14.50</w:t>
            </w:r>
          </w:p>
        </w:tc>
        <w:tc>
          <w:tcPr>
            <w:tcW w:w="1367" w:type="dxa"/>
            <w:vAlign w:val="top"/>
          </w:tcPr>
          <w:p>
            <w:pPr>
              <w:spacing w:before="172" w:line="237" w:lineRule="exact"/>
              <w:ind w:left="2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position w:val="1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0.02</w:t>
            </w:r>
          </w:p>
        </w:tc>
        <w:tc>
          <w:tcPr>
            <w:tcW w:w="1367" w:type="dxa"/>
            <w:vAlign w:val="top"/>
          </w:tcPr>
          <w:p>
            <w:pPr>
              <w:spacing w:before="227" w:line="185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.80~2.20</w:t>
            </w:r>
          </w:p>
        </w:tc>
        <w:tc>
          <w:tcPr>
            <w:tcW w:w="1369" w:type="dxa"/>
            <w:vAlign w:val="top"/>
          </w:tcPr>
          <w:p>
            <w:pPr>
              <w:spacing w:before="172" w:line="237" w:lineRule="exact"/>
              <w:ind w:left="28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0.97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1"/>
                <w:position w:val="1"/>
                <w:sz w:val="18"/>
                <w:szCs w:val="18"/>
              </w:rPr>
              <w:t>0.03</w:t>
            </w:r>
          </w:p>
        </w:tc>
        <w:tc>
          <w:tcPr>
            <w:tcW w:w="1373" w:type="dxa"/>
            <w:vAlign w:val="top"/>
          </w:tcPr>
          <w:p>
            <w:pPr>
              <w:spacing w:before="227" w:line="185" w:lineRule="auto"/>
              <w:ind w:left="2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.78~1.15</w:t>
            </w:r>
          </w:p>
        </w:tc>
      </w:tr>
      <w:tr>
        <w:tblPrEx>
          <w:tblW w:w="9160" w:type="dxa"/>
          <w:tblInd w:w="94" w:type="dxa"/>
          <w:tblLayout w:type="fixed"/>
        </w:tblPrEx>
        <w:trPr>
          <w:trHeight w:val="480"/>
        </w:trPr>
        <w:tc>
          <w:tcPr>
            <w:tcW w:w="950" w:type="dxa"/>
            <w:vAlign w:val="top"/>
          </w:tcPr>
          <w:p>
            <w:pPr>
              <w:spacing w:before="151" w:line="223" w:lineRule="auto"/>
              <w:ind w:left="3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龄</w:t>
            </w:r>
          </w:p>
        </w:tc>
        <w:tc>
          <w:tcPr>
            <w:tcW w:w="1367" w:type="dxa"/>
            <w:vAlign w:val="top"/>
          </w:tcPr>
          <w:p>
            <w:pPr>
              <w:spacing w:before="173" w:line="237" w:lineRule="exact"/>
              <w:ind w:left="2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2.74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0.13</w:t>
            </w:r>
          </w:p>
        </w:tc>
        <w:tc>
          <w:tcPr>
            <w:tcW w:w="1367" w:type="dxa"/>
            <w:vAlign w:val="top"/>
          </w:tcPr>
          <w:p>
            <w:pPr>
              <w:spacing w:before="228" w:line="185" w:lineRule="auto"/>
              <w:ind w:left="1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.00~21.00</w:t>
            </w:r>
          </w:p>
        </w:tc>
        <w:tc>
          <w:tcPr>
            <w:tcW w:w="1367" w:type="dxa"/>
            <w:vAlign w:val="top"/>
          </w:tcPr>
          <w:p>
            <w:pPr>
              <w:spacing w:before="173" w:line="237" w:lineRule="exact"/>
              <w:ind w:left="2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position w:val="1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82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0.01</w:t>
            </w:r>
          </w:p>
        </w:tc>
        <w:tc>
          <w:tcPr>
            <w:tcW w:w="1367" w:type="dxa"/>
            <w:vAlign w:val="top"/>
          </w:tcPr>
          <w:p>
            <w:pPr>
              <w:spacing w:before="228" w:line="185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.86~2.86</w:t>
            </w:r>
          </w:p>
        </w:tc>
        <w:tc>
          <w:tcPr>
            <w:tcW w:w="1369" w:type="dxa"/>
            <w:vAlign w:val="top"/>
          </w:tcPr>
          <w:p>
            <w:pPr>
              <w:spacing w:before="173" w:line="237" w:lineRule="exact"/>
              <w:ind w:left="2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position w:val="1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31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0.02</w:t>
            </w:r>
          </w:p>
        </w:tc>
        <w:tc>
          <w:tcPr>
            <w:tcW w:w="1373" w:type="dxa"/>
            <w:vAlign w:val="top"/>
          </w:tcPr>
          <w:p>
            <w:pPr>
              <w:spacing w:before="227" w:line="187" w:lineRule="auto"/>
              <w:ind w:left="2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.17~1.47</w:t>
            </w:r>
          </w:p>
        </w:tc>
      </w:tr>
      <w:tr>
        <w:tblPrEx>
          <w:tblW w:w="9160" w:type="dxa"/>
          <w:tblInd w:w="94" w:type="dxa"/>
          <w:tblLayout w:type="fixed"/>
        </w:tblPrEx>
        <w:trPr>
          <w:trHeight w:val="410"/>
        </w:trPr>
        <w:tc>
          <w:tcPr>
            <w:tcW w:w="950" w:type="dxa"/>
            <w:vAlign w:val="top"/>
          </w:tcPr>
          <w:p>
            <w:pPr>
              <w:spacing w:before="115" w:line="223" w:lineRule="auto"/>
              <w:ind w:left="3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5龄</w:t>
            </w:r>
          </w:p>
        </w:tc>
        <w:tc>
          <w:tcPr>
            <w:tcW w:w="1367" w:type="dxa"/>
            <w:vAlign w:val="top"/>
          </w:tcPr>
          <w:p>
            <w:pPr>
              <w:spacing w:before="88" w:line="237" w:lineRule="exact"/>
              <w:ind w:left="2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2.97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0.14</w:t>
            </w:r>
          </w:p>
        </w:tc>
        <w:tc>
          <w:tcPr>
            <w:tcW w:w="1367" w:type="dxa"/>
            <w:vAlign w:val="top"/>
          </w:tcPr>
          <w:p>
            <w:pPr>
              <w:spacing w:before="142" w:line="187" w:lineRule="auto"/>
              <w:ind w:left="1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.00~18.20</w:t>
            </w:r>
          </w:p>
        </w:tc>
        <w:tc>
          <w:tcPr>
            <w:tcW w:w="1367" w:type="dxa"/>
            <w:vAlign w:val="top"/>
          </w:tcPr>
          <w:p>
            <w:pPr>
              <w:spacing w:before="88" w:line="237" w:lineRule="exact"/>
              <w:ind w:left="2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position w:val="1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95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0.02</w:t>
            </w:r>
          </w:p>
        </w:tc>
        <w:tc>
          <w:tcPr>
            <w:tcW w:w="1367" w:type="dxa"/>
            <w:vAlign w:val="top"/>
          </w:tcPr>
          <w:p>
            <w:pPr>
              <w:spacing w:before="142" w:line="187" w:lineRule="auto"/>
              <w:ind w:left="2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1.77~2.1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1</w:t>
            </w:r>
          </w:p>
        </w:tc>
        <w:tc>
          <w:tcPr>
            <w:tcW w:w="1369" w:type="dxa"/>
            <w:vAlign w:val="top"/>
          </w:tcPr>
          <w:p>
            <w:pPr>
              <w:spacing w:before="88" w:line="237" w:lineRule="exact"/>
              <w:ind w:left="2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position w:val="1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70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0.03</w:t>
            </w:r>
          </w:p>
        </w:tc>
        <w:tc>
          <w:tcPr>
            <w:tcW w:w="1373" w:type="dxa"/>
            <w:vAlign w:val="top"/>
          </w:tcPr>
          <w:p>
            <w:pPr>
              <w:spacing w:before="142" w:line="187" w:lineRule="auto"/>
              <w:ind w:left="2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.50~2.00</w:t>
            </w:r>
          </w:p>
        </w:tc>
      </w:tr>
    </w:tbl>
    <w:p>
      <w:pPr>
        <w:rPr>
          <w:rFonts w:ascii="Arial"/>
          <w:sz w:val="21"/>
        </w:rPr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https://d.book118.com/446033211143010033</w:t>
        </w:r>
      </w:hyperlink>
    </w:p>
    <w:p/>
    <w:sectPr>
      <w:footerReference w:type="default" r:id="rId23"/>
      <w:type w:val="nextPage"/>
      <w:pgSz w:w="11905" w:h="16840"/>
      <w:pgMar w:top="1406" w:right="1066" w:bottom="1314" w:left="1419" w:header="0" w:footer="1135" w:gutter="0"/>
      <w:pgNumType w:start="1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6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6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6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6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image" Target="media/image3.png" /><Relationship Id="rId18" Type="http://schemas.openxmlformats.org/officeDocument/2006/relationships/image" Target="media/image4.png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footer" Target="footer13.xml" /><Relationship Id="rId22" Type="http://schemas.openxmlformats.org/officeDocument/2006/relationships/hyperlink" Target="https://d.book118.com/446033211143010033" TargetMode="External" /><Relationship Id="rId23" Type="http://schemas.openxmlformats.org/officeDocument/2006/relationships/footer" Target="footer14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&lt;4D6963726F736F667420576F7264202D20444231323330B6BCC0BCB6DBB6EEB0DFC3F8A1A2BBD2B6DBB6EEB0DFC3F8B7C0D6CEBCBCCAF5B9E6B3CC205F315F2E746373&gt;</dc:title>
  <dc:creator>lllll</dc:creator>
  <cp:revision>0</cp:revision>
  <dcterms:created xsi:type="dcterms:W3CDTF">2022-02-18T11:28:59Z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2023-05-14T21:00:43Z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6460db700d38b700156d3c25</vt:lpwstr>
  </property>
</Properties>
</file>