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1" w:line="964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10.6pt;height:72.85pt;margin-top:75.98pt;margin-left:26.32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8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2024</w:t>
                  </w:r>
                  <w:r>
                    <w:rPr>
                      <w:color w:val="FFFFFF"/>
                      <w:spacing w:val="-52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color w:val="FFFFFF"/>
                      <w:spacing w:val="-58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02</w:t>
                  </w:r>
                  <w:r>
                    <w:rPr>
                      <w:color w:val="FFFFFF"/>
                      <w:spacing w:val="-48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color w:val="FFFFFF"/>
                      <w:spacing w:val="-59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28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-5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  <w:p>
                  <w:pPr>
                    <w:pStyle w:val="BodyText"/>
                    <w:spacing w:before="34" w:line="217" w:lineRule="auto"/>
                    <w:ind w:left="33"/>
                    <w:rPr>
                      <w:sz w:val="28"/>
                      <w:szCs w:val="28"/>
                    </w:rPr>
                  </w:pPr>
                  <w:r>
                    <w:rPr>
                      <w:color w:val="FFFFFF"/>
                      <w:spacing w:val="-1"/>
                      <w:sz w:val="28"/>
                      <w:szCs w:val="28"/>
                      <w14:textOutline w14:w="509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华利集团(300979.SZ)</w:t>
                  </w:r>
                </w:p>
                <w:p>
                  <w:pPr>
                    <w:pStyle w:val="BodyText"/>
                    <w:spacing w:before="219" w:line="216" w:lineRule="auto"/>
                    <w:ind w:left="31"/>
                    <w:outlineLvl w:val="0"/>
                    <w:rPr>
                      <w:sz w:val="43"/>
                      <w:szCs w:val="43"/>
                    </w:rPr>
                  </w:pPr>
                  <w:bookmarkStart w:id="0" w:name="bookmark1"/>
                  <w:bookmarkEnd w:id="0"/>
                  <w:r>
                    <w:rPr>
                      <w:color w:val="404040"/>
                      <w:spacing w:val="9"/>
                      <w:sz w:val="43"/>
                      <w:szCs w:val="43"/>
                      <w14:textOutline w14:w="7968">
                        <w14:solidFill>
                          <w14:srgbClr w14:val="404040"/>
                        </w14:solidFill>
                        <w14:prstDash w14:val="solid"/>
                        <w14:miter w14:lim="10"/>
                      </w14:textOutline>
                    </w:rPr>
                    <w:t>运动鞋制造劲旅，扩张步伐可期</w:t>
                  </w:r>
                </w:p>
              </w:txbxContent>
            </v:textbox>
          </v:shape>
        </w:pict>
      </w:r>
      <w:r>
        <w:pict>
          <v:shape id="_x0000_s1026" type="#_x0000_t202" style="width:177.85pt;height:150.15pt;margin-top:67.04pt;margin-left:391.71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516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shd w:val="clear" w:color="auto" w:fill="F2F2F2"/>
                    <w:tblLayout w:type="fixed"/>
                  </w:tblPr>
                  <w:tblGrid>
                    <w:gridCol w:w="2066"/>
                    <w:gridCol w:w="1450"/>
                  </w:tblGrid>
                  <w:tr>
                    <w:tblPrEx>
                      <w:tblW w:w="3516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shd w:val="clear" w:color="auto" w:fill="F2F2F2"/>
                      <w:tblLayout w:type="fixed"/>
                    </w:tblPrEx>
                    <w:trPr>
                      <w:trHeight w:val="1170"/>
                    </w:trPr>
                    <w:tc>
                      <w:tcPr>
                        <w:tcW w:w="3516" w:type="dxa"/>
                        <w:gridSpan w:val="2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55" w:line="218" w:lineRule="auto"/>
                          <w:ind w:right="3"/>
                          <w:jc w:val="right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drawing>
                            <wp:inline distT="0" distB="0" distL="0" distR="0">
                              <wp:extent cx="190284" cy="186690"/>
                              <wp:effectExtent l="0" t="0" r="0" b="0"/>
                              <wp:docPr id="4" name="IM 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 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0284" cy="1866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"/>
                            <w:sz w:val="36"/>
                            <w:szCs w:val="36"/>
                            <w14:textOutline w14:w="6531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公司深度分析</w:t>
                        </w:r>
                      </w:p>
                      <w:p>
                        <w:pPr>
                          <w:spacing w:line="3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2" w:line="218" w:lineRule="auto"/>
                          <w:ind w:left="2448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color w:val="404040"/>
                            <w:spacing w:val="-1"/>
                            <w:sz w:val="16"/>
                            <w:szCs w:val="16"/>
                            <w14:textOutline w14:w="2917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证券研究报告</w:t>
                        </w:r>
                      </w:p>
                    </w:tc>
                  </w:tr>
                  <w:tr>
                    <w:tblPrEx>
                      <w:tblW w:w="3516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5"/>
                    </w:trPr>
                    <w:tc>
                      <w:tcPr>
                        <w:tcW w:w="3516" w:type="dxa"/>
                        <w:gridSpan w:val="2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32" w:line="210" w:lineRule="auto"/>
                          <w:ind w:left="2456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404040"/>
                            <w:spacing w:val="-2"/>
                            <w:sz w:val="24"/>
                            <w:szCs w:val="24"/>
                            <w14:textOutline w14:w="4354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其他纺织</w:t>
                        </w:r>
                      </w:p>
                    </w:tc>
                  </w:tr>
                  <w:tr>
                    <w:tblPrEx>
                      <w:tblW w:w="3516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779"/>
                    </w:trPr>
                    <w:tc>
                      <w:tcPr>
                        <w:tcW w:w="2066" w:type="dxa"/>
                        <w:tcBorders>
                          <w:top w:val="single" w:sz="6" w:space="0" w:color="000000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86" w:line="215" w:lineRule="auto"/>
                          <w:ind w:left="606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404040"/>
                            <w:spacing w:val="-2"/>
                            <w:sz w:val="24"/>
                            <w:szCs w:val="24"/>
                            <w14:textOutline w14:w="4354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投资评级</w:t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single" w:sz="6" w:space="0" w:color="000000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46" w:line="231" w:lineRule="auto"/>
                          <w:ind w:left="403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color w:val="E83216"/>
                            <w:spacing w:val="1"/>
                            <w:sz w:val="31"/>
                            <w:szCs w:val="31"/>
                            <w14:textOutline w14:w="5791">
                              <w14:solidFill>
                                <w14:srgbClr w14:val="E83216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买入-A</w:t>
                        </w:r>
                      </w:p>
                      <w:p>
                        <w:pPr>
                          <w:pStyle w:val="TableText"/>
                          <w:spacing w:before="22" w:line="199" w:lineRule="auto"/>
                          <w:ind w:right="19"/>
                          <w:jc w:val="right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i/>
                            <w:iCs/>
                            <w:color w:val="E83216"/>
                            <w:spacing w:val="12"/>
                            <w:sz w:val="29"/>
                            <w:szCs w:val="29"/>
                            <w14:textOutline w14:w="5094">
                              <w14:solidFill>
                                <w14:srgbClr w14:val="E83216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首次</w:t>
                        </w:r>
                        <w:r>
                          <w:rPr>
                            <w:i/>
                            <w:iCs/>
                            <w:color w:val="404040"/>
                            <w:spacing w:val="12"/>
                            <w:sz w:val="29"/>
                            <w:szCs w:val="29"/>
                            <w14:textOutline w14:w="5094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评级</w:t>
                        </w:r>
                      </w:p>
                    </w:tc>
                  </w:tr>
                  <w:tr>
                    <w:tblPrEx>
                      <w:tblW w:w="3516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633"/>
                    </w:trPr>
                    <w:tc>
                      <w:tcPr>
                        <w:tcW w:w="2066" w:type="dxa"/>
                        <w:tcBorders>
                          <w:top w:val="single" w:sz="4" w:space="0" w:color="F2F2F2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50" w:line="217" w:lineRule="auto"/>
                          <w:ind w:left="17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404040"/>
                            <w:spacing w:val="-2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6</w:t>
                        </w:r>
                        <w:r>
                          <w:rPr>
                            <w:color w:val="404040"/>
                            <w:spacing w:val="-48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2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个月目标价</w:t>
                        </w:r>
                      </w:p>
                      <w:p>
                        <w:pPr>
                          <w:pStyle w:val="TableText"/>
                          <w:spacing w:before="52" w:line="219" w:lineRule="auto"/>
                          <w:ind w:left="14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404040"/>
                            <w:spacing w:val="-3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股价</w:t>
                        </w:r>
                        <w:r>
                          <w:rPr>
                            <w:color w:val="404040"/>
                            <w:spacing w:val="5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3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(2024-02-27)</w:t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single" w:sz="4" w:space="0" w:color="F2F2F2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51"/>
                          <w:ind w:left="599" w:right="23" w:firstLine="5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404040"/>
                            <w:spacing w:val="-5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79.00</w:t>
                        </w:r>
                        <w:r>
                          <w:rPr>
                            <w:color w:val="404040"/>
                            <w:spacing w:val="-3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5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元</w:t>
                        </w:r>
                        <w:r>
                          <w:rPr>
                            <w:color w:val="40404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4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56.73</w:t>
                        </w:r>
                        <w:r>
                          <w:rPr>
                            <w:color w:val="404040"/>
                            <w:spacing w:val="-31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4"/>
                            <w:sz w:val="22"/>
                            <w:szCs w:val="22"/>
                            <w14:textOutline w14:w="400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元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7" type="#_x0000_t202" style="width:177.7pt;height:102pt;margin-top:227.04pt;margin-left:391.72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513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shd w:val="clear" w:color="auto" w:fill="F2F2F2"/>
                    <w:tblLayout w:type="fixed"/>
                  </w:tblPr>
                  <w:tblGrid>
                    <w:gridCol w:w="1895"/>
                    <w:gridCol w:w="1618"/>
                  </w:tblGrid>
                  <w:tr>
                    <w:tblPrEx>
                      <w:tblW w:w="351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shd w:val="clear" w:color="auto" w:fill="F2F2F2"/>
                      <w:tblLayout w:type="fixed"/>
                    </w:tblPrEx>
                    <w:trPr>
                      <w:trHeight w:val="324"/>
                    </w:trPr>
                    <w:tc>
                      <w:tcPr>
                        <w:tcW w:w="3513" w:type="dxa"/>
                        <w:gridSpan w:val="2"/>
                        <w:tcBorders>
                          <w:top w:val="single" w:sz="4" w:space="0" w:color="F2F2F2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55" w:line="221" w:lineRule="auto"/>
                          <w:ind w:left="24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color w:val="404040"/>
                            <w:spacing w:val="-2"/>
                            <w:sz w:val="21"/>
                            <w:szCs w:val="21"/>
                            <w14:textOutline w14:w="3831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交易数据</w:t>
                        </w:r>
                      </w:p>
                    </w:tc>
                  </w:tr>
                  <w:tr>
                    <w:tblPrEx>
                      <w:tblW w:w="3513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4"/>
                    </w:trPr>
                    <w:tc>
                      <w:tcPr>
                        <w:tcW w:w="189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59" w:line="219" w:lineRule="auto"/>
                          <w:ind w:left="27"/>
                        </w:pPr>
                        <w:r>
                          <w:rPr>
                            <w:color w:val="404040"/>
                            <w:spacing w:val="-2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总市值(百万元)</w:t>
                        </w:r>
                      </w:p>
                    </w:tc>
                    <w:tc>
                      <w:tcPr>
                        <w:tcW w:w="161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88" w:line="183" w:lineRule="auto"/>
                          <w:ind w:right="17"/>
                          <w:jc w:val="right"/>
                        </w:pPr>
                        <w:r>
                          <w:rPr>
                            <w:color w:val="404040"/>
                            <w:spacing w:val="-1"/>
                          </w:rPr>
                          <w:t>66,203.91</w:t>
                        </w:r>
                      </w:p>
                    </w:tc>
                  </w:tr>
                  <w:tr>
                    <w:tblPrEx>
                      <w:tblW w:w="3513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5"/>
                    </w:trPr>
                    <w:tc>
                      <w:tcPr>
                        <w:tcW w:w="189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62" w:line="219" w:lineRule="auto"/>
                          <w:ind w:left="23"/>
                        </w:pPr>
                        <w:r>
                          <w:rPr>
                            <w:color w:val="404040"/>
                            <w:spacing w:val="-1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流通市值(百万元)</w:t>
                        </w:r>
                      </w:p>
                    </w:tc>
                    <w:tc>
                      <w:tcPr>
                        <w:tcW w:w="161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90" w:line="183" w:lineRule="auto"/>
                          <w:ind w:right="16"/>
                          <w:jc w:val="right"/>
                        </w:pPr>
                        <w:r>
                          <w:rPr>
                            <w:color w:val="404040"/>
                            <w:spacing w:val="-1"/>
                          </w:rPr>
                          <w:t>8,286.97</w:t>
                        </w:r>
                      </w:p>
                    </w:tc>
                  </w:tr>
                  <w:tr>
                    <w:tblPrEx>
                      <w:tblW w:w="3513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7"/>
                    </w:trPr>
                    <w:tc>
                      <w:tcPr>
                        <w:tcW w:w="189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66" w:line="217" w:lineRule="auto"/>
                          <w:ind w:left="27"/>
                        </w:pPr>
                        <w:r>
                          <w:rPr>
                            <w:color w:val="404040"/>
                            <w:spacing w:val="-2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总股本(百万股)</w:t>
                        </w:r>
                      </w:p>
                    </w:tc>
                    <w:tc>
                      <w:tcPr>
                        <w:tcW w:w="161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94" w:line="183" w:lineRule="auto"/>
                          <w:ind w:right="16"/>
                          <w:jc w:val="right"/>
                        </w:pPr>
                        <w:r>
                          <w:rPr>
                            <w:color w:val="404040"/>
                            <w:spacing w:val="-2"/>
                          </w:rPr>
                          <w:t>1,167.00</w:t>
                        </w:r>
                      </w:p>
                    </w:tc>
                  </w:tr>
                  <w:tr>
                    <w:tblPrEx>
                      <w:tblW w:w="3513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5"/>
                    </w:trPr>
                    <w:tc>
                      <w:tcPr>
                        <w:tcW w:w="189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66" w:line="217" w:lineRule="auto"/>
                          <w:ind w:left="23"/>
                        </w:pPr>
                        <w:r>
                          <w:rPr>
                            <w:color w:val="404040"/>
                            <w:spacing w:val="-1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流通股本(百万股)</w:t>
                        </w:r>
                      </w:p>
                    </w:tc>
                    <w:tc>
                      <w:tcPr>
                        <w:tcW w:w="161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94" w:line="183" w:lineRule="auto"/>
                          <w:ind w:right="16"/>
                          <w:jc w:val="right"/>
                        </w:pPr>
                        <w:r>
                          <w:rPr>
                            <w:color w:val="404040"/>
                            <w:spacing w:val="-3"/>
                          </w:rPr>
                          <w:t>146.08</w:t>
                        </w:r>
                      </w:p>
                    </w:tc>
                  </w:tr>
                  <w:tr>
                    <w:tblPrEx>
                      <w:tblW w:w="3513" w:type="dxa"/>
                      <w:tblInd w:w="20" w:type="dxa"/>
                      <w:shd w:val="clear" w:color="auto" w:fill="F2F2F2"/>
                      <w:tblLayout w:type="fixed"/>
                    </w:tblPrEx>
                    <w:trPr>
                      <w:trHeight w:val="319"/>
                    </w:trPr>
                    <w:tc>
                      <w:tcPr>
                        <w:tcW w:w="1895" w:type="dxa"/>
                        <w:tcBorders>
                          <w:top w:val="single" w:sz="6" w:space="0" w:color="000000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66" w:line="217" w:lineRule="auto"/>
                          <w:ind w:left="25"/>
                        </w:pPr>
                        <w:r>
                          <w:rPr>
                            <w:color w:val="404040"/>
                            <w:spacing w:val="-3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12</w:t>
                        </w:r>
                        <w:r>
                          <w:rPr>
                            <w:color w:val="404040"/>
                            <w:spacing w:val="-34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3"/>
                            <w14:textOutline w14:w="3265">
                              <w14:solidFill>
                                <w14:srgbClr w14:val="40404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个月价格区间</w:t>
                        </w:r>
                      </w:p>
                    </w:tc>
                    <w:tc>
                      <w:tcPr>
                        <w:tcW w:w="1618" w:type="dxa"/>
                        <w:tcBorders>
                          <w:top w:val="single" w:sz="6" w:space="0" w:color="000000"/>
                          <w:bottom w:val="single" w:sz="4" w:space="0" w:color="F2F2F2"/>
                        </w:tcBorders>
                        <w:shd w:val="clear" w:color="auto" w:fill="F2F2F2"/>
                        <w:vAlign w:val="top"/>
                      </w:tcPr>
                      <w:p>
                        <w:pPr>
                          <w:pStyle w:val="TableText"/>
                          <w:spacing w:before="67" w:line="233" w:lineRule="auto"/>
                          <w:ind w:right="1"/>
                          <w:jc w:val="right"/>
                        </w:pPr>
                        <w:r>
                          <w:rPr>
                            <w:color w:val="404040"/>
                            <w:spacing w:val="-1"/>
                          </w:rPr>
                          <w:t>39.54/60.9</w:t>
                        </w:r>
                        <w:r>
                          <w:rPr>
                            <w:color w:val="404040"/>
                            <w:spacing w:val="-26"/>
                          </w:rPr>
                          <w:t xml:space="preserve"> </w:t>
                        </w:r>
                        <w:r>
                          <w:rPr>
                            <w:color w:val="404040"/>
                            <w:spacing w:val="-1"/>
                          </w:rPr>
                          <w:t>元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8" type="#_x0000_t202" style="width:175.25pt;height:16.6pt;margin-top:340.61pt;margin-left:392.72pt;mso-position-horizontal-relative:page;mso-position-vertical-relative:page;position:absolute;z-index:251663360" o:allowincell="f" filled="t" fillcolor="#f2f2f2" stroked="f">
            <o:lock v:ext="edit" aspectratio="f"/>
            <v:textbox inset="0,0,0,0">
              <w:txbxContent>
                <w:p>
                  <w:pPr>
                    <w:pStyle w:val="BodyText"/>
                    <w:spacing w:before="51" w:line="224" w:lineRule="auto"/>
                    <w:ind w:left="13"/>
                    <w:rPr>
                      <w:sz w:val="21"/>
                      <w:szCs w:val="21"/>
                    </w:rPr>
                  </w:pPr>
                  <w:r>
                    <w:rPr>
                      <w:color w:val="404040"/>
                      <w:sz w:val="21"/>
                      <w:szCs w:val="21"/>
                      <w14:textOutline w14:w="3831">
                        <w14:solidFill>
                          <w14:srgbClr w14:val="404040"/>
                        </w14:solidFill>
                        <w14:prstDash w14:val="solid"/>
                        <w14:miter w14:lim="10"/>
                      </w14:textOutline>
                    </w:rPr>
                    <w:t>股价表现</w:t>
                  </w:r>
                </w:p>
              </w:txbxContent>
            </v:textbox>
          </v:shape>
        </w:pict>
      </w:r>
      <w:r>
        <w:pict>
          <v:group id="_x0000_s1029" style="width:175.25pt;height:109.25pt;margin-top:357.17pt;margin-left:392.72pt;mso-position-horizontal-relative:page;mso-position-vertical-relative:page;position:absolute;z-index:251659264" coordorigin="0,0" coordsize="3505,2185" o:allowincell="f" filled="f" stroked="f">
            <v:rect id="_x0000_s1030" style="width:3505;height:2185;position:absolute" filled="t" fillcolor="#f2f2f2" stroked="f"/>
            <v:shape id="_x0000_s1031" type="#_x0000_t202" style="width:3083;height:1976;left:167;position:absolute;top:133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230" w:lineRule="auto"/>
                      <w:ind w:left="402"/>
                      <w:rPr>
                        <w:sz w:val="13"/>
                        <w:szCs w:val="13"/>
                      </w:rPr>
                    </w:pPr>
                    <w:r>
                      <w:rPr>
                        <w:position w:val="4"/>
                        <w:sz w:val="13"/>
                        <w:szCs w:val="13"/>
                      </w:rPr>
                      <w:drawing>
                        <wp:inline distT="0" distB="0" distL="0" distR="0">
                          <wp:extent cx="256539" cy="12700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6539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pacing w:val="-17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5"/>
                        <w:sz w:val="13"/>
                        <w:szCs w:val="13"/>
                        <w14:textOutline w14:w="2525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华利集团</w:t>
                    </w:r>
                    <w:r>
                      <w:rPr>
                        <w:spacing w:val="9"/>
                        <w:sz w:val="13"/>
                        <w:szCs w:val="13"/>
                      </w:rPr>
                      <w:t xml:space="preserve">     </w:t>
                    </w:r>
                    <w:r>
                      <w:rPr>
                        <w:position w:val="4"/>
                        <w:sz w:val="13"/>
                        <w:szCs w:val="13"/>
                      </w:rPr>
                      <w:drawing>
                        <wp:inline distT="0" distB="0" distL="0" distR="0">
                          <wp:extent cx="256539" cy="12700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6539" cy="127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spacing w:val="-15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spacing w:val="5"/>
                        <w:sz w:val="13"/>
                        <w:szCs w:val="13"/>
                        <w14:textOutline w14:w="2525" w14:cap="rnd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沪深300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BodyText"/>
                      <w:spacing w:before="43" w:line="294" w:lineRule="exact"/>
                      <w:ind w:left="99"/>
                      <w:rPr>
                        <w:sz w:val="13"/>
                        <w:szCs w:val="13"/>
                      </w:rPr>
                    </w:pPr>
                    <w:r>
                      <w:rPr>
                        <w:position w:val="14"/>
                        <w:sz w:val="13"/>
                        <w:szCs w:val="13"/>
                      </w:rPr>
                      <w:t>11%</w:t>
                    </w:r>
                  </w:p>
                  <w:p>
                    <w:pPr>
                      <w:pStyle w:val="BodyText"/>
                      <w:spacing w:line="190" w:lineRule="auto"/>
                      <w:ind w:left="169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-1"/>
                        <w:sz w:val="13"/>
                        <w:szCs w:val="13"/>
                      </w:rPr>
                      <w:t>1%</w:t>
                    </w:r>
                  </w:p>
                  <w:p>
                    <w:pPr>
                      <w:pStyle w:val="BodyText"/>
                      <w:spacing w:before="158" w:line="192" w:lineRule="auto"/>
                      <w:ind w:left="89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3"/>
                        <w:sz w:val="13"/>
                        <w:szCs w:val="13"/>
                      </w:rPr>
                      <w:t>-9%</w:t>
                    </w:r>
                  </w:p>
                  <w:p>
                    <w:pPr>
                      <w:pStyle w:val="BodyText"/>
                      <w:spacing w:before="160" w:line="192" w:lineRule="auto"/>
                      <w:ind w:left="20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4"/>
                        <w:sz w:val="13"/>
                        <w:szCs w:val="13"/>
                      </w:rPr>
                      <w:t>-19%</w:t>
                    </w:r>
                  </w:p>
                  <w:p>
                    <w:pPr>
                      <w:pStyle w:val="BodyText"/>
                      <w:spacing w:before="159" w:line="192" w:lineRule="auto"/>
                      <w:ind w:left="20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4"/>
                        <w:sz w:val="13"/>
                        <w:szCs w:val="13"/>
                      </w:rPr>
                      <w:t>-29%</w:t>
                    </w:r>
                  </w:p>
                  <w:p>
                    <w:pPr>
                      <w:pStyle w:val="BodyText"/>
                      <w:spacing w:before="15" w:line="192" w:lineRule="auto"/>
                      <w:ind w:right="20"/>
                      <w:jc w:val="right"/>
                      <w:rPr>
                        <w:sz w:val="13"/>
                        <w:szCs w:val="13"/>
                      </w:rPr>
                    </w:pPr>
                    <w:r>
                      <w:rPr>
                        <w:spacing w:val="4"/>
                        <w:sz w:val="13"/>
                        <w:szCs w:val="13"/>
                      </w:rPr>
                      <w:t>2023-02</w:t>
                    </w:r>
                    <w:r>
                      <w:rPr>
                        <w:spacing w:val="16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spacing w:val="4"/>
                        <w:sz w:val="13"/>
                        <w:szCs w:val="13"/>
                      </w:rPr>
                      <w:t>2023-06</w:t>
                    </w:r>
                    <w:r>
                      <w:rPr>
                        <w:spacing w:val="14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spacing w:val="4"/>
                        <w:sz w:val="13"/>
                        <w:szCs w:val="13"/>
                      </w:rPr>
                      <w:t>2023-10</w:t>
                    </w:r>
                    <w:r>
                      <w:rPr>
                        <w:spacing w:val="15"/>
                        <w:sz w:val="13"/>
                        <w:szCs w:val="13"/>
                      </w:rPr>
                      <w:t xml:space="preserve">    </w:t>
                    </w:r>
                    <w:r>
                      <w:rPr>
                        <w:spacing w:val="4"/>
                        <w:sz w:val="13"/>
                        <w:szCs w:val="13"/>
                      </w:rPr>
                      <w:t>2024-02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2572;height:1466;left:533;position:absolute;top:393" filled="f" stroked="f">
              <v:imagedata r:id="rId7" o:title=""/>
            </v:shape>
          </v:group>
        </w:pict>
      </w:r>
      <w:r>
        <w:pict>
          <v:shape id="_x0000_s1033" type="#_x0000_t202" style="width:84.55pt;height:12.6pt;margin-top:468.58pt;margin-left:392.93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10"/>
                      <w:sz w:val="18"/>
                      <w:szCs w:val="18"/>
                    </w:rPr>
                    <w:t>资料来源：</w:t>
                  </w:r>
                  <w:r>
                    <w:rPr>
                      <w:color w:val="404040"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404040"/>
                      <w:spacing w:val="-10"/>
                      <w:sz w:val="18"/>
                      <w:szCs w:val="18"/>
                    </w:rPr>
                    <w:t>Wind</w:t>
                  </w:r>
                  <w:r>
                    <w:rPr>
                      <w:color w:val="404040"/>
                      <w:spacing w:val="-23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404040"/>
                      <w:spacing w:val="-10"/>
                      <w:sz w:val="18"/>
                      <w:szCs w:val="18"/>
                    </w:rPr>
                    <w:t>资讯</w:t>
                  </w:r>
                </w:p>
              </w:txbxContent>
            </v:textbox>
          </v:shape>
        </w:pict>
      </w:r>
      <w:r>
        <w:pict>
          <v:group id="_x0000_s1034" style="width:175.75pt;height:49.25pt;margin-top:478.99pt;margin-left:392.71pt;mso-position-horizontal-relative:page;mso-position-vertical-relative:page;position:absolute;z-index:251662336" coordorigin="0,0" coordsize="3515,985" o:allowincell="f" filled="f" stroked="f">
            <v:rect id="_x0000_s1035" style="width:3515;height:985;position:absolute" filled="t" fillcolor="#f2f2f2" stroked="f"/>
            <v:shape id="_x0000_s1036" type="#_x0000_t202" style="width:755;height:885;left:110;position:absolute;top:79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289" w:lineRule="auto"/>
                      <w:ind w:left="20" w:right="20" w:firstLine="135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3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升幅%</w:t>
                    </w:r>
                    <w:r>
                      <w:rPr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spacing w:val="-2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相对收益</w:t>
                    </w:r>
                    <w:r>
                      <w:rPr>
                        <w:spacing w:val="1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spacing w:val="-2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绝对收益</w:t>
                    </w:r>
                  </w:p>
                </w:txbxContent>
              </v:textbox>
            </v:shape>
            <v:shape id="_x0000_s1037" type="#_x0000_t202" style="width:395;height:843;left:2042;position:absolute;top:107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3" w:lineRule="auto"/>
                      <w:ind w:left="110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2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3M</w:t>
                    </w:r>
                  </w:p>
                  <w:p>
                    <w:pPr>
                      <w:pStyle w:val="BodyText"/>
                      <w:spacing w:before="133" w:line="312" w:lineRule="exact"/>
                      <w:ind w:left="20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1"/>
                        <w:position w:val="12"/>
                        <w:sz w:val="18"/>
                        <w:szCs w:val="18"/>
                      </w:rPr>
                      <w:t>21.1</w:t>
                    </w:r>
                  </w:p>
                  <w:p>
                    <w:pPr>
                      <w:pStyle w:val="BodyText"/>
                      <w:spacing w:line="183" w:lineRule="auto"/>
                      <w:ind w:left="20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1"/>
                        <w:sz w:val="18"/>
                        <w:szCs w:val="18"/>
                      </w:rPr>
                      <w:t>20.6</w:t>
                    </w:r>
                  </w:p>
                </w:txbxContent>
              </v:textbox>
            </v:shape>
            <v:shape id="_x0000_s1038" type="#_x0000_t202" style="width:352;height:850;left:2915;position:absolute;top:107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3" w:lineRule="auto"/>
                      <w:ind w:left="48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4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12M</w:t>
                    </w:r>
                  </w:p>
                  <w:p>
                    <w:pPr>
                      <w:spacing w:before="131" w:line="312" w:lineRule="exact"/>
                      <w:ind w:left="20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spacing w:val="-3"/>
                        <w:position w:val="13"/>
                        <w:sz w:val="18"/>
                        <w:szCs w:val="18"/>
                      </w:rPr>
                      <w:t>13.8</w:t>
                    </w:r>
                  </w:p>
                  <w:p>
                    <w:pPr>
                      <w:spacing w:line="185" w:lineRule="auto"/>
                      <w:ind w:left="62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spacing w:val="-3"/>
                        <w:sz w:val="18"/>
                        <w:szCs w:val="18"/>
                      </w:rPr>
                      <w:t>0.2</w:t>
                    </w:r>
                  </w:p>
                </w:txbxContent>
              </v:textbox>
            </v:shape>
            <v:shape id="_x0000_s1039" type="#_x0000_t202" style="width:307;height:841;left:1235;position:absolute;top:109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182" w:lineRule="auto"/>
                      <w:ind w:left="76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4"/>
                        <w:sz w:val="18"/>
                        <w:szCs w:val="18"/>
                        <w14:textOutline w14:w="326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1M</w:t>
                    </w:r>
                  </w:p>
                  <w:p>
                    <w:pPr>
                      <w:pStyle w:val="BodyText"/>
                      <w:spacing w:before="133" w:line="312" w:lineRule="exact"/>
                      <w:ind w:left="22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2"/>
                        <w:position w:val="12"/>
                        <w:sz w:val="18"/>
                        <w:szCs w:val="18"/>
                      </w:rPr>
                      <w:t>3.4</w:t>
                    </w:r>
                  </w:p>
                  <w:p>
                    <w:pPr>
                      <w:pStyle w:val="BodyText"/>
                      <w:spacing w:line="183" w:lineRule="auto"/>
                      <w:ind w:left="20"/>
                      <w:rPr>
                        <w:sz w:val="18"/>
                        <w:szCs w:val="18"/>
                      </w:rPr>
                    </w:pPr>
                    <w:r>
                      <w:rPr>
                        <w:spacing w:val="-1"/>
                        <w:sz w:val="18"/>
                        <w:szCs w:val="18"/>
                      </w:rPr>
                      <w:t>8.2</w:t>
                    </w:r>
                  </w:p>
                </w:txbxContent>
              </v:textbox>
            </v:shape>
          </v:group>
        </w:pict>
      </w:r>
      <w:r>
        <w:pict>
          <v:shape id="_x0000_s1040" type="#_x0000_t202" style="width:36.9pt;height:16.4pt;margin-top:529.6pt;margin-left:444.17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</w:pPr>
                  <w:r>
                    <w:rPr>
                      <w:color w:val="404040"/>
                      <w:spacing w:val="-8"/>
                      <w14:textOutline w14:w="4354">
                        <w14:solidFill>
                          <w14:srgbClr w14:val="404040"/>
                        </w14:solidFill>
                        <w14:prstDash w14:val="solid"/>
                        <w14:miter w14:lim="10"/>
                      </w14:textOutline>
                    </w:rPr>
                    <w:t>陆偲聪</w:t>
                  </w:r>
                </w:p>
              </w:txbxContent>
            </v:textbox>
          </v:shape>
        </w:pict>
      </w:r>
      <w:r>
        <w:pict>
          <v:shape id="_x0000_s1041" type="#_x0000_t202" style="width:28.65pt;height:12.6pt;margin-top:531.1pt;margin-left:540.28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3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miter w14:lim="10"/>
                      </w14:textOutline>
                    </w:rPr>
                    <w:t>分析师</w:t>
                  </w:r>
                </w:p>
              </w:txbxContent>
            </v:textbox>
          </v:shape>
        </w:pict>
      </w:r>
      <w:r>
        <w:pict>
          <v:shape id="_x0000_s1042" type="#_x0000_t202" style="width:119.9pt;height:27.45pt;margin-top:547.46pt;margin-left:449.22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12" w:lineRule="exact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color w:val="404040"/>
                      <w:spacing w:val="-3"/>
                      <w:position w:val="12"/>
                      <w:sz w:val="15"/>
                      <w:szCs w:val="15"/>
                    </w:rPr>
                    <w:t>SAC</w:t>
                  </w:r>
                  <w:r>
                    <w:rPr>
                      <w:color w:val="404040"/>
                      <w:spacing w:val="-29"/>
                      <w:position w:val="12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position w:val="12"/>
                      <w:sz w:val="15"/>
                      <w:szCs w:val="15"/>
                    </w:rPr>
                    <w:t>执业证书编号：</w:t>
                  </w:r>
                  <w:r>
                    <w:rPr>
                      <w:color w:val="404040"/>
                      <w:spacing w:val="-17"/>
                      <w:position w:val="12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position w:val="12"/>
                      <w:sz w:val="15"/>
                      <w:szCs w:val="15"/>
                    </w:rPr>
                    <w:t>S1450522100001</w:t>
                  </w:r>
                </w:p>
                <w:p>
                  <w:pPr>
                    <w:pStyle w:val="BodyText"/>
                    <w:spacing w:line="241" w:lineRule="auto"/>
                    <w:ind w:right="19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404040"/>
                      <w:spacing w:val="-2"/>
                      <w:sz w:val="15"/>
                      <w:szCs w:val="15"/>
                    </w:rPr>
                    <w:t>lusc@essence.com.cn</w:t>
                  </w:r>
                </w:p>
              </w:txbxContent>
            </v:textbox>
          </v:shape>
        </w:pict>
      </w:r>
      <w:r>
        <w:pict>
          <v:group id="_x0000_s1043" style="width:175.75pt;height:96.05pt;margin-top:576.43pt;margin-left:392.71pt;mso-position-horizontal-relative:page;mso-position-vertical-relative:page;position:absolute;z-index:251661312" coordorigin="0,0" coordsize="3515,1921" o:allowincell="f" filled="f" stroked="f">
            <v:rect id="_x0000_s1044" style="width:3515;height:1921;position:absolute" filled="t" fillcolor="#f2f2f2" stroked="f"/>
            <v:shape id="_x0000_s1045" type="#_x0000_t202" style="width:875;height:293;left:-1;position:absolute;top:45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9" w:line="223" w:lineRule="auto"/>
                      <w:ind w:left="20"/>
                      <w:rPr>
                        <w:sz w:val="21"/>
                        <w:szCs w:val="21"/>
                      </w:rPr>
                    </w:pPr>
                    <w:r>
                      <w:rPr>
                        <w:color w:val="404040"/>
                        <w:spacing w:val="-1"/>
                        <w:sz w:val="21"/>
                        <w:szCs w:val="21"/>
                        <w14:textOutline w14:w="3831">
                          <w14:solidFill>
                            <w14:srgbClr w14:val="404040"/>
                          </w14:solidFill>
                          <w14:prstDash w14:val="solid"/>
                          <w14:miter w14:lim="10"/>
                        </w14:textOutline>
                      </w:rPr>
                      <w:t>相关报告</w:t>
                    </w:r>
                  </w:p>
                </w:txbxContent>
              </v:textbox>
            </v:shape>
            <v:shape id="_x0000_s1046" type="#_x0000_t75" style="width:3512;height:20;position:absolute;top:326" filled="f" stroked="f">
              <v:imagedata r:id="rId8" o:title=""/>
            </v:shape>
            <v:shape id="_x0000_s1047" type="#_x0000_t75" style="width:3513;height:15;position:absolute" filled="f" stroked="f">
              <v:imagedata r:id="rId9" o:title=""/>
            </v:shape>
            <v:rect id="_x0000_s1048" style="width:3513;height:15;position:absolute;top:1906" filled="t" fillcolor="#f2f2f2" stroked="f"/>
          </v:group>
        </w:pict>
      </w:r>
      <w:r>
        <w:rPr>
          <w:position w:val="-19"/>
        </w:rPr>
        <w:drawing>
          <wp:inline distT="0" distB="0" distL="0" distR="0">
            <wp:extent cx="4701413" cy="61150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01413" cy="61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37" w:lineRule="auto"/>
        <w:ind w:left="101" w:right="3683" w:hanging="7"/>
      </w:pPr>
      <w:r>
        <w:rPr>
          <w:color w:val="404040"/>
        </w:rPr>
        <w:drawing>
          <wp:inline distT="0" distB="0" distL="0" distR="0">
            <wp:extent cx="91439" cy="10858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9"/>
        </w:rPr>
        <w:t xml:space="preserve"> </w:t>
      </w:r>
      <w:r>
        <w:rPr>
          <w:color w:val="404040"/>
          <w:spacing w:val="-3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运动鞋制造领先企业：</w:t>
      </w:r>
      <w:r>
        <w:rPr>
          <w:color w:val="404040"/>
          <w:spacing w:val="-3"/>
        </w:rPr>
        <w:t>华利集团从事运动鞋履的开发设计、生</w:t>
      </w:r>
      <w:r>
        <w:rPr>
          <w:color w:val="404040"/>
          <w:spacing w:val="-4"/>
        </w:rPr>
        <w:t>产与</w:t>
      </w:r>
      <w:r>
        <w:rPr>
          <w:color w:val="404040"/>
        </w:rPr>
        <w:t xml:space="preserve"> </w:t>
      </w:r>
      <w:r>
        <w:rPr>
          <w:color w:val="404040"/>
          <w:spacing w:val="1"/>
        </w:rPr>
        <w:t>销售，主要客户以全球知名运动品牌为主，包括</w:t>
      </w:r>
      <w:r>
        <w:rPr>
          <w:color w:val="404040"/>
          <w:spacing w:val="1"/>
        </w:rPr>
        <w:t xml:space="preserve"> </w:t>
      </w:r>
      <w:r>
        <w:rPr>
          <w:color w:val="404040"/>
        </w:rPr>
        <w:t>Nike、VF、Puma、</w:t>
      </w:r>
      <w:r>
        <w:rPr>
          <w:color w:val="404040"/>
        </w:rPr>
        <w:t xml:space="preserve"> </w:t>
      </w:r>
      <w:r>
        <w:rPr>
          <w:color w:val="404040"/>
          <w:spacing w:val="-2"/>
        </w:rPr>
        <w:t>Under</w:t>
      </w:r>
      <w:r>
        <w:rPr>
          <w:color w:val="404040"/>
          <w:spacing w:val="-2"/>
        </w:rPr>
        <w:t xml:space="preserve"> </w:t>
      </w:r>
      <w:r>
        <w:rPr>
          <w:color w:val="404040"/>
          <w:spacing w:val="-2"/>
        </w:rPr>
        <w:t>Armour、Lululemon</w:t>
      </w:r>
      <w:r>
        <w:rPr>
          <w:color w:val="404040"/>
          <w:spacing w:val="-41"/>
        </w:rPr>
        <w:t xml:space="preserve"> </w:t>
      </w:r>
      <w:r>
        <w:rPr>
          <w:color w:val="404040"/>
          <w:spacing w:val="-2"/>
        </w:rPr>
        <w:t>等。华利目前已形成以中山为管理总部，</w:t>
      </w:r>
      <w:r>
        <w:rPr>
          <w:color w:val="404040"/>
        </w:rPr>
        <w:t xml:space="preserve"> </w:t>
      </w:r>
      <w:r>
        <w:rPr>
          <w:color w:val="404040"/>
          <w:spacing w:val="-8"/>
        </w:rPr>
        <w:t>东南亚为生产基地的跨国布局，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8"/>
        </w:rPr>
        <w:t>生产基地以越南为主。公司近年来产</w:t>
      </w:r>
      <w:r>
        <w:rPr>
          <w:color w:val="404040"/>
          <w:spacing w:val="9"/>
        </w:rPr>
        <w:t xml:space="preserve"> </w:t>
      </w:r>
      <w:r>
        <w:rPr>
          <w:color w:val="404040"/>
          <w:spacing w:val="-4"/>
        </w:rPr>
        <w:t>量提升明显，从</w:t>
      </w:r>
      <w:r>
        <w:rPr>
          <w:color w:val="404040"/>
          <w:spacing w:val="-47"/>
        </w:rPr>
        <w:t xml:space="preserve"> </w:t>
      </w:r>
      <w:r>
        <w:rPr>
          <w:color w:val="404040"/>
          <w:spacing w:val="-4"/>
        </w:rPr>
        <w:t>2017</w:t>
      </w:r>
      <w:r>
        <w:rPr>
          <w:color w:val="404040"/>
          <w:spacing w:val="-50"/>
        </w:rPr>
        <w:t xml:space="preserve"> </w:t>
      </w:r>
      <w:r>
        <w:rPr>
          <w:color w:val="404040"/>
          <w:spacing w:val="-4"/>
        </w:rPr>
        <w:t>年年产量</w:t>
      </w:r>
      <w:r>
        <w:rPr>
          <w:color w:val="404040"/>
          <w:spacing w:val="-39"/>
        </w:rPr>
        <w:t xml:space="preserve"> </w:t>
      </w:r>
      <w:r>
        <w:rPr>
          <w:color w:val="404040"/>
          <w:spacing w:val="-4"/>
        </w:rPr>
        <w:t>1.3</w:t>
      </w:r>
      <w:r>
        <w:rPr>
          <w:color w:val="404040"/>
          <w:spacing w:val="-54"/>
        </w:rPr>
        <w:t xml:space="preserve"> </w:t>
      </w:r>
      <w:r>
        <w:rPr>
          <w:color w:val="404040"/>
          <w:spacing w:val="-4"/>
        </w:rPr>
        <w:t>亿双提升至</w:t>
      </w:r>
      <w:r>
        <w:rPr>
          <w:color w:val="404040"/>
          <w:spacing w:val="-53"/>
        </w:rPr>
        <w:t xml:space="preserve"> </w:t>
      </w:r>
      <w:r>
        <w:rPr>
          <w:color w:val="404040"/>
          <w:spacing w:val="-4"/>
        </w:rPr>
        <w:t>2022</w:t>
      </w:r>
      <w:r>
        <w:rPr>
          <w:color w:val="404040"/>
          <w:spacing w:val="-49"/>
        </w:rPr>
        <w:t xml:space="preserve"> </w:t>
      </w:r>
      <w:r>
        <w:rPr>
          <w:color w:val="404040"/>
          <w:spacing w:val="-4"/>
        </w:rPr>
        <w:t>年的</w:t>
      </w:r>
      <w:r>
        <w:rPr>
          <w:color w:val="404040"/>
          <w:spacing w:val="-53"/>
        </w:rPr>
        <w:t xml:space="preserve"> </w:t>
      </w:r>
      <w:r>
        <w:rPr>
          <w:color w:val="404040"/>
          <w:spacing w:val="-4"/>
        </w:rPr>
        <w:t>2.2</w:t>
      </w:r>
      <w:r>
        <w:rPr>
          <w:color w:val="404040"/>
          <w:spacing w:val="-55"/>
        </w:rPr>
        <w:t xml:space="preserve"> </w:t>
      </w:r>
      <w:r>
        <w:rPr>
          <w:color w:val="404040"/>
          <w:spacing w:val="-4"/>
        </w:rPr>
        <w:t>亿双，</w:t>
      </w:r>
      <w:r>
        <w:rPr>
          <w:color w:val="404040"/>
        </w:rPr>
        <w:t xml:space="preserve"> </w:t>
      </w:r>
      <w:r>
        <w:rPr>
          <w:color w:val="404040"/>
          <w:spacing w:val="-1"/>
        </w:rPr>
        <w:t>过去</w:t>
      </w:r>
      <w:r>
        <w:rPr>
          <w:color w:val="404040"/>
          <w:spacing w:val="-32"/>
        </w:rPr>
        <w:t xml:space="preserve"> </w:t>
      </w:r>
      <w:r>
        <w:rPr>
          <w:color w:val="404040"/>
          <w:spacing w:val="-1"/>
        </w:rPr>
        <w:t>5</w:t>
      </w:r>
      <w:r>
        <w:rPr>
          <w:color w:val="404040"/>
          <w:spacing w:val="-28"/>
        </w:rPr>
        <w:t xml:space="preserve"> </w:t>
      </w:r>
      <w:r>
        <w:rPr>
          <w:color w:val="404040"/>
          <w:spacing w:val="-1"/>
        </w:rPr>
        <w:t>年</w:t>
      </w:r>
      <w:r>
        <w:rPr>
          <w:color w:val="404040"/>
          <w:spacing w:val="-30"/>
        </w:rPr>
        <w:t xml:space="preserve"> </w:t>
      </w:r>
      <w:r>
        <w:rPr>
          <w:color w:val="404040"/>
          <w:spacing w:val="-1"/>
        </w:rPr>
        <w:t>CAGR+11%，产能利用率一直保持高位。未来随着印尼新工</w:t>
      </w:r>
      <w:r>
        <w:rPr>
          <w:color w:val="404040"/>
        </w:rPr>
        <w:t xml:space="preserve"> </w:t>
      </w:r>
      <w:r>
        <w:rPr>
          <w:color w:val="404040"/>
          <w:spacing w:val="-13"/>
        </w:rPr>
        <w:t>厂的产能释放，</w:t>
      </w:r>
      <w:r>
        <w:rPr>
          <w:color w:val="404040"/>
          <w:spacing w:val="43"/>
        </w:rPr>
        <w:t xml:space="preserve"> </w:t>
      </w:r>
      <w:r>
        <w:rPr>
          <w:color w:val="404040"/>
          <w:spacing w:val="-13"/>
        </w:rPr>
        <w:t>以及耐克业务线持续渗透叠加新兴品牌发力，</w:t>
      </w:r>
      <w:r>
        <w:rPr>
          <w:color w:val="404040"/>
          <w:spacing w:val="-13"/>
        </w:rPr>
        <w:t xml:space="preserve"> </w:t>
      </w:r>
      <w:r>
        <w:rPr>
          <w:color w:val="404040"/>
          <w:spacing w:val="-13"/>
        </w:rPr>
        <w:t>未来产</w:t>
      </w:r>
      <w:r>
        <w:rPr>
          <w:color w:val="404040"/>
        </w:rPr>
        <w:t xml:space="preserve"> </w:t>
      </w:r>
      <w:r>
        <w:rPr>
          <w:color w:val="404040"/>
          <w:spacing w:val="-1"/>
        </w:rPr>
        <w:t>量持续提升的空间广阔</w:t>
      </w:r>
      <w:r>
        <w:rPr>
          <w:color w:val="404040"/>
          <w:spacing w:val="-1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。</w:t>
      </w:r>
    </w:p>
    <w:p>
      <w:pPr>
        <w:pStyle w:val="BodyText"/>
        <w:spacing w:before="135" w:line="234" w:lineRule="auto"/>
        <w:ind w:left="96" w:right="3742" w:hanging="2"/>
      </w:pPr>
      <w:r>
        <w:rPr>
          <w:color w:val="404040"/>
        </w:rPr>
        <w:drawing>
          <wp:inline distT="0" distB="0" distL="0" distR="0">
            <wp:extent cx="91439" cy="10795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6"/>
        </w:rPr>
        <w:t xml:space="preserve"> </w:t>
      </w:r>
      <w:r>
        <w:rPr>
          <w:color w:val="404040"/>
          <w:spacing w:val="-6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运动鞋行业库存压力犹在，耐克去库节奏更佳：</w:t>
      </w:r>
      <w:r>
        <w:rPr>
          <w:color w:val="404040"/>
          <w:spacing w:val="-45"/>
        </w:rPr>
        <w:t xml:space="preserve"> </w:t>
      </w:r>
      <w:r>
        <w:rPr>
          <w:color w:val="404040"/>
          <w:spacing w:val="-6"/>
        </w:rPr>
        <w:t>从全球零售额规模</w:t>
      </w:r>
      <w:r>
        <w:rPr>
          <w:color w:val="404040"/>
        </w:rPr>
        <w:t xml:space="preserve"> </w:t>
      </w:r>
      <w:r>
        <w:rPr>
          <w:color w:val="404040"/>
          <w:spacing w:val="-10"/>
        </w:rPr>
        <w:t>角度看，</w:t>
      </w:r>
      <w:r>
        <w:rPr>
          <w:color w:val="404040"/>
          <w:spacing w:val="-36"/>
        </w:rPr>
        <w:t xml:space="preserve"> </w:t>
      </w:r>
      <w:r>
        <w:rPr>
          <w:color w:val="404040"/>
          <w:spacing w:val="-10"/>
        </w:rPr>
        <w:t>运动鞋服仍是鞋服品类中增长更佳的板块</w:t>
      </w:r>
      <w:r>
        <w:rPr>
          <w:color w:val="404040"/>
          <w:spacing w:val="-11"/>
        </w:rPr>
        <w:t>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其中运动鞋销售</w:t>
      </w:r>
      <w:r>
        <w:rPr>
          <w:color w:val="404040"/>
        </w:rPr>
        <w:t xml:space="preserve"> </w:t>
      </w:r>
      <w:r>
        <w:rPr>
          <w:color w:val="404040"/>
          <w:spacing w:val="-8"/>
        </w:rPr>
        <w:t>额表现略优于运动服。运动鞋服市场此前受终端高库存影响较大，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8"/>
        </w:rPr>
        <w:t>主</w:t>
      </w:r>
      <w:r>
        <w:rPr>
          <w:color w:val="404040"/>
          <w:spacing w:val="14"/>
        </w:rPr>
        <w:t xml:space="preserve"> </w:t>
      </w:r>
      <w:r>
        <w:rPr>
          <w:color w:val="404040"/>
          <w:spacing w:val="-11"/>
        </w:rPr>
        <w:t>流运动品牌中，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耐克库存管理表现更为高效，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华利近四成收入来</w:t>
      </w:r>
      <w:r>
        <w:rPr>
          <w:color w:val="404040"/>
          <w:spacing w:val="-12"/>
        </w:rPr>
        <w:t>自耐</w:t>
      </w:r>
      <w:r>
        <w:rPr>
          <w:color w:val="404040"/>
        </w:rPr>
        <w:t xml:space="preserve"> </w:t>
      </w:r>
      <w:r>
        <w:rPr>
          <w:color w:val="404040"/>
          <w:spacing w:val="-2"/>
        </w:rPr>
        <w:t>克，库存有效消化将有利于华利集团订单修复。</w:t>
      </w:r>
    </w:p>
    <w:p>
      <w:pPr>
        <w:pStyle w:val="BodyText"/>
        <w:spacing w:before="133" w:line="236" w:lineRule="auto"/>
        <w:ind w:left="100" w:right="3742" w:hanging="5"/>
      </w:pPr>
      <w:r>
        <w:rPr>
          <w:color w:val="404040"/>
        </w:rPr>
        <w:drawing>
          <wp:inline distT="0" distB="0" distL="0" distR="0">
            <wp:extent cx="91439" cy="10858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9"/>
        </w:rPr>
        <w:t xml:space="preserve"> </w:t>
      </w:r>
      <w:r>
        <w:rPr>
          <w:color w:val="404040"/>
          <w:spacing w:val="-6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运动鞋制造要求高，头部制造企业护城河高筑：</w:t>
      </w:r>
      <w:r>
        <w:rPr>
          <w:color w:val="404040"/>
          <w:spacing w:val="-42"/>
        </w:rPr>
        <w:t xml:space="preserve"> </w:t>
      </w:r>
      <w:r>
        <w:rPr>
          <w:color w:val="404040"/>
          <w:spacing w:val="-6"/>
        </w:rPr>
        <w:t>运动鞋制造行业受</w:t>
      </w:r>
      <w:r>
        <w:rPr>
          <w:color w:val="404040"/>
        </w:rPr>
        <w:t xml:space="preserve"> </w:t>
      </w:r>
      <w:r>
        <w:rPr>
          <w:color w:val="404040"/>
          <w:spacing w:val="-8"/>
        </w:rPr>
        <w:t>上下游牵制较多，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8"/>
        </w:rPr>
        <w:t>投入较大，企业盈利能力的高低体现在对生产流程</w:t>
      </w:r>
      <w:r>
        <w:rPr>
          <w:color w:val="404040"/>
          <w:spacing w:val="11"/>
        </w:rPr>
        <w:t xml:space="preserve"> </w:t>
      </w:r>
      <w:r>
        <w:rPr>
          <w:color w:val="404040"/>
          <w:spacing w:val="-8"/>
        </w:rPr>
        <w:t>中各项成本的把控。另外，</w:t>
      </w:r>
      <w:r>
        <w:rPr>
          <w:color w:val="404040"/>
          <w:spacing w:val="-8"/>
        </w:rPr>
        <w:t xml:space="preserve"> </w:t>
      </w:r>
      <w:r>
        <w:rPr>
          <w:color w:val="404040"/>
          <w:spacing w:val="-8"/>
        </w:rPr>
        <w:t>品牌方日益严格的生产环保要求又对本就</w:t>
      </w:r>
      <w:r>
        <w:rPr>
          <w:color w:val="404040"/>
          <w:spacing w:val="12"/>
        </w:rPr>
        <w:t xml:space="preserve"> </w:t>
      </w:r>
      <w:r>
        <w:rPr>
          <w:color w:val="404040"/>
          <w:spacing w:val="-12"/>
        </w:rPr>
        <w:t>利薄的生产企业带来更严峻的挑战。因此，</w:t>
      </w:r>
      <w:r>
        <w:rPr>
          <w:color w:val="404040"/>
          <w:spacing w:val="33"/>
        </w:rPr>
        <w:t xml:space="preserve"> </w:t>
      </w:r>
      <w:r>
        <w:rPr>
          <w:color w:val="404040"/>
          <w:spacing w:val="-12"/>
        </w:rPr>
        <w:t>我们认为，</w:t>
      </w:r>
      <w:r>
        <w:rPr>
          <w:color w:val="404040"/>
          <w:spacing w:val="-32"/>
        </w:rPr>
        <w:t xml:space="preserve"> </w:t>
      </w:r>
      <w:r>
        <w:rPr>
          <w:color w:val="404040"/>
          <w:spacing w:val="-12"/>
        </w:rPr>
        <w:t>运动鞋生产壁</w:t>
      </w:r>
      <w:r>
        <w:rPr>
          <w:color w:val="404040"/>
        </w:rPr>
        <w:t xml:space="preserve"> </w:t>
      </w:r>
      <w:r>
        <w:rPr>
          <w:color w:val="404040"/>
          <w:spacing w:val="-17"/>
        </w:rPr>
        <w:t>垒高，</w:t>
      </w:r>
      <w:r>
        <w:rPr>
          <w:color w:val="404040"/>
          <w:spacing w:val="-29"/>
        </w:rPr>
        <w:t xml:space="preserve"> </w:t>
      </w:r>
      <w:r>
        <w:rPr>
          <w:color w:val="404040"/>
          <w:spacing w:val="-17"/>
        </w:rPr>
        <w:t>不易轻易进入，</w:t>
      </w:r>
      <w:r>
        <w:rPr>
          <w:color w:val="404040"/>
          <w:spacing w:val="27"/>
        </w:rPr>
        <w:t xml:space="preserve"> </w:t>
      </w:r>
      <w:r>
        <w:rPr>
          <w:color w:val="404040"/>
          <w:spacing w:val="-17"/>
        </w:rPr>
        <w:t>具有长期制鞋经验，</w:t>
      </w:r>
      <w:r>
        <w:rPr>
          <w:color w:val="404040"/>
          <w:spacing w:val="34"/>
        </w:rPr>
        <w:t xml:space="preserve"> </w:t>
      </w:r>
      <w:r>
        <w:rPr>
          <w:color w:val="404040"/>
          <w:spacing w:val="-17"/>
        </w:rPr>
        <w:t>与客户建立长期合作的生</w:t>
      </w:r>
      <w:r>
        <w:rPr>
          <w:color w:val="404040"/>
        </w:rPr>
        <w:t xml:space="preserve"> </w:t>
      </w:r>
      <w:r>
        <w:rPr>
          <w:color w:val="404040"/>
          <w:spacing w:val="-4"/>
        </w:rPr>
        <w:t>产商竞争优势更为明显。</w:t>
      </w:r>
    </w:p>
    <w:p>
      <w:pPr>
        <w:pStyle w:val="BodyText"/>
        <w:spacing w:before="128" w:line="237" w:lineRule="auto"/>
        <w:ind w:left="98" w:right="3742" w:hanging="4"/>
      </w:pPr>
      <w:r>
        <w:rPr>
          <w:color w:val="404040"/>
        </w:rPr>
        <w:drawing>
          <wp:inline distT="0" distB="0" distL="0" distR="0">
            <wp:extent cx="91439" cy="10858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6"/>
        </w:rPr>
        <w:t xml:space="preserve"> </w:t>
      </w:r>
      <w:r>
        <w:rPr>
          <w:color w:val="404040"/>
          <w:spacing w:val="-13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华利运营能力出众，未来增长空间可期：</w:t>
      </w:r>
      <w:r>
        <w:rPr>
          <w:color w:val="404040"/>
          <w:spacing w:val="-13"/>
        </w:rPr>
        <w:t xml:space="preserve"> </w:t>
      </w:r>
      <w:r>
        <w:rPr>
          <w:color w:val="404040"/>
          <w:spacing w:val="-13"/>
        </w:rPr>
        <w:t>以前文之逻辑，</w:t>
      </w:r>
      <w:r>
        <w:rPr>
          <w:color w:val="404040"/>
          <w:spacing w:val="38"/>
        </w:rPr>
        <w:t xml:space="preserve"> </w:t>
      </w:r>
      <w:r>
        <w:rPr>
          <w:color w:val="404040"/>
          <w:spacing w:val="-13"/>
        </w:rPr>
        <w:t>我们认为</w:t>
      </w:r>
      <w:r>
        <w:rPr>
          <w:color w:val="404040"/>
        </w:rPr>
        <w:t xml:space="preserve"> </w:t>
      </w:r>
      <w:r>
        <w:rPr>
          <w:color w:val="404040"/>
          <w:spacing w:val="-11"/>
        </w:rPr>
        <w:t>华利在行业竞争中具有三大优势：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1)生产基地扎根越南清化，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劳动力</w:t>
      </w:r>
      <w:r>
        <w:rPr>
          <w:color w:val="404040"/>
          <w:spacing w:val="7"/>
        </w:rPr>
        <w:t xml:space="preserve"> </w:t>
      </w:r>
      <w:r>
        <w:rPr>
          <w:color w:val="404040"/>
          <w:spacing w:val="-7"/>
        </w:rPr>
        <w:t>充足且薪酬在越南处于中下水平，生产人员成本控制得到保障；</w:t>
      </w:r>
      <w:r>
        <w:rPr>
          <w:color w:val="404040"/>
          <w:spacing w:val="65"/>
        </w:rPr>
        <w:t xml:space="preserve"> </w:t>
      </w:r>
      <w:r>
        <w:rPr>
          <w:color w:val="404040"/>
          <w:spacing w:val="-7"/>
        </w:rPr>
        <w:t>2）</w:t>
      </w:r>
      <w:r>
        <w:rPr>
          <w:color w:val="404040"/>
        </w:rPr>
        <w:t xml:space="preserve"> </w:t>
      </w:r>
      <w:r>
        <w:rPr>
          <w:color w:val="404040"/>
          <w:spacing w:val="-11"/>
        </w:rPr>
        <w:t>客户占比更为均衡，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推进以耐克为主，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积极开拓高端运动</w:t>
      </w:r>
      <w:r>
        <w:rPr>
          <w:color w:val="404040"/>
          <w:spacing w:val="-12"/>
        </w:rPr>
        <w:t>品牌为辅的</w:t>
      </w:r>
      <w:r>
        <w:rPr>
          <w:color w:val="404040"/>
        </w:rPr>
        <w:t xml:space="preserve"> </w:t>
      </w:r>
      <w:r>
        <w:rPr>
          <w:color w:val="404040"/>
          <w:spacing w:val="-3"/>
        </w:rPr>
        <w:t>策略，均价提升空间明显；</w:t>
      </w:r>
      <w:r>
        <w:rPr>
          <w:color w:val="404040"/>
          <w:spacing w:val="-27"/>
        </w:rPr>
        <w:t xml:space="preserve"> </w:t>
      </w:r>
      <w:r>
        <w:rPr>
          <w:color w:val="404040"/>
          <w:spacing w:val="-3"/>
        </w:rPr>
        <w:t>3）不断精进生产自动化及生产</w:t>
      </w:r>
      <w:r>
        <w:rPr>
          <w:color w:val="404040"/>
          <w:spacing w:val="-4"/>
        </w:rPr>
        <w:t>流程环保</w:t>
      </w:r>
      <w:r>
        <w:rPr>
          <w:color w:val="404040"/>
        </w:rPr>
        <w:t xml:space="preserve"> </w:t>
      </w:r>
      <w:r>
        <w:rPr>
          <w:color w:val="404040"/>
          <w:spacing w:val="-10"/>
        </w:rPr>
        <w:t>优化，</w:t>
      </w:r>
      <w:r>
        <w:rPr>
          <w:color w:val="404040"/>
          <w:spacing w:val="-41"/>
        </w:rPr>
        <w:t xml:space="preserve"> </w:t>
      </w:r>
      <w:r>
        <w:rPr>
          <w:color w:val="404040"/>
          <w:spacing w:val="-10"/>
        </w:rPr>
        <w:t>人员生产效率以及单位产品能耗表现处行业前列</w:t>
      </w:r>
      <w:r>
        <w:rPr>
          <w:color w:val="404040"/>
          <w:spacing w:val="-11"/>
        </w:rPr>
        <w:t>。综上，</w:t>
      </w:r>
      <w:r>
        <w:rPr>
          <w:color w:val="404040"/>
          <w:spacing w:val="-11"/>
        </w:rPr>
        <w:t xml:space="preserve"> </w:t>
      </w:r>
      <w:r>
        <w:rPr>
          <w:color w:val="404040"/>
          <w:spacing w:val="-11"/>
        </w:rPr>
        <w:t>精进</w:t>
      </w:r>
      <w:r>
        <w:rPr>
          <w:color w:val="404040"/>
        </w:rPr>
        <w:t xml:space="preserve"> </w:t>
      </w:r>
      <w:r>
        <w:rPr>
          <w:color w:val="404040"/>
          <w:spacing w:val="4"/>
        </w:rPr>
        <w:t>成本提高盈利能力符合华利利益，提高效率节能减排符合品牌方利</w:t>
      </w:r>
      <w:r>
        <w:rPr>
          <w:color w:val="404040"/>
          <w:spacing w:val="8"/>
        </w:rPr>
        <w:t xml:space="preserve"> </w:t>
      </w:r>
      <w:r>
        <w:rPr>
          <w:color w:val="404040"/>
          <w:spacing w:val="-2"/>
        </w:rPr>
        <w:t>益，华利高级别营运能力实现双赢，市占率提升值得期待。</w:t>
      </w:r>
    </w:p>
    <w:p>
      <w:pPr>
        <w:pStyle w:val="BodyText"/>
        <w:spacing w:before="135" w:line="218" w:lineRule="auto"/>
        <w:ind w:left="95"/>
      </w:pPr>
      <w:r>
        <w:rPr>
          <w:color w:val="404040"/>
        </w:rPr>
        <w:drawing>
          <wp:inline distT="0" distB="0" distL="0" distR="0">
            <wp:extent cx="91439" cy="10795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6"/>
        </w:rPr>
        <w:t xml:space="preserve"> </w:t>
      </w:r>
      <w:r>
        <w:rPr>
          <w:color w:val="404040"/>
          <w:spacing w:val="-7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投资建议：</w:t>
      </w:r>
    </w:p>
    <w:p>
      <w:pPr>
        <w:pStyle w:val="BodyText"/>
        <w:spacing w:before="129"/>
        <w:ind w:left="112"/>
      </w:pPr>
      <w:r>
        <w:rPr>
          <w:color w:val="404040"/>
          <w:spacing w:val="-4"/>
        </w:rPr>
        <w:t>我们预计公司</w:t>
      </w:r>
      <w:r>
        <w:rPr>
          <w:color w:val="404040"/>
          <w:spacing w:val="-53"/>
        </w:rPr>
        <w:t xml:space="preserve"> </w:t>
      </w:r>
      <w:r>
        <w:rPr>
          <w:color w:val="404040"/>
          <w:spacing w:val="-4"/>
        </w:rPr>
        <w:t>2023-2025</w:t>
      </w:r>
      <w:r>
        <w:rPr>
          <w:color w:val="404040"/>
          <w:spacing w:val="-50"/>
        </w:rPr>
        <w:t xml:space="preserve"> </w:t>
      </w:r>
      <w:r>
        <w:rPr>
          <w:color w:val="404040"/>
          <w:spacing w:val="-4"/>
        </w:rPr>
        <w:t>年收入增速分别为-1%、5%、10%；净利润增</w:t>
      </w:r>
    </w:p>
    <w:p>
      <w:pPr>
        <w:pStyle w:val="BodyText"/>
        <w:spacing w:before="1" w:line="216" w:lineRule="auto"/>
        <w:ind w:left="106"/>
      </w:pPr>
      <w:r>
        <w:rPr>
          <w:color w:val="404040"/>
          <w:spacing w:val="-6"/>
        </w:rPr>
        <w:t>速分别为-0.1%、15%、6%；每股收益分别为</w:t>
      </w:r>
      <w:r>
        <w:rPr>
          <w:color w:val="404040"/>
          <w:spacing w:val="-39"/>
        </w:rPr>
        <w:t xml:space="preserve"> </w:t>
      </w:r>
      <w:r>
        <w:rPr>
          <w:color w:val="404040"/>
          <w:spacing w:val="-6"/>
        </w:rPr>
        <w:t>2.8、3.2</w:t>
      </w:r>
      <w:r>
        <w:rPr>
          <w:color w:val="404040"/>
          <w:spacing w:val="-39"/>
        </w:rPr>
        <w:t xml:space="preserve"> </w:t>
      </w:r>
      <w:r>
        <w:rPr>
          <w:color w:val="404040"/>
          <w:spacing w:val="-6"/>
        </w:rPr>
        <w:t>元、3.3</w:t>
      </w:r>
      <w:r>
        <w:rPr>
          <w:color w:val="404040"/>
          <w:spacing w:val="-38"/>
        </w:rPr>
        <w:t xml:space="preserve"> </w:t>
      </w:r>
      <w:r>
        <w:rPr>
          <w:color w:val="404040"/>
          <w:spacing w:val="-6"/>
        </w:rPr>
        <w:t>元。首</w:t>
      </w:r>
    </w:p>
    <w:p>
      <w:pPr>
        <w:pStyle w:val="BodyText"/>
        <w:spacing w:before="31" w:line="212" w:lineRule="auto"/>
        <w:ind w:left="108"/>
      </w:pPr>
      <w:r>
        <w:rPr>
          <w:color w:val="404040"/>
          <w:spacing w:val="-4"/>
        </w:rPr>
        <w:t>次给予买入-A</w:t>
      </w:r>
      <w:r>
        <w:rPr>
          <w:color w:val="404040"/>
          <w:spacing w:val="-4"/>
        </w:rPr>
        <w:t xml:space="preserve"> </w:t>
      </w:r>
      <w:r>
        <w:rPr>
          <w:color w:val="404040"/>
          <w:spacing w:val="-4"/>
        </w:rPr>
        <w:t>的投资评级，</w:t>
      </w:r>
      <w:r>
        <w:rPr>
          <w:color w:val="404040"/>
          <w:spacing w:val="-4"/>
        </w:rPr>
        <w:t xml:space="preserve"> </w:t>
      </w:r>
      <w:r>
        <w:rPr>
          <w:color w:val="404040"/>
          <w:spacing w:val="-4"/>
        </w:rPr>
        <w:t>利用相对估值法，结合可比公司表现以</w:t>
      </w:r>
    </w:p>
    <w:p>
      <w:pPr>
        <w:pStyle w:val="BodyText"/>
        <w:spacing w:before="37" w:line="212" w:lineRule="auto"/>
        <w:ind w:left="102"/>
      </w:pPr>
      <w:r>
        <w:rPr>
          <w:color w:val="404040"/>
          <w:spacing w:val="-2"/>
        </w:rPr>
        <w:t>及考虑华利的长期发展空间，我们给予公司</w:t>
      </w:r>
      <w:r>
        <w:rPr>
          <w:color w:val="404040"/>
          <w:spacing w:val="-39"/>
        </w:rPr>
        <w:t xml:space="preserve"> </w:t>
      </w:r>
      <w:r>
        <w:rPr>
          <w:color w:val="404040"/>
          <w:spacing w:val="-2"/>
        </w:rPr>
        <w:t>2024</w:t>
      </w:r>
      <w:r>
        <w:rPr>
          <w:color w:val="404040"/>
          <w:spacing w:val="-47"/>
        </w:rPr>
        <w:t xml:space="preserve"> </w:t>
      </w:r>
      <w:r>
        <w:rPr>
          <w:color w:val="404040"/>
          <w:spacing w:val="-2"/>
        </w:rPr>
        <w:t>年</w:t>
      </w:r>
      <w:r>
        <w:rPr>
          <w:color w:val="404040"/>
          <w:spacing w:val="-51"/>
        </w:rPr>
        <w:t xml:space="preserve"> </w:t>
      </w:r>
      <w:r>
        <w:rPr>
          <w:color w:val="404040"/>
          <w:spacing w:val="-2"/>
        </w:rPr>
        <w:t>25x</w:t>
      </w:r>
      <w:r>
        <w:rPr>
          <w:color w:val="404040"/>
          <w:spacing w:val="-34"/>
        </w:rPr>
        <w:t xml:space="preserve"> </w:t>
      </w:r>
      <w:r>
        <w:rPr>
          <w:color w:val="404040"/>
          <w:spacing w:val="-2"/>
        </w:rPr>
        <w:t>的动态市盈</w:t>
      </w:r>
    </w:p>
    <w:p>
      <w:pPr>
        <w:pStyle w:val="BodyText"/>
        <w:spacing w:before="36" w:line="212" w:lineRule="auto"/>
        <w:ind w:left="110"/>
      </w:pPr>
      <w:r>
        <w:rPr>
          <w:color w:val="404040"/>
          <w:spacing w:val="-3"/>
        </w:rPr>
        <w:t>率，相当于</w:t>
      </w:r>
      <w:r>
        <w:rPr>
          <w:color w:val="404040"/>
          <w:spacing w:val="-41"/>
        </w:rPr>
        <w:t xml:space="preserve"> </w:t>
      </w:r>
      <w:r>
        <w:rPr>
          <w:color w:val="404040"/>
          <w:spacing w:val="-3"/>
        </w:rPr>
        <w:t>6</w:t>
      </w:r>
      <w:r>
        <w:rPr>
          <w:color w:val="404040"/>
          <w:spacing w:val="-55"/>
        </w:rPr>
        <w:t xml:space="preserve"> </w:t>
      </w:r>
      <w:r>
        <w:rPr>
          <w:color w:val="404040"/>
          <w:spacing w:val="-3"/>
        </w:rPr>
        <w:t>个月目标价为</w:t>
      </w:r>
      <w:r>
        <w:rPr>
          <w:color w:val="404040"/>
          <w:spacing w:val="-50"/>
        </w:rPr>
        <w:t xml:space="preserve"> </w:t>
      </w:r>
      <w:r>
        <w:rPr>
          <w:color w:val="404040"/>
          <w:spacing w:val="-3"/>
        </w:rPr>
        <w:t>79.0</w:t>
      </w:r>
      <w:r>
        <w:rPr>
          <w:color w:val="404040"/>
          <w:spacing w:val="-38"/>
        </w:rPr>
        <w:t xml:space="preserve"> </w:t>
      </w:r>
      <w:r>
        <w:rPr>
          <w:color w:val="404040"/>
          <w:spacing w:val="-3"/>
        </w:rPr>
        <w:t>元</w:t>
      </w:r>
    </w:p>
    <w:p>
      <w:pPr>
        <w:pStyle w:val="BodyText"/>
        <w:spacing w:before="137"/>
        <w:ind w:left="95"/>
        <w:sectPr>
          <w:headerReference w:type="default" r:id="rId13"/>
          <w:footerReference w:type="default" r:id="rId14"/>
          <w:pgSz w:w="11907" w:h="16839"/>
          <w:pgMar w:top="1146" w:right="535" w:bottom="803" w:left="442" w:header="546" w:footer="567" w:gutter="0"/>
          <w:cols w:space="708"/>
        </w:sectPr>
      </w:pPr>
      <w:r>
        <w:rPr>
          <w:color w:val="404040"/>
        </w:rPr>
        <w:drawing>
          <wp:inline distT="0" distB="0" distL="0" distR="0">
            <wp:extent cx="91439" cy="10858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10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55"/>
        </w:rPr>
        <w:t xml:space="preserve"> </w:t>
      </w:r>
      <w:r>
        <w:rPr>
          <w:color w:val="404040"/>
          <w:spacing w:val="-6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风险提示：</w:t>
      </w:r>
      <w:r>
        <w:rPr>
          <w:color w:val="404040"/>
          <w:spacing w:val="88"/>
        </w:rPr>
        <w:t xml:space="preserve"> </w:t>
      </w:r>
      <w:r>
        <w:rPr>
          <w:color w:val="404040"/>
          <w:spacing w:val="-6"/>
        </w:rPr>
        <w:t>国际贸易风险、跨国经营风险、劳动力成本</w:t>
      </w:r>
      <w:r>
        <w:rPr>
          <w:color w:val="404040"/>
          <w:spacing w:val="-7"/>
        </w:rPr>
        <w:t>上升风</w:t>
      </w:r>
    </w:p>
    <w:p>
      <w:pPr>
        <w:pStyle w:val="BodyText"/>
        <w:spacing w:before="1" w:line="215" w:lineRule="auto"/>
        <w:ind w:left="120"/>
      </w:pPr>
      <w:r>
        <w:rPr>
          <w:color w:val="404040"/>
          <w:spacing w:val="-6"/>
        </w:rPr>
        <w:t>险、</w:t>
      </w:r>
      <w:r>
        <w:rPr>
          <w:color w:val="404040"/>
          <w:spacing w:val="-28"/>
        </w:rPr>
        <w:t xml:space="preserve"> </w:t>
      </w:r>
      <w:r>
        <w:rPr>
          <w:color w:val="404040"/>
          <w:spacing w:val="-6"/>
        </w:rPr>
        <w:t>宏观经济波动导致的假设不及预期风险。</w:t>
      </w:r>
    </w:p>
    <w:p>
      <w:pPr>
        <w:spacing w:line="215" w:lineRule="auto"/>
        <w:sectPr>
          <w:headerReference w:type="default" r:id="rId15"/>
          <w:footerReference w:type="default" r:id="rId16"/>
          <w:type w:val="nextPage"/>
          <w:pgSz w:w="11907" w:h="16839"/>
          <w:pgMar w:top="1146" w:right="535" w:bottom="803" w:left="442" w:header="546" w:footer="567" w:gutter="0"/>
          <w:pgNumType w:start="2"/>
          <w:cols w:space="708"/>
          <w:titlePg w:val="0"/>
        </w:sectPr>
      </w:pPr>
    </w:p>
    <w:p>
      <w:pPr>
        <w:spacing w:before="51"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0"/>
      </w:pPr>
    </w:p>
    <w:p>
      <w:pPr>
        <w:spacing w:before="50"/>
      </w:pPr>
    </w:p>
    <w:p>
      <w:pPr>
        <w:spacing w:before="50"/>
      </w:pPr>
    </w:p>
    <w:tbl>
      <w:tblPr>
        <w:tblStyle w:val="TableNormal0"/>
        <w:tblW w:w="71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82"/>
        <w:gridCol w:w="1157"/>
        <w:gridCol w:w="1065"/>
        <w:gridCol w:w="1064"/>
        <w:gridCol w:w="1100"/>
        <w:gridCol w:w="1032"/>
      </w:tblGrid>
      <w:tr>
        <w:tblPrEx>
          <w:tblW w:w="710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1"/>
        </w:trPr>
        <w:tc>
          <w:tcPr>
            <w:tcW w:w="1682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72" w:line="225" w:lineRule="auto"/>
              <w:ind w:left="220"/>
            </w:pPr>
            <w:r>
              <w:rPr>
                <w:color w:val="404040"/>
                <w:spacing w:val="-8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(百万元)</w:t>
            </w:r>
          </w:p>
        </w:tc>
        <w:tc>
          <w:tcPr>
            <w:tcW w:w="1157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1" w:line="183" w:lineRule="auto"/>
              <w:ind w:left="534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2021A</w:t>
            </w:r>
          </w:p>
        </w:tc>
        <w:tc>
          <w:tcPr>
            <w:tcW w:w="1065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1" w:line="183" w:lineRule="auto"/>
              <w:ind w:left="442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2022A</w:t>
            </w:r>
          </w:p>
        </w:tc>
        <w:tc>
          <w:tcPr>
            <w:tcW w:w="1064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1" w:line="183" w:lineRule="auto"/>
              <w:ind w:left="441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2023E</w:t>
            </w:r>
          </w:p>
        </w:tc>
        <w:tc>
          <w:tcPr>
            <w:tcW w:w="1100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1" w:line="183" w:lineRule="auto"/>
              <w:ind w:left="443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2024E</w:t>
            </w:r>
          </w:p>
        </w:tc>
        <w:tc>
          <w:tcPr>
            <w:tcW w:w="1032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1" w:line="183" w:lineRule="auto"/>
              <w:ind w:left="478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2025E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2"/>
        </w:trPr>
        <w:tc>
          <w:tcPr>
            <w:tcW w:w="1682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65" w:line="225" w:lineRule="auto"/>
              <w:ind w:left="190"/>
            </w:pPr>
            <w:r>
              <w:rPr>
                <w:color w:val="404040"/>
                <w:spacing w:val="-3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主营收入</w:t>
            </w:r>
          </w:p>
        </w:tc>
        <w:tc>
          <w:tcPr>
            <w:tcW w:w="1157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3" w:line="183" w:lineRule="auto"/>
              <w:ind w:left="278"/>
            </w:pPr>
            <w:r>
              <w:rPr>
                <w:color w:val="404040"/>
                <w:spacing w:val="-2"/>
              </w:rPr>
              <w:t>17,469.6</w:t>
            </w:r>
          </w:p>
        </w:tc>
        <w:tc>
          <w:tcPr>
            <w:tcW w:w="1065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3" w:line="183" w:lineRule="auto"/>
              <w:ind w:left="176"/>
            </w:pPr>
            <w:r>
              <w:rPr>
                <w:color w:val="404040"/>
                <w:spacing w:val="-1"/>
              </w:rPr>
              <w:t>20,569.3</w:t>
            </w:r>
          </w:p>
        </w:tc>
        <w:tc>
          <w:tcPr>
            <w:tcW w:w="1064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3" w:line="183" w:lineRule="auto"/>
              <w:ind w:left="175"/>
            </w:pPr>
            <w:r>
              <w:rPr>
                <w:color w:val="404040"/>
                <w:spacing w:val="-1"/>
              </w:rPr>
              <w:t>20,315.2</w:t>
            </w:r>
          </w:p>
        </w:tc>
        <w:tc>
          <w:tcPr>
            <w:tcW w:w="1100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3" w:line="183" w:lineRule="auto"/>
              <w:ind w:left="176"/>
            </w:pPr>
            <w:r>
              <w:rPr>
                <w:color w:val="404040"/>
                <w:spacing w:val="-1"/>
              </w:rPr>
              <w:t>21,396.8</w:t>
            </w:r>
          </w:p>
        </w:tc>
        <w:tc>
          <w:tcPr>
            <w:tcW w:w="1032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3" w:line="183" w:lineRule="auto"/>
              <w:ind w:left="212"/>
            </w:pPr>
            <w:r>
              <w:rPr>
                <w:color w:val="404040"/>
                <w:spacing w:val="-1"/>
              </w:rPr>
              <w:t>23,622.6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6"/>
        </w:trPr>
        <w:tc>
          <w:tcPr>
            <w:tcW w:w="1682" w:type="dxa"/>
            <w:vAlign w:val="top"/>
          </w:tcPr>
          <w:p>
            <w:pPr>
              <w:pStyle w:val="TableText"/>
              <w:spacing w:before="72" w:line="219" w:lineRule="auto"/>
              <w:ind w:left="194"/>
            </w:pPr>
            <w:r>
              <w:rPr>
                <w:color w:val="404040"/>
                <w:spacing w:val="-5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净利润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spacing w:before="101" w:line="183" w:lineRule="auto"/>
              <w:ind w:left="356"/>
            </w:pPr>
            <w:r>
              <w:rPr>
                <w:color w:val="404040"/>
                <w:spacing w:val="-1"/>
              </w:rPr>
              <w:t>2,767.9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1" w:line="183" w:lineRule="auto"/>
              <w:ind w:left="266"/>
            </w:pPr>
            <w:r>
              <w:rPr>
                <w:color w:val="404040"/>
                <w:spacing w:val="-1"/>
              </w:rPr>
              <w:t>3,228.0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1" w:line="183" w:lineRule="auto"/>
              <w:ind w:left="265"/>
            </w:pPr>
            <w:r>
              <w:rPr>
                <w:color w:val="404040"/>
                <w:spacing w:val="-1"/>
              </w:rPr>
              <w:t>3,224.7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spacing w:before="101" w:line="183" w:lineRule="auto"/>
              <w:ind w:left="267"/>
            </w:pPr>
            <w:r>
              <w:rPr>
                <w:color w:val="404040"/>
                <w:spacing w:val="-1"/>
              </w:rPr>
              <w:t>3,696.1</w:t>
            </w:r>
          </w:p>
        </w:tc>
        <w:tc>
          <w:tcPr>
            <w:tcW w:w="1032" w:type="dxa"/>
            <w:vAlign w:val="top"/>
          </w:tcPr>
          <w:p>
            <w:pPr>
              <w:pStyle w:val="TableText"/>
              <w:spacing w:before="101" w:line="183" w:lineRule="auto"/>
              <w:ind w:left="302"/>
            </w:pPr>
            <w:r>
              <w:rPr>
                <w:color w:val="404040"/>
                <w:spacing w:val="-1"/>
              </w:rPr>
              <w:t>3,901.2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3"/>
        </w:trPr>
        <w:tc>
          <w:tcPr>
            <w:tcW w:w="1682" w:type="dxa"/>
            <w:vAlign w:val="top"/>
          </w:tcPr>
          <w:p>
            <w:pPr>
              <w:pStyle w:val="TableText"/>
              <w:spacing w:before="73" w:line="217" w:lineRule="auto"/>
              <w:ind w:left="184"/>
            </w:pPr>
            <w:r>
              <w:rPr>
                <w:color w:val="404040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每股收益(元)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spacing w:before="102" w:line="183" w:lineRule="auto"/>
              <w:ind w:left="627"/>
            </w:pPr>
            <w:r>
              <w:rPr>
                <w:color w:val="404040"/>
                <w:spacing w:val="-1"/>
              </w:rPr>
              <w:t>2.37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2" w:line="183" w:lineRule="auto"/>
              <w:ind w:left="536"/>
            </w:pPr>
            <w:r>
              <w:rPr>
                <w:color w:val="404040"/>
                <w:spacing w:val="-1"/>
              </w:rPr>
              <w:t>2.77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2" w:line="183" w:lineRule="auto"/>
              <w:ind w:left="535"/>
            </w:pPr>
            <w:r>
              <w:rPr>
                <w:color w:val="404040"/>
                <w:spacing w:val="-1"/>
              </w:rPr>
              <w:t>2.76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spacing w:before="102" w:line="183" w:lineRule="auto"/>
              <w:ind w:left="538"/>
            </w:pPr>
            <w:r>
              <w:rPr>
                <w:color w:val="404040"/>
                <w:spacing w:val="-2"/>
              </w:rPr>
              <w:t>3.17</w:t>
            </w:r>
          </w:p>
        </w:tc>
        <w:tc>
          <w:tcPr>
            <w:tcW w:w="1032" w:type="dxa"/>
            <w:vAlign w:val="top"/>
          </w:tcPr>
          <w:p>
            <w:pPr>
              <w:pStyle w:val="TableText"/>
              <w:spacing w:before="102" w:line="183" w:lineRule="auto"/>
              <w:ind w:left="574"/>
            </w:pPr>
            <w:r>
              <w:rPr>
                <w:color w:val="404040"/>
                <w:spacing w:val="-2"/>
              </w:rPr>
              <w:t>3.34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29"/>
        </w:trPr>
        <w:tc>
          <w:tcPr>
            <w:tcW w:w="1682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77" w:line="215" w:lineRule="auto"/>
              <w:ind w:left="184"/>
            </w:pPr>
            <w:r>
              <w:rPr>
                <w:color w:val="404040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每股净资产(元)</w:t>
            </w:r>
          </w:p>
        </w:tc>
        <w:tc>
          <w:tcPr>
            <w:tcW w:w="1157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5" w:line="183" w:lineRule="auto"/>
              <w:ind w:left="624"/>
            </w:pPr>
            <w:r>
              <w:rPr>
                <w:color w:val="404040"/>
              </w:rPr>
              <w:t>9.36</w:t>
            </w:r>
          </w:p>
        </w:tc>
        <w:tc>
          <w:tcPr>
            <w:tcW w:w="1065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5" w:line="183" w:lineRule="auto"/>
              <w:ind w:left="456"/>
            </w:pPr>
            <w:r>
              <w:rPr>
                <w:color w:val="404040"/>
                <w:spacing w:val="-3"/>
              </w:rPr>
              <w:t>11.31</w:t>
            </w:r>
          </w:p>
        </w:tc>
        <w:tc>
          <w:tcPr>
            <w:tcW w:w="1064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5" w:line="183" w:lineRule="auto"/>
              <w:ind w:left="454"/>
            </w:pPr>
            <w:r>
              <w:rPr>
                <w:color w:val="404040"/>
                <w:spacing w:val="-3"/>
              </w:rPr>
              <w:t>13.08</w:t>
            </w:r>
          </w:p>
        </w:tc>
        <w:tc>
          <w:tcPr>
            <w:tcW w:w="1100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6" w:line="182" w:lineRule="auto"/>
              <w:ind w:left="456"/>
            </w:pPr>
            <w:r>
              <w:rPr>
                <w:color w:val="404040"/>
                <w:spacing w:val="-3"/>
              </w:rPr>
              <w:t>14.66</w:t>
            </w:r>
          </w:p>
        </w:tc>
        <w:tc>
          <w:tcPr>
            <w:tcW w:w="1032" w:type="dxa"/>
            <w:tcBorders>
              <w:bottom w:val="single" w:sz="4" w:space="0" w:color="404040"/>
            </w:tcBorders>
            <w:vAlign w:val="top"/>
          </w:tcPr>
          <w:p>
            <w:pPr>
              <w:pStyle w:val="TableText"/>
              <w:spacing w:before="105" w:line="183" w:lineRule="auto"/>
              <w:ind w:left="492"/>
            </w:pPr>
            <w:r>
              <w:rPr>
                <w:color w:val="404040"/>
                <w:spacing w:val="-3"/>
              </w:rPr>
              <w:t>16.33</w:t>
            </w:r>
          </w:p>
        </w:tc>
      </w:tr>
    </w:tbl>
    <w:p>
      <w:pPr>
        <w:spacing w:before="72"/>
      </w:pPr>
    </w:p>
    <w:tbl>
      <w:tblPr>
        <w:tblStyle w:val="TableNormal0"/>
        <w:tblW w:w="710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35"/>
        <w:gridCol w:w="1236"/>
        <w:gridCol w:w="1064"/>
        <w:gridCol w:w="1065"/>
        <w:gridCol w:w="1099"/>
        <w:gridCol w:w="901"/>
      </w:tblGrid>
      <w:tr>
        <w:tblPrEx>
          <w:tblW w:w="710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4"/>
        </w:trPr>
        <w:tc>
          <w:tcPr>
            <w:tcW w:w="1735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68" w:line="224" w:lineRule="auto"/>
              <w:ind w:left="189"/>
            </w:pPr>
            <w:r>
              <w:rPr>
                <w:color w:val="404040"/>
                <w:spacing w:val="-2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盈利和估值</w:t>
            </w:r>
          </w:p>
        </w:tc>
        <w:tc>
          <w:tcPr>
            <w:tcW w:w="1236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481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2021A</w:t>
            </w:r>
          </w:p>
        </w:tc>
        <w:tc>
          <w:tcPr>
            <w:tcW w:w="1064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310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2022A</w:t>
            </w:r>
          </w:p>
        </w:tc>
        <w:tc>
          <w:tcPr>
            <w:tcW w:w="1065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310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2023E</w:t>
            </w:r>
          </w:p>
        </w:tc>
        <w:tc>
          <w:tcPr>
            <w:tcW w:w="1099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311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2024E</w:t>
            </w:r>
          </w:p>
        </w:tc>
        <w:tc>
          <w:tcPr>
            <w:tcW w:w="901" w:type="dxa"/>
            <w:tcBorders>
              <w:top w:val="single" w:sz="4" w:space="0" w:color="404040"/>
              <w:bottom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347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2025E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4"/>
        </w:trPr>
        <w:tc>
          <w:tcPr>
            <w:tcW w:w="1735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68" w:line="217" w:lineRule="auto"/>
              <w:ind w:left="189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市盈率(倍)</w:t>
            </w:r>
          </w:p>
        </w:tc>
        <w:tc>
          <w:tcPr>
            <w:tcW w:w="1236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574"/>
            </w:pPr>
            <w:r>
              <w:rPr>
                <w:color w:val="404040"/>
                <w:spacing w:val="-1"/>
              </w:rPr>
              <w:t>24.2</w:t>
            </w:r>
          </w:p>
        </w:tc>
        <w:tc>
          <w:tcPr>
            <w:tcW w:w="1064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404"/>
            </w:pPr>
            <w:r>
              <w:rPr>
                <w:color w:val="404040"/>
                <w:spacing w:val="-1"/>
              </w:rPr>
              <w:t>20.8</w:t>
            </w:r>
          </w:p>
        </w:tc>
        <w:tc>
          <w:tcPr>
            <w:tcW w:w="1065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404"/>
            </w:pPr>
            <w:r>
              <w:rPr>
                <w:color w:val="404040"/>
                <w:spacing w:val="-1"/>
              </w:rPr>
              <w:t>20.8</w:t>
            </w:r>
          </w:p>
        </w:tc>
        <w:tc>
          <w:tcPr>
            <w:tcW w:w="1099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7" w:line="182" w:lineRule="auto"/>
              <w:ind w:left="415"/>
            </w:pPr>
            <w:r>
              <w:rPr>
                <w:color w:val="404040"/>
                <w:spacing w:val="-4"/>
              </w:rPr>
              <w:t>18.1</w:t>
            </w:r>
          </w:p>
        </w:tc>
        <w:tc>
          <w:tcPr>
            <w:tcW w:w="901" w:type="dxa"/>
            <w:tcBorders>
              <w:top w:val="single" w:sz="4" w:space="0" w:color="404040"/>
            </w:tcBorders>
            <w:vAlign w:val="top"/>
          </w:tcPr>
          <w:p>
            <w:pPr>
              <w:pStyle w:val="TableText"/>
              <w:spacing w:before="96" w:line="183" w:lineRule="auto"/>
              <w:ind w:left="452"/>
            </w:pPr>
            <w:r>
              <w:rPr>
                <w:color w:val="404040"/>
                <w:spacing w:val="-4"/>
              </w:rPr>
              <w:t>17.2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8"/>
        </w:trPr>
        <w:tc>
          <w:tcPr>
            <w:tcW w:w="1735" w:type="dxa"/>
            <w:vAlign w:val="top"/>
          </w:tcPr>
          <w:p>
            <w:pPr>
              <w:pStyle w:val="TableText"/>
              <w:spacing w:before="73" w:line="217" w:lineRule="auto"/>
              <w:ind w:left="189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市净率(倍)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2" w:line="182" w:lineRule="auto"/>
              <w:ind w:left="664"/>
            </w:pPr>
            <w:r>
              <w:rPr>
                <w:color w:val="404040"/>
                <w:spacing w:val="-1"/>
              </w:rPr>
              <w:t>6.1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2" w:line="182" w:lineRule="auto"/>
              <w:ind w:left="490"/>
            </w:pPr>
            <w:r>
              <w:rPr>
                <w:color w:val="404040"/>
                <w:spacing w:val="-1"/>
              </w:rPr>
              <w:t>5.1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2" w:line="182" w:lineRule="auto"/>
              <w:ind w:left="489"/>
            </w:pPr>
            <w:r>
              <w:rPr>
                <w:color w:val="404040"/>
              </w:rPr>
              <w:t>4.4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before="101" w:line="183" w:lineRule="auto"/>
              <w:ind w:left="495"/>
            </w:pPr>
            <w:r>
              <w:rPr>
                <w:color w:val="404040"/>
                <w:spacing w:val="-2"/>
              </w:rPr>
              <w:t>3.9</w:t>
            </w:r>
          </w:p>
        </w:tc>
        <w:tc>
          <w:tcPr>
            <w:tcW w:w="901" w:type="dxa"/>
            <w:vAlign w:val="top"/>
          </w:tcPr>
          <w:p>
            <w:pPr>
              <w:pStyle w:val="TableText"/>
              <w:spacing w:before="101" w:line="183" w:lineRule="auto"/>
              <w:ind w:left="531"/>
            </w:pPr>
            <w:r>
              <w:rPr>
                <w:color w:val="404040"/>
                <w:spacing w:val="-2"/>
              </w:rPr>
              <w:t>3.5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8"/>
        </w:trPr>
        <w:tc>
          <w:tcPr>
            <w:tcW w:w="1735" w:type="dxa"/>
            <w:vAlign w:val="top"/>
          </w:tcPr>
          <w:p>
            <w:pPr>
              <w:pStyle w:val="TableText"/>
              <w:spacing w:before="74" w:line="217" w:lineRule="auto"/>
              <w:ind w:left="194"/>
            </w:pPr>
            <w:r>
              <w:rPr>
                <w:color w:val="404040"/>
                <w:spacing w:val="-4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净利润率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3" w:line="182" w:lineRule="auto"/>
              <w:ind w:left="494"/>
            </w:pPr>
            <w:r>
              <w:rPr>
                <w:color w:val="404040"/>
                <w:spacing w:val="-3"/>
              </w:rPr>
              <w:t>15.8%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3" w:line="182" w:lineRule="auto"/>
              <w:ind w:left="324"/>
            </w:pPr>
            <w:r>
              <w:rPr>
                <w:color w:val="404040"/>
                <w:spacing w:val="-3"/>
              </w:rPr>
              <w:t>15.7%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2" w:line="183" w:lineRule="auto"/>
              <w:ind w:left="323"/>
            </w:pPr>
            <w:r>
              <w:rPr>
                <w:color w:val="404040"/>
                <w:spacing w:val="-3"/>
              </w:rPr>
              <w:t>15.9%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before="102" w:line="183" w:lineRule="auto"/>
              <w:ind w:left="324"/>
            </w:pPr>
            <w:r>
              <w:rPr>
                <w:color w:val="404040"/>
                <w:spacing w:val="-3"/>
              </w:rPr>
              <w:t>17.3%</w:t>
            </w:r>
          </w:p>
        </w:tc>
        <w:tc>
          <w:tcPr>
            <w:tcW w:w="901" w:type="dxa"/>
            <w:vAlign w:val="top"/>
          </w:tcPr>
          <w:p>
            <w:pPr>
              <w:pStyle w:val="TableText"/>
              <w:spacing w:before="103" w:line="182" w:lineRule="auto"/>
              <w:ind w:left="360"/>
            </w:pPr>
            <w:r>
              <w:rPr>
                <w:color w:val="404040"/>
                <w:spacing w:val="-3"/>
              </w:rPr>
              <w:t>16.5%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18"/>
        </w:trPr>
        <w:tc>
          <w:tcPr>
            <w:tcW w:w="1735" w:type="dxa"/>
            <w:vAlign w:val="top"/>
          </w:tcPr>
          <w:p>
            <w:pPr>
              <w:pStyle w:val="TableText"/>
              <w:spacing w:before="75" w:line="215" w:lineRule="auto"/>
              <w:ind w:left="194"/>
            </w:pPr>
            <w:r>
              <w:rPr>
                <w:color w:val="404040"/>
                <w:spacing w:val="-2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净资产收益率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3" w:line="183" w:lineRule="auto"/>
              <w:ind w:left="483"/>
            </w:pPr>
            <w:r>
              <w:rPr>
                <w:color w:val="404040"/>
                <w:spacing w:val="-1"/>
              </w:rPr>
              <w:t>25.3%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3" w:line="183" w:lineRule="auto"/>
              <w:ind w:left="313"/>
            </w:pPr>
            <w:r>
              <w:rPr>
                <w:color w:val="404040"/>
                <w:spacing w:val="-1"/>
              </w:rPr>
              <w:t>24.5%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3" w:line="183" w:lineRule="auto"/>
              <w:ind w:left="313"/>
            </w:pPr>
            <w:r>
              <w:rPr>
                <w:color w:val="404040"/>
                <w:spacing w:val="-1"/>
              </w:rPr>
              <w:t>21.1%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before="103" w:line="183" w:lineRule="auto"/>
              <w:ind w:left="313"/>
            </w:pPr>
            <w:r>
              <w:rPr>
                <w:color w:val="404040"/>
                <w:spacing w:val="-1"/>
              </w:rPr>
              <w:t>21.6%</w:t>
            </w:r>
          </w:p>
        </w:tc>
        <w:tc>
          <w:tcPr>
            <w:tcW w:w="901" w:type="dxa"/>
            <w:vAlign w:val="top"/>
          </w:tcPr>
          <w:p>
            <w:pPr>
              <w:pStyle w:val="TableText"/>
              <w:spacing w:before="103" w:line="183" w:lineRule="auto"/>
              <w:ind w:left="350"/>
            </w:pPr>
            <w:r>
              <w:rPr>
                <w:color w:val="404040"/>
                <w:spacing w:val="-1"/>
              </w:rPr>
              <w:t>20.5%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23"/>
        </w:trPr>
        <w:tc>
          <w:tcPr>
            <w:tcW w:w="1735" w:type="dxa"/>
            <w:vAlign w:val="top"/>
          </w:tcPr>
          <w:p>
            <w:pPr>
              <w:pStyle w:val="TableText"/>
              <w:spacing w:before="72" w:line="217" w:lineRule="auto"/>
              <w:ind w:left="183"/>
            </w:pPr>
            <w:r>
              <w:rPr>
                <w:color w:val="404040"/>
                <w:spacing w:val="-1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股息收益率</w:t>
            </w:r>
          </w:p>
        </w:tc>
        <w:tc>
          <w:tcPr>
            <w:tcW w:w="1236" w:type="dxa"/>
            <w:vAlign w:val="top"/>
          </w:tcPr>
          <w:p>
            <w:pPr>
              <w:pStyle w:val="TableText"/>
              <w:spacing w:before="100" w:line="183" w:lineRule="auto"/>
              <w:ind w:left="576"/>
            </w:pPr>
            <w:r>
              <w:rPr>
                <w:color w:val="404040"/>
                <w:spacing w:val="-2"/>
              </w:rPr>
              <w:t>3.7%</w:t>
            </w:r>
          </w:p>
        </w:tc>
        <w:tc>
          <w:tcPr>
            <w:tcW w:w="1064" w:type="dxa"/>
            <w:vAlign w:val="top"/>
          </w:tcPr>
          <w:p>
            <w:pPr>
              <w:pStyle w:val="TableText"/>
              <w:spacing w:before="100" w:line="183" w:lineRule="auto"/>
              <w:ind w:left="404"/>
            </w:pPr>
            <w:r>
              <w:rPr>
                <w:color w:val="404040"/>
                <w:spacing w:val="-1"/>
              </w:rPr>
              <w:t>2.1%</w:t>
            </w:r>
          </w:p>
        </w:tc>
        <w:tc>
          <w:tcPr>
            <w:tcW w:w="1065" w:type="dxa"/>
            <w:vAlign w:val="top"/>
          </w:tcPr>
          <w:p>
            <w:pPr>
              <w:pStyle w:val="TableText"/>
              <w:spacing w:before="100" w:line="183" w:lineRule="auto"/>
              <w:ind w:left="404"/>
            </w:pPr>
            <w:r>
              <w:rPr>
                <w:color w:val="404040"/>
                <w:spacing w:val="-1"/>
              </w:rPr>
              <w:t>2.4%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before="100" w:line="183" w:lineRule="auto"/>
              <w:ind w:left="404"/>
            </w:pPr>
            <w:r>
              <w:rPr>
                <w:color w:val="404040"/>
                <w:spacing w:val="-1"/>
              </w:rPr>
              <w:t>2.8%</w:t>
            </w:r>
          </w:p>
        </w:tc>
        <w:tc>
          <w:tcPr>
            <w:tcW w:w="901" w:type="dxa"/>
            <w:vAlign w:val="top"/>
          </w:tcPr>
          <w:p>
            <w:pPr>
              <w:pStyle w:val="TableText"/>
              <w:spacing w:before="100" w:line="183" w:lineRule="auto"/>
              <w:ind w:left="441"/>
            </w:pPr>
            <w:r>
              <w:rPr>
                <w:color w:val="404040"/>
                <w:spacing w:val="-1"/>
              </w:rPr>
              <w:t>2.9%</w:t>
            </w:r>
          </w:p>
        </w:tc>
      </w:tr>
      <w:tr>
        <w:tblPrEx>
          <w:tblW w:w="7100" w:type="dxa"/>
          <w:tblInd w:w="0" w:type="dxa"/>
          <w:tblLayout w:type="fixed"/>
        </w:tblPrEx>
        <w:trPr>
          <w:trHeight w:val="325"/>
        </w:trPr>
        <w:tc>
          <w:tcPr>
            <w:tcW w:w="1735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5" w:line="182" w:lineRule="auto"/>
              <w:ind w:left="187"/>
            </w:pPr>
            <w:r>
              <w:rPr>
                <w:color w:val="404040"/>
                <w:spacing w:val="-2"/>
                <w14:textOutline w14:w="3265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ROIC</w:t>
            </w:r>
          </w:p>
        </w:tc>
        <w:tc>
          <w:tcPr>
            <w:tcW w:w="1236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4" w:line="183" w:lineRule="auto"/>
              <w:ind w:left="481"/>
            </w:pPr>
            <w:r>
              <w:rPr>
                <w:color w:val="404040"/>
                <w:spacing w:val="-1"/>
              </w:rPr>
              <w:t>59.8%</w:t>
            </w:r>
          </w:p>
        </w:tc>
        <w:tc>
          <w:tcPr>
            <w:tcW w:w="1064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4" w:line="183" w:lineRule="auto"/>
              <w:ind w:left="310"/>
            </w:pPr>
            <w:r>
              <w:rPr>
                <w:color w:val="404040"/>
                <w:spacing w:val="-1"/>
              </w:rPr>
              <w:t>53.9%</w:t>
            </w:r>
          </w:p>
        </w:tc>
        <w:tc>
          <w:tcPr>
            <w:tcW w:w="1065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4" w:line="183" w:lineRule="auto"/>
              <w:ind w:left="309"/>
            </w:pPr>
            <w:r>
              <w:rPr>
                <w:color w:val="404040"/>
                <w:spacing w:val="-1"/>
              </w:rPr>
              <w:t>43.1%</w:t>
            </w:r>
          </w:p>
        </w:tc>
        <w:tc>
          <w:tcPr>
            <w:tcW w:w="1099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4" w:line="183" w:lineRule="auto"/>
              <w:ind w:left="310"/>
            </w:pPr>
            <w:r>
              <w:rPr>
                <w:color w:val="404040"/>
                <w:spacing w:val="-1"/>
              </w:rPr>
              <w:t>43.9%</w:t>
            </w:r>
          </w:p>
        </w:tc>
        <w:tc>
          <w:tcPr>
            <w:tcW w:w="901" w:type="dxa"/>
            <w:tcBorders>
              <w:bottom w:val="single" w:sz="4" w:space="0" w:color="595959"/>
            </w:tcBorders>
            <w:vAlign w:val="top"/>
          </w:tcPr>
          <w:p>
            <w:pPr>
              <w:pStyle w:val="TableText"/>
              <w:spacing w:before="95" w:line="182" w:lineRule="auto"/>
              <w:ind w:left="346"/>
            </w:pPr>
            <w:r>
              <w:rPr>
                <w:color w:val="404040"/>
                <w:spacing w:val="-1"/>
              </w:rPr>
              <w:t>44.8%</w:t>
            </w:r>
          </w:p>
        </w:tc>
      </w:tr>
    </w:tbl>
    <w:p>
      <w:pPr>
        <w:pStyle w:val="BodyText"/>
        <w:spacing w:before="75" w:line="213" w:lineRule="auto"/>
        <w:ind w:left="104"/>
        <w:rPr>
          <w:sz w:val="16"/>
          <w:szCs w:val="16"/>
        </w:rPr>
      </w:pPr>
      <w:r>
        <w:rPr>
          <w:i/>
          <w:iCs/>
          <w:color w:val="404040"/>
          <w:spacing w:val="1"/>
          <w:sz w:val="16"/>
          <w:szCs w:val="16"/>
        </w:rPr>
        <w:t>数据来源：</w:t>
      </w:r>
      <w:r>
        <w:rPr>
          <w:i/>
          <w:iCs/>
          <w:color w:val="404040"/>
          <w:sz w:val="16"/>
          <w:szCs w:val="16"/>
        </w:rPr>
        <w:t>Wind</w:t>
      </w:r>
      <w:r>
        <w:rPr>
          <w:i/>
          <w:iCs/>
          <w:color w:val="404040"/>
          <w:spacing w:val="1"/>
          <w:sz w:val="16"/>
          <w:szCs w:val="16"/>
        </w:rPr>
        <w:t>资讯，</w:t>
      </w:r>
      <w:r>
        <w:rPr>
          <w:color w:val="404040"/>
          <w:spacing w:val="-6"/>
          <w:sz w:val="16"/>
          <w:szCs w:val="16"/>
        </w:rPr>
        <w:t xml:space="preserve"> </w:t>
      </w:r>
      <w:r>
        <w:rPr>
          <w:i/>
          <w:iCs/>
          <w:color w:val="404040"/>
          <w:spacing w:val="1"/>
          <w:sz w:val="16"/>
          <w:szCs w:val="16"/>
        </w:rPr>
        <w:t>国投证券研究中心预测</w:t>
      </w:r>
    </w:p>
    <w:p>
      <w:pPr>
        <w:spacing w:line="213" w:lineRule="auto"/>
        <w:rPr>
          <w:sz w:val="16"/>
          <w:szCs w:val="16"/>
        </w:rPr>
        <w:sectPr>
          <w:headerReference w:type="default" r:id="rId18"/>
          <w:footerReference w:type="default" r:id="rId19"/>
          <w:pgSz w:w="11907" w:h="16839"/>
          <w:pgMar w:top="942" w:right="666" w:bottom="803" w:left="537" w:header="762" w:footer="567" w:gutter="0"/>
          <w:pgNumType w:start="3"/>
          <w:cols w:space="708"/>
        </w:sectPr>
      </w:pPr>
    </w:p>
    <w:p>
      <w:pPr>
        <w:pStyle w:val="BodyText"/>
        <w:spacing w:before="257" w:line="220" w:lineRule="auto"/>
        <w:ind w:left="2070"/>
        <w:rPr>
          <w:sz w:val="31"/>
          <w:szCs w:val="31"/>
        </w:rPr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bookmark3"/>
      <w:bookmarkEnd w:id="2"/>
      <w:r>
        <w:rPr>
          <w:color w:val="404040"/>
          <w:sz w:val="31"/>
          <w:szCs w:val="31"/>
        </w:rPr>
        <w:drawing>
          <wp:inline distT="0" distB="0" distL="0" distR="0">
            <wp:extent cx="108585" cy="12636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" cy="12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22"/>
          <w:sz w:val="31"/>
          <w:szCs w:val="31"/>
        </w:rPr>
        <w:t xml:space="preserve"> </w:t>
      </w:r>
      <w:r>
        <w:rPr>
          <w:color w:val="404040"/>
          <w:spacing w:val="-3"/>
          <w:sz w:val="31"/>
          <w:szCs w:val="31"/>
          <w14:textOutline w14:w="5791">
            <w14:solidFill>
              <w14:srgbClr w14:val="404040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KaiTi" w:eastAsia="KaiTi" w:hAnsi="KaiTi" w:cs="KaiTi"/>
          <w:sz w:val="21"/>
          <w:szCs w:val="21"/>
        </w:rPr>
        <w:id w:val="1518948139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536"/>
            </w:tabs>
            <w:spacing w:before="76" w:line="186" w:lineRule="auto"/>
            <w:ind w:left="2178"/>
            <w:rPr>
              <w:sz w:val="21"/>
              <w:szCs w:val="21"/>
            </w:rPr>
          </w:pPr>
          <w:hyperlink w:anchor="bookmark4" w:history="1">
            <w:r>
              <w:rPr>
                <w:color w:val="404040"/>
                <w:spacing w:val="-5"/>
                <w:sz w:val="21"/>
                <w:szCs w:val="21"/>
              </w:rPr>
              <w:t>1.</w:t>
            </w:r>
            <w:r>
              <w:rPr>
                <w:color w:val="404040"/>
                <w:spacing w:val="1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投资概要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38"/>
            <w:rPr>
              <w:sz w:val="21"/>
              <w:szCs w:val="21"/>
            </w:rPr>
          </w:pPr>
          <w:hyperlink w:anchor="bookmark5" w:history="1">
            <w:r>
              <w:rPr>
                <w:color w:val="404040"/>
                <w:spacing w:val="-3"/>
                <w:sz w:val="21"/>
                <w:szCs w:val="21"/>
              </w:rPr>
              <w:t>1.1.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投资要点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38"/>
            <w:rPr>
              <w:sz w:val="21"/>
              <w:szCs w:val="21"/>
            </w:rPr>
          </w:pPr>
          <w:hyperlink w:anchor="bookmark6" w:history="1">
            <w:r>
              <w:rPr>
                <w:color w:val="404040"/>
                <w:spacing w:val="-5"/>
                <w:sz w:val="21"/>
                <w:szCs w:val="21"/>
              </w:rPr>
              <w:t>1.2.</w:t>
            </w:r>
            <w:r>
              <w:rPr>
                <w:color w:val="404040"/>
                <w:spacing w:val="4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区别于市场的观点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66"/>
            <w:rPr>
              <w:sz w:val="21"/>
              <w:szCs w:val="21"/>
            </w:rPr>
          </w:pPr>
          <w:hyperlink w:anchor="bookmark7" w:history="1">
            <w:r>
              <w:rPr>
                <w:color w:val="404040"/>
                <w:spacing w:val="-5"/>
                <w:sz w:val="21"/>
                <w:szCs w:val="21"/>
              </w:rPr>
              <w:t>2.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华利集团：</w:t>
            </w:r>
            <w:r>
              <w:rPr>
                <w:color w:val="404040"/>
                <w:spacing w:val="-1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运动鞋制造全球领先企业</w:t>
            </w:r>
            <w:r>
              <w:rPr>
                <w:color w:val="404040"/>
                <w:spacing w:val="-59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67"/>
            <w:rPr>
              <w:sz w:val="21"/>
              <w:szCs w:val="21"/>
            </w:rPr>
          </w:pPr>
          <w:hyperlink w:anchor="bookmark8" w:history="1">
            <w:r>
              <w:rPr>
                <w:color w:val="404040"/>
                <w:spacing w:val="-4"/>
                <w:sz w:val="21"/>
                <w:szCs w:val="21"/>
              </w:rPr>
              <w:t>3.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运动鞋景气度更佳，</w:t>
            </w:r>
            <w:r>
              <w:rPr>
                <w:color w:val="404040"/>
                <w:spacing w:val="-1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代工企业集中度有望不断提高</w:t>
            </w:r>
            <w:r>
              <w:rPr>
                <w:color w:val="404040"/>
                <w:spacing w:val="-5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27"/>
            <w:rPr>
              <w:sz w:val="21"/>
              <w:szCs w:val="21"/>
            </w:rPr>
          </w:pPr>
          <w:hyperlink w:anchor="bookmark9" w:history="1">
            <w:r>
              <w:rPr>
                <w:color w:val="404040"/>
                <w:spacing w:val="-4"/>
                <w:sz w:val="21"/>
                <w:szCs w:val="21"/>
              </w:rPr>
              <w:t>3.1.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运动鞋服渗透率不断提高，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耐克库存压力回落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527"/>
            <w:rPr>
              <w:sz w:val="21"/>
              <w:szCs w:val="21"/>
            </w:rPr>
          </w:pPr>
          <w:hyperlink w:anchor="bookmark10" w:history="1">
            <w:r>
              <w:rPr>
                <w:color w:val="404040"/>
                <w:sz w:val="21"/>
                <w:szCs w:val="21"/>
              </w:rPr>
              <w:t>3.2.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主流运动品牌库存表现仍有承压，头部企业去</w:t>
            </w:r>
            <w:r>
              <w:rPr>
                <w:color w:val="404040"/>
                <w:spacing w:val="-1"/>
                <w:sz w:val="21"/>
                <w:szCs w:val="21"/>
              </w:rPr>
              <w:t>库存节奏更优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527"/>
            <w:rPr>
              <w:sz w:val="21"/>
              <w:szCs w:val="21"/>
            </w:rPr>
          </w:pPr>
          <w:hyperlink w:anchor="bookmark11" w:history="1">
            <w:r>
              <w:rPr>
                <w:color w:val="404040"/>
                <w:spacing w:val="-3"/>
                <w:sz w:val="21"/>
                <w:szCs w:val="21"/>
              </w:rPr>
              <w:t>3.3.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运动鞋制造产业：</w:t>
            </w:r>
            <w:r>
              <w:rPr>
                <w:color w:val="404040"/>
                <w:spacing w:val="-2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一个追求效率和成本的产业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2"/>
            <w:rPr>
              <w:sz w:val="21"/>
              <w:szCs w:val="21"/>
            </w:rPr>
          </w:pPr>
          <w:hyperlink w:anchor="bookmark12" w:history="1">
            <w:r>
              <w:rPr>
                <w:color w:val="404040"/>
                <w:spacing w:val="-3"/>
                <w:sz w:val="21"/>
                <w:szCs w:val="21"/>
              </w:rPr>
              <w:t>4.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华利集团：</w:t>
            </w:r>
            <w:r>
              <w:rPr>
                <w:color w:val="404040"/>
                <w:spacing w:val="-2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成本把控更具优势，客户深耕外拓两不误</w:t>
            </w:r>
            <w:r>
              <w:rPr>
                <w:color w:val="404040"/>
                <w:spacing w:val="-5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522"/>
            <w:rPr>
              <w:sz w:val="21"/>
              <w:szCs w:val="21"/>
            </w:rPr>
          </w:pPr>
          <w:hyperlink w:anchor="bookmark13" w:history="1">
            <w:r>
              <w:rPr>
                <w:color w:val="404040"/>
                <w:sz w:val="21"/>
                <w:szCs w:val="21"/>
              </w:rPr>
              <w:t>4.1.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立足越南清化，劳动力充足且成本更具优势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22"/>
            <w:rPr>
              <w:sz w:val="21"/>
              <w:szCs w:val="21"/>
            </w:rPr>
          </w:pPr>
          <w:hyperlink w:anchor="bookmark14" w:history="1">
            <w:r>
              <w:rPr>
                <w:color w:val="404040"/>
                <w:sz w:val="21"/>
                <w:szCs w:val="21"/>
              </w:rPr>
              <w:t>4.2.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客户结构合理，深耕耐克同时促成新兴客户合作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522"/>
            <w:rPr>
              <w:sz w:val="21"/>
              <w:szCs w:val="21"/>
            </w:rPr>
          </w:pPr>
          <w:hyperlink w:anchor="bookmark15" w:history="1">
            <w:r>
              <w:rPr>
                <w:color w:val="404040"/>
                <w:spacing w:val="-4"/>
                <w:sz w:val="21"/>
                <w:szCs w:val="21"/>
              </w:rPr>
              <w:t>4.3.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生产效率更高，能耗表现更佳，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生产更为环保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1" w:line="186" w:lineRule="auto"/>
            <w:ind w:left="2162"/>
            <w:rPr>
              <w:sz w:val="21"/>
              <w:szCs w:val="21"/>
            </w:rPr>
          </w:pPr>
          <w:hyperlink w:anchor="bookmark16" w:history="1">
            <w:r>
              <w:rPr>
                <w:color w:val="404040"/>
                <w:spacing w:val="-3"/>
                <w:sz w:val="21"/>
                <w:szCs w:val="21"/>
              </w:rPr>
              <w:t>5.</w:t>
            </w:r>
            <w:r>
              <w:rPr>
                <w:color w:val="404040"/>
                <w:spacing w:val="1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财务分析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22"/>
            <w:rPr>
              <w:sz w:val="21"/>
              <w:szCs w:val="21"/>
            </w:rPr>
          </w:pPr>
          <w:hyperlink w:anchor="bookmark17" w:history="1">
            <w:r>
              <w:rPr>
                <w:color w:val="404040"/>
                <w:sz w:val="21"/>
                <w:szCs w:val="21"/>
              </w:rPr>
              <w:t>5.1.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盈利水平稳中向好，同行对比表现突出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522"/>
            <w:rPr>
              <w:sz w:val="21"/>
              <w:szCs w:val="21"/>
            </w:rPr>
          </w:pPr>
          <w:hyperlink w:anchor="bookmark18" w:history="1">
            <w:r>
              <w:rPr>
                <w:color w:val="404040"/>
                <w:spacing w:val="-1"/>
                <w:sz w:val="21"/>
                <w:szCs w:val="21"/>
              </w:rPr>
              <w:t>5.2.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公司营运能力保持稳定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522"/>
            <w:rPr>
              <w:sz w:val="21"/>
              <w:szCs w:val="21"/>
            </w:rPr>
          </w:pPr>
          <w:hyperlink w:anchor="bookmark19" w:history="1">
            <w:r>
              <w:rPr>
                <w:color w:val="404040"/>
                <w:spacing w:val="-1"/>
                <w:sz w:val="21"/>
                <w:szCs w:val="21"/>
              </w:rPr>
              <w:t>5.3.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公司现金流水平良好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6"/>
            <w:rPr>
              <w:sz w:val="21"/>
              <w:szCs w:val="21"/>
            </w:rPr>
          </w:pPr>
          <w:hyperlink w:anchor="bookmark20" w:history="1">
            <w:r>
              <w:rPr>
                <w:color w:val="404040"/>
                <w:spacing w:val="-3"/>
                <w:sz w:val="21"/>
                <w:szCs w:val="21"/>
              </w:rPr>
              <w:t>6.</w:t>
            </w:r>
            <w:r>
              <w:rPr>
                <w:color w:val="404040"/>
                <w:spacing w:val="1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盈利预测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26"/>
            <w:rPr>
              <w:sz w:val="21"/>
              <w:szCs w:val="21"/>
            </w:rPr>
          </w:pPr>
          <w:hyperlink w:anchor="bookmark21" w:history="1">
            <w:r>
              <w:rPr>
                <w:color w:val="404040"/>
                <w:spacing w:val="-1"/>
                <w:sz w:val="21"/>
                <w:szCs w:val="21"/>
              </w:rPr>
              <w:t>6.1.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预计</w:t>
            </w:r>
            <w:r>
              <w:rPr>
                <w:color w:val="404040"/>
                <w:spacing w:val="-4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2023-2024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年收入止跌回暖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526"/>
            <w:rPr>
              <w:sz w:val="21"/>
              <w:szCs w:val="21"/>
            </w:rPr>
          </w:pPr>
          <w:hyperlink w:anchor="bookmark22" w:history="1">
            <w:r>
              <w:rPr>
                <w:color w:val="404040"/>
                <w:spacing w:val="-3"/>
                <w:sz w:val="21"/>
                <w:szCs w:val="21"/>
              </w:rPr>
              <w:t>6.2.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量价分拆：汇率影响均价短期走势，</w:t>
            </w:r>
            <w:r>
              <w:rPr>
                <w:color w:val="404040"/>
                <w:spacing w:val="-2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销量有望企稳回升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526"/>
            <w:rPr>
              <w:sz w:val="21"/>
              <w:szCs w:val="21"/>
            </w:rPr>
          </w:pPr>
          <w:hyperlink w:anchor="bookmark23" w:history="1">
            <w:r>
              <w:rPr>
                <w:color w:val="404040"/>
                <w:spacing w:val="-3"/>
                <w:sz w:val="21"/>
                <w:szCs w:val="21"/>
              </w:rPr>
              <w:t>6.3.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毛利率：</w:t>
            </w:r>
            <w:r>
              <w:rPr>
                <w:color w:val="404040"/>
                <w:spacing w:val="-2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2023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年或将持平，2024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年有</w:t>
            </w:r>
            <w:r>
              <w:rPr>
                <w:color w:val="404040"/>
                <w:spacing w:val="-4"/>
                <w:sz w:val="21"/>
                <w:szCs w:val="21"/>
              </w:rPr>
              <w:t>望提升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526"/>
            <w:rPr>
              <w:sz w:val="21"/>
              <w:szCs w:val="21"/>
            </w:rPr>
          </w:pPr>
          <w:hyperlink w:anchor="bookmark24" w:history="1">
            <w:r>
              <w:rPr>
                <w:color w:val="404040"/>
                <w:spacing w:val="-1"/>
                <w:sz w:val="21"/>
                <w:szCs w:val="21"/>
              </w:rPr>
              <w:t>6.4.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2023</w:t>
            </w:r>
            <w:r>
              <w:rPr>
                <w:color w:val="404040"/>
                <w:spacing w:val="-3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业绩持平，2024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有望重回</w:t>
            </w:r>
            <w:r>
              <w:rPr>
                <w:color w:val="404040"/>
                <w:spacing w:val="-2"/>
                <w:sz w:val="21"/>
                <w:szCs w:val="21"/>
              </w:rPr>
              <w:t>增长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1" w:line="223" w:lineRule="auto"/>
            <w:ind w:left="2168"/>
            <w:rPr>
              <w:sz w:val="21"/>
              <w:szCs w:val="21"/>
            </w:rPr>
          </w:pPr>
          <w:hyperlink w:anchor="bookmark25" w:history="1">
            <w:r>
              <w:rPr>
                <w:color w:val="404040"/>
                <w:spacing w:val="-1"/>
                <w:sz w:val="21"/>
                <w:szCs w:val="21"/>
              </w:rPr>
              <w:t>7.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估值及风险提示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29</w:t>
            </w:r>
          </w:hyperlink>
        </w:p>
        <w:p>
          <w:pPr>
            <w:pStyle w:val="BodyText"/>
            <w:spacing w:before="331" w:line="220" w:lineRule="auto"/>
            <w:ind w:left="2070"/>
            <w:rPr>
              <w:sz w:val="31"/>
              <w:szCs w:val="31"/>
            </w:rPr>
          </w:pPr>
          <w:r>
            <w:rPr>
              <w:color w:val="404040"/>
              <w:sz w:val="31"/>
              <w:szCs w:val="31"/>
            </w:rPr>
            <w:drawing>
              <wp:inline distT="0" distB="0" distL="0" distR="0">
                <wp:extent cx="108585" cy="127000"/>
                <wp:effectExtent l="0" t="0" r="0" b="0"/>
                <wp:docPr id="30" name="IM 3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" name="IM 30"/>
                        <pic:cNvPicPr/>
                      </pic:nvPicPr>
                      <pic:blipFill>
                        <a:blip xmlns:r="http://schemas.openxmlformats.org/officeDocument/2006/relationships" r:embed="rId2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585" cy="127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404040"/>
              <w:spacing w:val="17"/>
              <w:sz w:val="31"/>
              <w:szCs w:val="31"/>
            </w:rPr>
            <w:t xml:space="preserve"> </w:t>
          </w:r>
          <w:r>
            <w:rPr>
              <w:color w:val="404040"/>
              <w:spacing w:val="-2"/>
              <w:sz w:val="31"/>
              <w:szCs w:val="31"/>
              <w14:textOutline w14:w="5791">
                <w14:solidFill>
                  <w14:srgbClr w14:val="404040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pStyle w:val="BodyText"/>
            <w:tabs>
              <w:tab w:val="right" w:leader="dot" w:pos="10536"/>
            </w:tabs>
            <w:spacing w:before="75" w:line="186" w:lineRule="auto"/>
            <w:ind w:left="2193"/>
            <w:rPr>
              <w:sz w:val="21"/>
              <w:szCs w:val="21"/>
            </w:rPr>
          </w:pPr>
          <w:hyperlink w:anchor="bookmark26" w:history="1">
            <w:r>
              <w:rPr>
                <w:color w:val="404040"/>
                <w:spacing w:val="-7"/>
                <w:sz w:val="21"/>
                <w:szCs w:val="21"/>
              </w:rPr>
              <w:t>图</w:t>
            </w:r>
            <w:r>
              <w:rPr>
                <w:color w:val="404040"/>
                <w:spacing w:val="-2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1.</w:t>
            </w:r>
            <w:r>
              <w:rPr>
                <w:color w:val="404040"/>
                <w:spacing w:val="-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公司产品一览</w:t>
            </w:r>
            <w:r>
              <w:rPr>
                <w:color w:val="404040"/>
                <w:spacing w:val="-7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27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华利集团是耐克主要鞋类供应商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28" w:history="1">
            <w:r>
              <w:rPr>
                <w:color w:val="404040"/>
                <w:spacing w:val="-6"/>
                <w:sz w:val="21"/>
                <w:szCs w:val="21"/>
              </w:rPr>
              <w:t>图</w:t>
            </w:r>
            <w:r>
              <w:rPr>
                <w:color w:val="404040"/>
                <w:spacing w:val="-3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3.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公司合作品牌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29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4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4.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华利产能不断增长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30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5.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产能利用率保持高位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31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6.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华利集团各地区员工数量占比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32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7.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华利集团各地区工厂数量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33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8.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华利集团收入规模情况（亿元）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34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9.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华利集团毛利率和净利率情况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35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2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10.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华利集团股权结构图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36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11.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全球运动鞋服市场规模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3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37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2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12.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各大主要市场市场规模（十亿美元）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38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2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13.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运动服及运动鞋全球市场规模情况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  <w:sectPr>
              <w:headerReference w:type="default" r:id="rId21"/>
              <w:footerReference w:type="default" r:id="rId22"/>
              <w:pgSz w:w="11907" w:h="16839"/>
              <w:pgMar w:top="1064" w:right="666" w:bottom="803" w:left="680" w:header="884" w:footer="567" w:gutter="0"/>
              <w:pgNumType w:start="4"/>
              <w:cols w:space="708"/>
            </w:sectPr>
          </w:pPr>
          <w:hyperlink w:anchor="bookmark39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14.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运动鞋服增长表现优于鞋服整体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KaiTi" w:eastAsia="KaiTi" w:hAnsi="KaiTi" w:cs="KaiTi"/>
          <w:sz w:val="21"/>
          <w:szCs w:val="21"/>
        </w:rPr>
        <w:id w:val="2147088050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40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2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15.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全球前九大运动鞋服公司市占率（%）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22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41" w:history="1">
            <w:r>
              <w:rPr>
                <w:color w:val="404040"/>
                <w:spacing w:val="-6"/>
                <w:sz w:val="21"/>
                <w:szCs w:val="21"/>
              </w:rPr>
              <w:t>图</w:t>
            </w:r>
            <w:r>
              <w:rPr>
                <w:color w:val="404040"/>
                <w:spacing w:val="-3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16.</w:t>
            </w:r>
            <w:r>
              <w:rPr>
                <w:color w:val="404040"/>
                <w:spacing w:val="2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美国鞋店销售额情况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42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2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17.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主要运动品牌季度库销比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43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2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18.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运动鞋生产工艺流程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44" w:history="1">
            <w:r>
              <w:rPr>
                <w:color w:val="404040"/>
                <w:spacing w:val="-6"/>
                <w:sz w:val="21"/>
                <w:szCs w:val="21"/>
              </w:rPr>
              <w:t>图</w:t>
            </w:r>
            <w:r>
              <w:rPr>
                <w:color w:val="404040"/>
                <w:spacing w:val="-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19.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运动鞋产业链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219" w:lineRule="auto"/>
            <w:ind w:left="2193"/>
            <w:rPr>
              <w:sz w:val="21"/>
              <w:szCs w:val="21"/>
            </w:rPr>
          </w:pPr>
          <w:hyperlink w:anchor="bookmark45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20.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各国鞋履出口量占全球总出口量占比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12</w:t>
            </w:r>
          </w:hyperlink>
        </w:p>
      </w:sdtContent>
    </w:sdt>
    <w:p>
      <w:pPr>
        <w:spacing w:line="219" w:lineRule="auto"/>
        <w:rPr>
          <w:sz w:val="21"/>
          <w:szCs w:val="21"/>
        </w:rPr>
        <w:sectPr>
          <w:headerReference w:type="default" r:id="rId23"/>
          <w:footerReference w:type="default" r:id="rId24"/>
          <w:type w:val="nextPage"/>
          <w:pgSz w:w="11907" w:h="16839"/>
          <w:pgMar w:top="1064" w:right="666" w:bottom="803" w:left="680" w:header="884" w:footer="567" w:gutter="0"/>
          <w:pgNumType w:start="5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435920478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536"/>
            </w:tabs>
            <w:spacing w:before="287" w:line="186" w:lineRule="auto"/>
            <w:ind w:left="2193"/>
            <w:rPr>
              <w:sz w:val="21"/>
              <w:szCs w:val="21"/>
            </w:rPr>
          </w:pPr>
          <w:r>
            <w:drawing>
              <wp:anchor distT="0" distB="0" distL="0" distR="0" simplePos="0" relativeHeight="251671552" behindDoc="0" locked="0" layoutInCell="0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288290</wp:posOffset>
                </wp:positionV>
                <wp:extent cx="2012822" cy="381000"/>
                <wp:effectExtent l="0" t="0" r="0" b="0"/>
                <wp:wrapNone/>
                <wp:docPr id="32" name="IM 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" name="IM 32"/>
                        <pic:cNvPicPr/>
                      </pic:nvPicPr>
                      <pic:blipFill>
                        <a:blip xmlns:r="http://schemas.openxmlformats.org/officeDocument/2006/relationships" r:embed="rId1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2822" cy="381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bookmark47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21.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PUMA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Running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系列</w:t>
            </w:r>
            <w:r>
              <w:rPr>
                <w:color w:val="404040"/>
                <w:spacing w:val="-4"/>
                <w:sz w:val="21"/>
                <w:szCs w:val="21"/>
              </w:rPr>
              <w:t>跑鞋环保材料一览</w:t>
            </w:r>
            <w:r>
              <w:rPr>
                <w:color w:val="404040"/>
                <w:spacing w:val="-56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48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22.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耐克</w:t>
            </w:r>
            <w:r>
              <w:rPr>
                <w:color w:val="404040"/>
                <w:spacing w:val="-4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Blazer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系列运动鞋环保材料一览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49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23.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耐克对生产环节的</w:t>
            </w:r>
            <w:r>
              <w:rPr>
                <w:color w:val="404040"/>
                <w:spacing w:val="-4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2025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年环保目标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50" w:history="1">
            <w:r>
              <w:rPr>
                <w:color w:val="404040"/>
                <w:spacing w:val="-1"/>
                <w:sz w:val="21"/>
                <w:szCs w:val="21"/>
              </w:rPr>
              <w:t>图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24.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主要运动鞋生产企业产能分布（以生产基</w:t>
            </w:r>
            <w:r>
              <w:rPr>
                <w:color w:val="404040"/>
                <w:spacing w:val="-2"/>
                <w:sz w:val="21"/>
                <w:szCs w:val="21"/>
              </w:rPr>
              <w:t>地数量分）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51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25.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2022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年越南主要省份人均月收入（元/月）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52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26.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越南主要省份劳动人口规模（万人）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53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27.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2022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年主要运动鞋代工企业客户结构（%）</w:t>
            </w:r>
            <w:r>
              <w:rPr>
                <w:color w:val="404040"/>
                <w:spacing w:val="-5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54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3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28.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运动鞋代工企业平均销售单价（元/双）</w:t>
            </w:r>
            <w:r>
              <w:rPr>
                <w:color w:val="404040"/>
                <w:spacing w:val="6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55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3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29.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主要运动鞋代工企业人均产量（双/年）</w:t>
            </w:r>
            <w:r>
              <w:rPr>
                <w:color w:val="404040"/>
                <w:spacing w:val="6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56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30.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主要运动鞋代工企业生产每双鞋的用电量比</w:t>
            </w:r>
            <w:r>
              <w:rPr>
                <w:color w:val="404040"/>
                <w:spacing w:val="-4"/>
                <w:sz w:val="21"/>
                <w:szCs w:val="21"/>
              </w:rPr>
              <w:t>较（千瓦时/双）</w:t>
            </w:r>
            <w:r>
              <w:rPr>
                <w:color w:val="404040"/>
                <w:spacing w:val="7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57" w:history="1">
            <w:r>
              <w:rPr>
                <w:color w:val="404040"/>
                <w:spacing w:val="-1"/>
                <w:sz w:val="21"/>
                <w:szCs w:val="21"/>
              </w:rPr>
              <w:t>图</w:t>
            </w:r>
            <w:r>
              <w:rPr>
                <w:color w:val="404040"/>
                <w:spacing w:val="-4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31.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主要运动鞋代工企业生产废弃物再利</w:t>
            </w:r>
            <w:r>
              <w:rPr>
                <w:color w:val="404040"/>
                <w:spacing w:val="-2"/>
                <w:sz w:val="21"/>
                <w:szCs w:val="21"/>
              </w:rPr>
              <w:t>用率情况（%）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19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58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2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32.</w:t>
            </w:r>
            <w:r>
              <w:rPr>
                <w:color w:val="404040"/>
                <w:spacing w:val="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同行业净资产收益率（ROE）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59" w:history="1">
            <w:r>
              <w:rPr>
                <w:color w:val="404040"/>
                <w:spacing w:val="-7"/>
                <w:sz w:val="21"/>
                <w:szCs w:val="21"/>
              </w:rPr>
              <w:t>图</w:t>
            </w:r>
            <w:r>
              <w:rPr>
                <w:color w:val="404040"/>
                <w:spacing w:val="-3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33.</w:t>
            </w:r>
            <w:r>
              <w:rPr>
                <w:color w:val="404040"/>
                <w:spacing w:val="1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华利杜邦拆解</w:t>
            </w:r>
            <w:r>
              <w:rPr>
                <w:color w:val="404040"/>
                <w:spacing w:val="-7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60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2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34.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纺织服装行业平均和同行及华利集团净利率水平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61" w:history="1">
            <w:r>
              <w:rPr>
                <w:color w:val="404040"/>
                <w:spacing w:val="-6"/>
                <w:sz w:val="21"/>
                <w:szCs w:val="21"/>
              </w:rPr>
              <w:t>图</w:t>
            </w:r>
            <w:r>
              <w:rPr>
                <w:color w:val="404040"/>
                <w:spacing w:val="-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35.</w:t>
            </w:r>
            <w:r>
              <w:rPr>
                <w:color w:val="404040"/>
                <w:spacing w:val="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6"/>
                <w:sz w:val="21"/>
                <w:szCs w:val="21"/>
              </w:rPr>
              <w:t>同行及华利毛利率（%）</w:t>
            </w:r>
            <w:r>
              <w:rPr>
                <w:color w:val="404040"/>
                <w:spacing w:val="-6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62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2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36.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华利各产品占运动鞋营业收入比重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63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37.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华利集团各类产品毛利率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64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38.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皮革</w:t>
            </w:r>
            <w:r>
              <w:rPr>
                <w:color w:val="404040"/>
                <w:spacing w:val="-4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PPI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与华利单双成本增长比较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65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39.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华利各费用率机构变化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66" w:history="1">
            <w:r>
              <w:rPr>
                <w:color w:val="404040"/>
                <w:spacing w:val="-5"/>
                <w:sz w:val="21"/>
                <w:szCs w:val="21"/>
              </w:rPr>
              <w:t>图</w:t>
            </w:r>
            <w:r>
              <w:rPr>
                <w:color w:val="404040"/>
                <w:spacing w:val="-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40.</w:t>
            </w:r>
            <w:r>
              <w:rPr>
                <w:color w:val="404040"/>
                <w:spacing w:val="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同业销售+管理费用率比较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67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41.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管理人员占总员工规模占比（%）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68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42.</w:t>
            </w:r>
            <w:r>
              <w:rPr>
                <w:color w:val="404040"/>
                <w:spacing w:val="3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同行业公司及华利应收账款周转率（次每年）和周转天数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69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43.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各公司存货周转率及周转天数变化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70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44.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华利产能利用率及产销率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71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45.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华利货币资金及经营活动现金流净值（亿元）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72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46.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华利收到的现金占营业收入比重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73" w:history="1">
            <w:r>
              <w:rPr>
                <w:color w:val="404040"/>
                <w:spacing w:val="-4"/>
                <w:sz w:val="21"/>
                <w:szCs w:val="21"/>
              </w:rPr>
              <w:t>图</w:t>
            </w:r>
            <w:r>
              <w:rPr>
                <w:color w:val="404040"/>
                <w:spacing w:val="-5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47.</w:t>
            </w:r>
            <w:r>
              <w:rPr>
                <w:color w:val="404040"/>
                <w:spacing w:val="-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耐克营收、成本及毛利率情况（百万美</w:t>
            </w:r>
            <w:r>
              <w:rPr>
                <w:color w:val="404040"/>
                <w:spacing w:val="-5"/>
                <w:sz w:val="21"/>
                <w:szCs w:val="21"/>
              </w:rPr>
              <w:t>元）</w:t>
            </w:r>
            <w:r>
              <w:rPr>
                <w:color w:val="404040"/>
                <w:spacing w:val="6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74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48.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华利耐克业务收入占耐克营业成本占比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186" w:lineRule="auto"/>
            <w:ind w:left="2193"/>
            <w:rPr>
              <w:sz w:val="21"/>
              <w:szCs w:val="21"/>
            </w:rPr>
          </w:pPr>
          <w:hyperlink w:anchor="bookmark75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3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49.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华利集团耐克业务收入占华利总营收的占比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93"/>
            <w:rPr>
              <w:sz w:val="21"/>
              <w:szCs w:val="21"/>
            </w:rPr>
          </w:pPr>
          <w:hyperlink w:anchor="bookmark76" w:history="1">
            <w:r>
              <w:rPr>
                <w:color w:val="404040"/>
                <w:spacing w:val="-2"/>
                <w:sz w:val="21"/>
                <w:szCs w:val="21"/>
              </w:rPr>
              <w:t>图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50.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华利集团季度均价与人民币汇率比较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93"/>
            <w:rPr>
              <w:sz w:val="21"/>
              <w:szCs w:val="21"/>
            </w:rPr>
          </w:pPr>
          <w:hyperlink w:anchor="bookmark77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4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51.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华利集团年度均价走势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7" w:line="216" w:lineRule="auto"/>
            <w:ind w:left="2193"/>
            <w:rPr>
              <w:sz w:val="21"/>
              <w:szCs w:val="21"/>
            </w:rPr>
          </w:pPr>
          <w:hyperlink w:anchor="bookmark78" w:history="1">
            <w:r>
              <w:rPr>
                <w:color w:val="404040"/>
                <w:spacing w:val="-3"/>
                <w:sz w:val="21"/>
                <w:szCs w:val="21"/>
              </w:rPr>
              <w:t>图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52.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通过皮革</w:t>
            </w:r>
            <w:r>
              <w:rPr>
                <w:color w:val="404040"/>
                <w:spacing w:val="-4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PPI</w:t>
            </w:r>
            <w:r>
              <w:rPr>
                <w:color w:val="404040"/>
                <w:spacing w:val="-4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走势预估华利</w:t>
            </w:r>
            <w:r>
              <w:rPr>
                <w:color w:val="40404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2023Q4</w:t>
            </w:r>
            <w:r>
              <w:rPr>
                <w:color w:val="404040"/>
                <w:spacing w:val="-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单双成本</w:t>
            </w:r>
            <w:r>
              <w:rPr>
                <w:color w:val="404040"/>
                <w:spacing w:val="-3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27</w:t>
            </w:r>
          </w:hyperlink>
        </w:p>
        <w:p>
          <w:pPr>
            <w:spacing w:line="34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536"/>
            </w:tabs>
            <w:spacing w:before="69" w:line="186" w:lineRule="auto"/>
            <w:ind w:left="2162"/>
            <w:rPr>
              <w:sz w:val="21"/>
              <w:szCs w:val="21"/>
            </w:rPr>
          </w:pPr>
          <w:hyperlink w:anchor="bookmark79" w:history="1">
            <w:r>
              <w:rPr>
                <w:color w:val="404040"/>
                <w:spacing w:val="-2"/>
                <w:sz w:val="21"/>
                <w:szCs w:val="21"/>
              </w:rPr>
              <w:t>表</w:t>
            </w:r>
            <w:r>
              <w:rPr>
                <w:color w:val="404040"/>
                <w:spacing w:val="-2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1：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华利集团越南子公司税率情况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2"/>
            <w:rPr>
              <w:sz w:val="21"/>
              <w:szCs w:val="21"/>
            </w:rPr>
          </w:pPr>
          <w:hyperlink w:anchor="bookmark80" w:history="1">
            <w:r>
              <w:rPr>
                <w:color w:val="404040"/>
                <w:spacing w:val="-1"/>
                <w:sz w:val="21"/>
                <w:szCs w:val="21"/>
              </w:rPr>
              <w:t>表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2：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华利集团纳税主体税率情况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17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2"/>
            <w:rPr>
              <w:sz w:val="21"/>
              <w:szCs w:val="21"/>
            </w:rPr>
          </w:pPr>
          <w:hyperlink w:anchor="bookmark81" w:history="1">
            <w:r>
              <w:rPr>
                <w:color w:val="404040"/>
                <w:spacing w:val="-2"/>
                <w:sz w:val="21"/>
                <w:szCs w:val="21"/>
              </w:rPr>
              <w:t>表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3：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华利集团收入分拆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28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10" w:line="186" w:lineRule="auto"/>
            <w:ind w:left="2162"/>
            <w:rPr>
              <w:sz w:val="21"/>
              <w:szCs w:val="21"/>
            </w:rPr>
          </w:pPr>
          <w:hyperlink w:anchor="bookmark82" w:history="1">
            <w:r>
              <w:rPr>
                <w:color w:val="404040"/>
                <w:spacing w:val="-2"/>
                <w:sz w:val="21"/>
                <w:szCs w:val="21"/>
              </w:rPr>
              <w:t>表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4：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华利集团财务概况</w:t>
            </w:r>
            <w:r>
              <w:rPr>
                <w:color w:val="404040"/>
                <w:spacing w:val="-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29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2"/>
            <w:rPr>
              <w:sz w:val="21"/>
              <w:szCs w:val="21"/>
            </w:rPr>
          </w:pPr>
          <w:hyperlink w:anchor="bookmark83" w:history="1">
            <w:r>
              <w:rPr>
                <w:color w:val="404040"/>
                <w:sz w:val="21"/>
                <w:szCs w:val="21"/>
              </w:rPr>
              <w:t>表</w:t>
            </w:r>
            <w:r>
              <w:rPr>
                <w:color w:val="404040"/>
                <w:spacing w:val="-49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5：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华利集团</w:t>
            </w:r>
            <w:r>
              <w:rPr>
                <w:color w:val="404040"/>
                <w:spacing w:val="-42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FCFE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DCF</w:t>
            </w:r>
            <w:r>
              <w:rPr>
                <w:color w:val="404040"/>
                <w:spacing w:val="-5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>模型中的关键假设及估值（</w:t>
            </w:r>
            <w:r>
              <w:rPr>
                <w:color w:val="404040"/>
                <w:spacing w:val="-1"/>
                <w:sz w:val="21"/>
                <w:szCs w:val="21"/>
              </w:rPr>
              <w:t>20240223）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30</w:t>
            </w:r>
          </w:hyperlink>
        </w:p>
        <w:p>
          <w:pPr>
            <w:pStyle w:val="BodyText"/>
            <w:tabs>
              <w:tab w:val="right" w:leader="dot" w:pos="10536"/>
            </w:tabs>
            <w:spacing w:before="108" w:line="186" w:lineRule="auto"/>
            <w:ind w:left="2162"/>
            <w:rPr>
              <w:sz w:val="21"/>
              <w:szCs w:val="21"/>
            </w:rPr>
            <w:sectPr>
              <w:headerReference w:type="default" r:id="rId25"/>
              <w:footerReference w:type="default" r:id="rId26"/>
              <w:pgSz w:w="11907" w:h="16839"/>
              <w:pgMar w:top="1064" w:right="666" w:bottom="803" w:left="680" w:header="884" w:footer="567" w:gutter="0"/>
              <w:pgNumType w:start="6"/>
              <w:cols w:space="708"/>
            </w:sectPr>
          </w:pPr>
          <w:hyperlink w:anchor="bookmark84" w:history="1">
            <w:r>
              <w:rPr>
                <w:color w:val="404040"/>
                <w:spacing w:val="-5"/>
                <w:sz w:val="21"/>
                <w:szCs w:val="21"/>
              </w:rPr>
              <w:t>表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6：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华利集团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FCFE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DCF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模型权益价值敏感性分析（单位：</w:t>
            </w:r>
            <w:r>
              <w:rPr>
                <w:color w:val="404040"/>
                <w:spacing w:val="-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5"/>
                <w:sz w:val="21"/>
                <w:szCs w:val="21"/>
              </w:rPr>
              <w:t>元）</w:t>
            </w:r>
            <w:r>
              <w:rPr>
                <w:color w:val="404040"/>
                <w:spacing w:val="6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2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1492137038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536"/>
            </w:tabs>
            <w:spacing w:before="109" w:line="221" w:lineRule="auto"/>
            <w:ind w:left="2162"/>
            <w:rPr>
              <w:sz w:val="21"/>
              <w:szCs w:val="21"/>
            </w:rPr>
          </w:pPr>
          <w:hyperlink w:anchor="bookmark85" w:history="1">
            <w:r>
              <w:rPr>
                <w:color w:val="404040"/>
                <w:spacing w:val="-1"/>
                <w:sz w:val="21"/>
                <w:szCs w:val="21"/>
              </w:rPr>
              <w:t>表</w:t>
            </w:r>
            <w:r>
              <w:rPr>
                <w:color w:val="404040"/>
                <w:spacing w:val="-3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7：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1"/>
                <w:sz w:val="21"/>
                <w:szCs w:val="21"/>
              </w:rPr>
              <w:t>可比公司估值一览（20240223）</w:t>
            </w:r>
            <w:r>
              <w:rPr>
                <w:color w:val="404040"/>
                <w:spacing w:val="-1"/>
                <w:sz w:val="21"/>
                <w:szCs w:val="21"/>
              </w:rPr>
              <w:t xml:space="preserve"> </w:t>
            </w:r>
            <w:r>
              <w:rPr>
                <w:color w:val="404040"/>
                <w:sz w:val="21"/>
                <w:szCs w:val="21"/>
              </w:rPr>
              <w:tab/>
            </w:r>
            <w:r>
              <w:rPr>
                <w:color w:val="404040"/>
                <w:spacing w:val="11"/>
                <w:sz w:val="21"/>
                <w:szCs w:val="21"/>
              </w:rPr>
              <w:t>30</w:t>
            </w:r>
          </w:hyperlink>
        </w:p>
      </w:sdtContent>
    </w:sdt>
    <w:p>
      <w:pPr>
        <w:spacing w:line="221" w:lineRule="auto"/>
        <w:rPr>
          <w:sz w:val="21"/>
          <w:szCs w:val="21"/>
        </w:rPr>
        <w:sectPr>
          <w:headerReference w:type="default" r:id="rId27"/>
          <w:footerReference w:type="default" r:id="rId28"/>
          <w:type w:val="nextPage"/>
          <w:pgSz w:w="11907" w:h="16839"/>
          <w:pgMar w:top="1064" w:right="666" w:bottom="803" w:left="680" w:header="884" w:footer="567" w:gutter="0"/>
          <w:pgNumType w:start="7"/>
          <w:cols w:space="708"/>
          <w:titlePg w:val="0"/>
        </w:sectPr>
      </w:pPr>
    </w:p>
    <w:p>
      <w:pPr>
        <w:spacing w:before="126" w:line="436" w:lineRule="exact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6" w:line="417" w:lineRule="exact"/>
        <w:ind w:left="2184"/>
        <w:rPr>
          <w:sz w:val="28"/>
          <w:szCs w:val="28"/>
        </w:rPr>
      </w:pPr>
      <w:bookmarkStart w:id="3" w:name="bookmark4"/>
      <w:bookmarkEnd w:id="3"/>
      <w:bookmarkStart w:id="4" w:name="bookmark5"/>
      <w:bookmarkEnd w:id="4"/>
      <w:bookmarkStart w:id="5" w:name="bookmark86"/>
      <w:bookmarkEnd w:id="5"/>
      <w:r>
        <w:rPr>
          <w:color w:val="404040"/>
          <w:spacing w:val="-3"/>
          <w:position w:val="9"/>
          <w:sz w:val="28"/>
          <w:szCs w:val="28"/>
          <w14:textOutline w14:w="5094">
            <w14:solidFill>
              <w14:srgbClr w14:val="404040"/>
            </w14:solidFill>
            <w14:prstDash w14:val="solid"/>
            <w14:miter w14:lim="10"/>
          </w14:textOutline>
        </w:rPr>
        <w:t>1.投资概要</w:t>
      </w:r>
    </w:p>
    <w:p>
      <w:pPr>
        <w:pStyle w:val="BodyText"/>
        <w:spacing w:line="218" w:lineRule="auto"/>
        <w:ind w:left="2181"/>
      </w:pPr>
      <w:r>
        <w:rPr>
          <w:color w:val="404040"/>
          <w:spacing w:val="-2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1.1.投资要点</w:t>
      </w:r>
    </w:p>
    <w:p>
      <w:pPr>
        <w:pStyle w:val="BodyText"/>
        <w:spacing w:before="61" w:line="238" w:lineRule="auto"/>
        <w:ind w:left="2162" w:firstLine="13"/>
        <w:jc w:val="both"/>
        <w:rPr>
          <w:sz w:val="21"/>
          <w:szCs w:val="21"/>
        </w:rPr>
      </w:pP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华利集团是行业领先的运动鞋制造企业。</w:t>
      </w:r>
      <w:r>
        <w:rPr>
          <w:color w:val="404040"/>
          <w:spacing w:val="-1"/>
          <w:sz w:val="21"/>
          <w:szCs w:val="21"/>
        </w:rPr>
        <w:t>我们认为华利集团是运动鞋制造领域中有望实现均</w:t>
      </w:r>
      <w:r>
        <w:rPr>
          <w:color w:val="404040"/>
          <w:spacing w:val="14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价上涨，产量稳步上升，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收入及利润规模双提升的优质标的，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主要观点：1）运动鞋服行业目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前仍是鞋服行业中景气度更高的板块，全球零售额增速表现更优，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其中</w:t>
      </w:r>
      <w:r>
        <w:rPr>
          <w:color w:val="404040"/>
          <w:spacing w:val="-3"/>
          <w:sz w:val="21"/>
          <w:szCs w:val="21"/>
        </w:rPr>
        <w:t>运动鞋板块增速趋势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要更好于运动服。2023H1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美国运动鞋行业受销售增速下滑影响导致库存增长，致使上游制造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商订单表现不佳。随着美国鞋店零售额按月逐步回暖，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品牌商去库存节奏将有望加速，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并利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好上游制造商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2024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年的订单表现。2）华利集团精简鞋品品类向耐克供应链倾斜，</w:t>
      </w:r>
      <w:r>
        <w:rPr>
          <w:color w:val="404040"/>
          <w:spacing w:val="-2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均价提升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空间广阔。华利集团近年来产能利用率一直处于高位，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且不断削减户外靴鞋及</w:t>
      </w:r>
      <w:r>
        <w:rPr>
          <w:color w:val="404040"/>
          <w:spacing w:val="-3"/>
          <w:sz w:val="21"/>
          <w:szCs w:val="21"/>
        </w:rPr>
        <w:t>拖鞋凉鞋的生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产，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向运动休闲鞋集中，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同时耐克业务收入占比逐年提高，说明</w:t>
      </w:r>
      <w:r>
        <w:rPr>
          <w:color w:val="404040"/>
          <w:spacing w:val="-6"/>
          <w:sz w:val="21"/>
          <w:szCs w:val="21"/>
        </w:rPr>
        <w:t>公司在有限的产能下逐步向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1"/>
          <w:sz w:val="21"/>
          <w:szCs w:val="21"/>
        </w:rPr>
        <w:t>耐克倾斜。而从耐克业务收入占比更高的同行产品均价比较看，华利的均价存在明显差距，</w:t>
      </w:r>
      <w:r>
        <w:rPr>
          <w:color w:val="404040"/>
          <w:spacing w:val="7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说明若未来耐克业务占比提升，将有望带动华利产品均价上</w:t>
      </w:r>
      <w:r>
        <w:rPr>
          <w:color w:val="404040"/>
          <w:spacing w:val="-7"/>
          <w:sz w:val="21"/>
          <w:szCs w:val="21"/>
        </w:rPr>
        <w:t>升。3）优秀的生产运营管理能力，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不仅更受品牌商青睐，盈利能力亦更有保障。华利集团生产基地</w:t>
      </w:r>
      <w:r>
        <w:rPr>
          <w:color w:val="404040"/>
          <w:spacing w:val="-1"/>
          <w:sz w:val="21"/>
          <w:szCs w:val="21"/>
        </w:rPr>
        <w:t>集中在越南清化省，劳动力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充足且薪酬水平在越南各省中更低，在更具优势的劳动力成本基础上，凭借多年的制鞋经验，</w:t>
      </w:r>
      <w:r>
        <w:rPr>
          <w:color w:val="404040"/>
          <w:spacing w:val="1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以及在生产自动化领域的不断深耕，</w:t>
      </w:r>
      <w:r>
        <w:rPr>
          <w:color w:val="404040"/>
          <w:spacing w:val="-2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华利集团人均产</w:t>
      </w:r>
      <w:r>
        <w:rPr>
          <w:color w:val="404040"/>
          <w:spacing w:val="-3"/>
          <w:sz w:val="21"/>
          <w:szCs w:val="21"/>
        </w:rPr>
        <w:t>能优于同行。双重叠加，使华利在成本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控制为盈利能力重要体现的制鞋行业中建立高壁垒。另外，品牌</w:t>
      </w:r>
      <w:r>
        <w:rPr>
          <w:color w:val="404040"/>
          <w:spacing w:val="-1"/>
          <w:sz w:val="21"/>
          <w:szCs w:val="21"/>
        </w:rPr>
        <w:t>方对制造商环保要求日渐严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格，</w:t>
      </w:r>
      <w:r>
        <w:rPr>
          <w:color w:val="404040"/>
          <w:spacing w:val="-29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更环保更高效的厂商将更受青睐，华利集团通过生产流程的不断升级，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提升了废料回收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水平，</w:t>
      </w:r>
      <w:r>
        <w:rPr>
          <w:color w:val="404040"/>
          <w:spacing w:val="-7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减少了能源消耗，</w:t>
      </w:r>
      <w:r>
        <w:rPr>
          <w:color w:val="404040"/>
          <w:spacing w:val="-7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单位产品能耗水平是可比企业中表现最佳。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8" w:line="236" w:lineRule="auto"/>
        <w:ind w:left="2158" w:right="4" w:firstLine="20"/>
        <w:jc w:val="both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关注华利集团左侧布局机会。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华利集团下游客户以外国品牌为主，美国市场是其客户的主要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市场，因此，华利集团的业绩受美国下游订单影响较</w:t>
      </w:r>
      <w:r>
        <w:rPr>
          <w:color w:val="404040"/>
          <w:spacing w:val="-2"/>
          <w:sz w:val="21"/>
          <w:szCs w:val="21"/>
        </w:rPr>
        <w:t>大，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随着品牌商去库存节奏有望加速，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将利好华利集团的订单表现。在公司质地优良，订单存在修复预期的背</w:t>
      </w:r>
      <w:r>
        <w:rPr>
          <w:color w:val="404040"/>
          <w:spacing w:val="-1"/>
          <w:sz w:val="21"/>
          <w:szCs w:val="21"/>
        </w:rPr>
        <w:t>景下，股价仍处于左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侧，</w:t>
      </w:r>
      <w:r>
        <w:rPr>
          <w:color w:val="404040"/>
          <w:spacing w:val="-2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我们认为主要因为去库存与订单量回升之间存在时间差，</w:t>
      </w:r>
      <w:r>
        <w:rPr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制造商业绩拐点滞后于品牌商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库存低点。而由于低基数影响，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我们认为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2024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年华利集团将出现较明显的订单修复，因此我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们建议关注华利集团的左侧布局机会。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181"/>
        <w:outlineLvl w:val="0"/>
      </w:pPr>
      <w:bookmarkStart w:id="6" w:name="bookmark6"/>
      <w:bookmarkEnd w:id="6"/>
      <w:r>
        <w:rPr>
          <w:color w:val="404040"/>
          <w:spacing w:val="-1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1.2.区别于市场的观点</w:t>
      </w:r>
    </w:p>
    <w:p>
      <w:pPr>
        <w:pStyle w:val="BodyText"/>
        <w:spacing w:before="60" w:line="236" w:lineRule="auto"/>
        <w:ind w:left="2162" w:firstLine="14"/>
        <w:jc w:val="both"/>
        <w:rPr>
          <w:sz w:val="21"/>
          <w:szCs w:val="21"/>
        </w:rPr>
      </w:pPr>
      <w:r>
        <w:rPr>
          <w:color w:val="404040"/>
          <w:spacing w:val="-1"/>
          <w:sz w:val="21"/>
          <w:szCs w:val="21"/>
        </w:rPr>
        <w:t>资本市场低估了运动鞋制造的壁垒，</w:t>
      </w:r>
      <w:r>
        <w:rPr>
          <w:color w:val="404040"/>
          <w:spacing w:val="-2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认为生产运动鞋难度不大，</w:t>
      </w:r>
      <w:r>
        <w:rPr>
          <w:color w:val="404040"/>
          <w:spacing w:val="-2"/>
          <w:sz w:val="21"/>
          <w:szCs w:val="21"/>
        </w:rPr>
        <w:t>进入门槛不高。我们认为，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运动鞋制造业的进入壁垒高，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主要体现在：1）运动鞋生产流程长，</w:t>
      </w:r>
      <w:r>
        <w:rPr>
          <w:color w:val="404040"/>
          <w:spacing w:val="-47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环节众多，鞋品款式众多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且更新速度快的特点，均要求在生产环节中进行快速调整，这需要长期大量的制鞋经验积累，</w:t>
      </w:r>
      <w:r>
        <w:rPr>
          <w:color w:val="404040"/>
          <w:spacing w:val="1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非新进入企业通过设备投入就可轻易达成；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2）运动鞋制造业是劳</w:t>
      </w:r>
      <w:r>
        <w:rPr>
          <w:color w:val="404040"/>
          <w:spacing w:val="-5"/>
          <w:sz w:val="21"/>
          <w:szCs w:val="21"/>
        </w:rPr>
        <w:t>动密集型产业，早期进入的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企业大多已在劳动力最为充裕，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且薪酬成本较低的地区完成布局，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新进入企业很难在劳动力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成本上获得优势；3）头部运动品牌对环保要求趋严，对本就成本敏感度高的上游制造提出更</w:t>
      </w:r>
      <w:r>
        <w:rPr>
          <w:color w:val="404040"/>
          <w:spacing w:val="6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严苛的标准，将使行业集中度逐步提高。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37" w:lineRule="auto"/>
        <w:ind w:left="2163" w:right="59" w:firstLine="11"/>
        <w:jc w:val="both"/>
        <w:rPr>
          <w:sz w:val="21"/>
          <w:szCs w:val="21"/>
        </w:rPr>
      </w:pPr>
      <w:r>
        <w:rPr>
          <w:color w:val="404040"/>
          <w:spacing w:val="2"/>
          <w:sz w:val="21"/>
          <w:szCs w:val="21"/>
        </w:rPr>
        <w:t>我们对华利集团从收入-销量均价-毛利率-净利润进行逐一详细预测，预测过程具备</w:t>
      </w:r>
      <w:r>
        <w:rPr>
          <w:color w:val="404040"/>
          <w:spacing w:val="1"/>
          <w:sz w:val="21"/>
          <w:szCs w:val="21"/>
        </w:rPr>
        <w:t>完整逻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辑链。针对收入预测，我们利用耐克管理层指引预估耐</w:t>
      </w:r>
      <w:r>
        <w:rPr>
          <w:color w:val="404040"/>
          <w:spacing w:val="-3"/>
          <w:sz w:val="21"/>
          <w:szCs w:val="21"/>
        </w:rPr>
        <w:t>克的收入及毛利率走势，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推算华利集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团耐克业务线收入，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并通过耐克业务占比的预估估算华</w:t>
      </w:r>
      <w:r>
        <w:rPr>
          <w:color w:val="404040"/>
          <w:spacing w:val="-3"/>
          <w:sz w:val="21"/>
          <w:szCs w:val="21"/>
        </w:rPr>
        <w:t>利集团整体收入。量价预测方面，我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们差别性地利用汇率走势预测均价走势，并由此得到销量预</w:t>
      </w:r>
      <w:r>
        <w:rPr>
          <w:color w:val="404040"/>
          <w:spacing w:val="-1"/>
          <w:sz w:val="21"/>
          <w:szCs w:val="21"/>
        </w:rPr>
        <w:t>测。毛利率方面，我们发现皮革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PPI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走势与华利单双生产成本波动间存在强正相关，并依此估算成本得到毛利率预测。由此</w:t>
      </w:r>
      <w:r>
        <w:rPr>
          <w:color w:val="404040"/>
          <w:spacing w:val="17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得出的净利润数据具有详细的逻辑推演过程及客观数据支持，</w:t>
      </w:r>
      <w:r>
        <w:rPr>
          <w:color w:val="404040"/>
          <w:spacing w:val="-39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对未来进行季度盈利预测提供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了可行的方法论。</w:t>
      </w:r>
    </w:p>
    <w:p>
      <w:pPr>
        <w:spacing w:line="237" w:lineRule="auto"/>
        <w:rPr>
          <w:sz w:val="21"/>
          <w:szCs w:val="21"/>
        </w:rPr>
        <w:sectPr>
          <w:headerReference w:type="default" r:id="rId30"/>
          <w:footerReference w:type="default" r:id="rId31"/>
          <w:pgSz w:w="11907" w:h="16839"/>
          <w:pgMar w:top="1064" w:right="615" w:bottom="803" w:left="680" w:header="884" w:footer="567" w:gutter="0"/>
          <w:pgNumType w:start="8"/>
          <w:cols w:space="708"/>
        </w:sectPr>
      </w:pPr>
    </w:p>
    <w:p>
      <w:pPr>
        <w:spacing w:before="126" w:line="436" w:lineRule="exact"/>
        <w:ind w:firstLine="5"/>
      </w:pPr>
      <w:r>
        <w:pict>
          <v:shape id="_x0000_s1049" style="width:258.05pt;height:0.75pt;margin-top:619.51pt;margin-left:33.72pt;mso-position-horizontal-relative:page;mso-position-vertical-relative:page;position:absolute;z-index:251679744" coordorigin="0,0" coordsize="5160,15" o:allowincell="f" path="m,14l5160,14l5160,l,l,14xe" filled="t" fillcolor="black" stroked="f"/>
        </w:pict>
      </w:r>
      <w:r>
        <w:pict>
          <v:shape id="_x0000_s1050" style="width:258.05pt;height:0.75pt;margin-top:755.38pt;margin-left:33.72pt;mso-position-horizontal-relative:page;mso-position-vertical-relative:page;position:absolute;z-index:251677696" coordorigin="0,0" coordsize="5160,15" o:allowincell="f" path="m,14l5160,14l5160,l,l,14xe" filled="t" fillcolor="black" stroked="f"/>
        </w:pict>
      </w:r>
      <w:r>
        <w:pict>
          <v:shape id="_x0000_s1051" style="width:2.75pt;height:60.8pt;margin-top:662.22pt;margin-left:75.39pt;mso-position-horizontal-relative:page;mso-position-vertical-relative:page;position:absolute;z-index:251681792" coordorigin="0,0" coordsize="55,1215" o:allowincell="f" path="m51,1215l51,2m,809l51,809m,406l51,406m,2l51,2e" filled="f" strokecolor="#404040" strokeweight="0.25pt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1089660</wp:posOffset>
            </wp:positionH>
            <wp:positionV relativeFrom="page">
              <wp:posOffset>8569452</wp:posOffset>
            </wp:positionV>
            <wp:extent cx="2217419" cy="612394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17419" cy="612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2" style="width:192.9pt;height:2.7pt;margin-top:722.86pt;margin-left:75.39pt;mso-position-horizontal-relative:page;mso-position-vertical-relative:page;position:absolute;z-index:251676672" coordorigin="0,0" coordsize="3857,54" o:allowincell="f" path="m,2l51,2m51,2l3855,2m51,2l51,53m685,2l685,53m1319,2l1319,53m1952,2l1952,53m2586,2l2586,53m3220,2l3220,53m3855,2l3855,53e" filled="f" strokecolor="#404040" strokeweight="0.25pt"/>
        </w:pict>
      </w:r>
      <w:r>
        <w:pict>
          <v:shape id="_x0000_s1053" style="width:258.05pt;height:0.75pt;margin-top:619.51pt;margin-left:303.65pt;mso-position-horizontal-relative:page;mso-position-vertical-relative:page;position:absolute;z-index:251680768" coordorigin="0,0" coordsize="5160,15" o:allowincell="f" path="m,14l5160,14l5160,l,l,14xe" filled="t" fillcolor="black" stroked="f"/>
        </w:pict>
      </w:r>
      <w:r>
        <w:pict>
          <v:shape id="_x0000_s1054" style="width:258.05pt;height:0.75pt;margin-top:755.38pt;margin-left:303.65pt;mso-position-horizontal-relative:page;mso-position-vertical-relative:page;position:absolute;z-index:251678720" coordorigin="0,0" coordsize="5160,15" o:allowincell="f" path="m,14l5160,14l5160,l,l,14xe" filled="t" fillcolor="black" stroked="f"/>
        </w:pict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1837055</wp:posOffset>
            </wp:positionH>
            <wp:positionV relativeFrom="page">
              <wp:posOffset>4971923</wp:posOffset>
            </wp:positionV>
            <wp:extent cx="5252719" cy="1462913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52719" cy="146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7" w:line="217" w:lineRule="auto"/>
        <w:ind w:left="2173"/>
        <w:outlineLvl w:val="6"/>
        <w:rPr>
          <w:sz w:val="28"/>
          <w:szCs w:val="28"/>
        </w:rPr>
      </w:pPr>
      <w:bookmarkStart w:id="7" w:name="bookmark7"/>
      <w:bookmarkEnd w:id="7"/>
      <w:bookmarkStart w:id="8" w:name="bookmark87"/>
      <w:bookmarkEnd w:id="8"/>
      <w:r>
        <w:rPr>
          <w:color w:val="404040"/>
          <w:sz w:val="28"/>
          <w:szCs w:val="28"/>
          <w14:textOutline w14:w="5094">
            <w14:solidFill>
              <w14:srgbClr w14:val="404040"/>
            </w14:solidFill>
            <w14:prstDash w14:val="solid"/>
            <w14:miter w14:lim="10"/>
          </w14:textOutline>
        </w:rPr>
        <w:t>2.华利集团：运动鞋制造全球领先企业</w:t>
      </w:r>
    </w:p>
    <w:p>
      <w:pPr>
        <w:pStyle w:val="BodyText"/>
        <w:spacing w:before="83" w:line="235" w:lineRule="auto"/>
        <w:ind w:left="2169" w:firstLine="28"/>
        <w:jc w:val="both"/>
        <w:rPr>
          <w:sz w:val="21"/>
          <w:szCs w:val="21"/>
        </w:rPr>
      </w:pPr>
      <w:r>
        <w:rPr>
          <w:color w:val="404040"/>
          <w:spacing w:val="-5"/>
          <w:sz w:val="21"/>
          <w:szCs w:val="21"/>
        </w:rPr>
        <w:t>中山华利实业集团股份有限公司于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2004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年成立，总部位于广东省中山市，于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2021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</w:t>
      </w:r>
      <w:r>
        <w:rPr>
          <w:color w:val="404040"/>
          <w:spacing w:val="-52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4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月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26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1"/>
          <w:sz w:val="21"/>
          <w:szCs w:val="21"/>
        </w:rPr>
        <w:t>日在深交所上市。公司从事运动鞋履的开发设计、生产与销售，主要产品包含运动休闲鞋、</w:t>
      </w:r>
      <w:r>
        <w:rPr>
          <w:color w:val="404040"/>
          <w:spacing w:val="14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户外靴鞋、运动凉鞋/拖鞋等，服务如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Nike</w:t>
      </w:r>
      <w:r>
        <w:rPr>
          <w:color w:val="404040"/>
          <w:spacing w:val="-29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集团、</w:t>
      </w:r>
      <w:r>
        <w:rPr>
          <w:color w:val="404040"/>
          <w:spacing w:val="-3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VF、Deckers、Puma、Columbi</w:t>
      </w:r>
      <w:r>
        <w:rPr>
          <w:color w:val="404040"/>
          <w:spacing w:val="-3"/>
          <w:sz w:val="21"/>
          <w:szCs w:val="21"/>
        </w:rPr>
        <w:t>a</w:t>
      </w:r>
      <w:r>
        <w:rPr>
          <w:color w:val="404040"/>
          <w:spacing w:val="-3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等知名品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牌。2022</w:t>
      </w:r>
      <w:r>
        <w:rPr>
          <w:color w:val="404040"/>
          <w:spacing w:val="-1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年，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华利集团员工规模超过</w:t>
      </w:r>
      <w:r>
        <w:rPr>
          <w:color w:val="404040"/>
          <w:spacing w:val="-25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15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万人，是运动鞋制造业中员工规模较大的集团。华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1"/>
          <w:sz w:val="21"/>
          <w:szCs w:val="21"/>
        </w:rPr>
        <w:t>利是运动品牌巨头耐克的鞋类主要供应商之一，在耐克的鞋类供应链中以生产人员规模计，</w:t>
      </w:r>
      <w:r>
        <w:rPr>
          <w:color w:val="404040"/>
          <w:spacing w:val="1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排名第六。</w:t>
      </w:r>
    </w:p>
    <w:p>
      <w:pPr>
        <w:spacing w:line="235" w:lineRule="auto"/>
        <w:rPr>
          <w:sz w:val="21"/>
          <w:szCs w:val="21"/>
        </w:rPr>
        <w:sectPr>
          <w:headerReference w:type="default" r:id="rId34"/>
          <w:footerReference w:type="default" r:id="rId35"/>
          <w:pgSz w:w="11907" w:h="16839"/>
          <w:pgMar w:top="1064" w:right="607" w:bottom="803" w:left="674" w:header="884" w:footer="567" w:gutter="0"/>
          <w:pgNumType w:start="9"/>
          <w:cols w:num="1" w:space="708" w:equalWidth="0">
            <w:col w:w="10625" w:space="0"/>
          </w:cols>
        </w:sectPr>
      </w:pPr>
    </w:p>
    <w:p>
      <w:pPr>
        <w:pStyle w:val="BodyText"/>
        <w:spacing w:before="42" w:line="214" w:lineRule="auto"/>
        <w:ind w:left="33"/>
        <w:rPr>
          <w:sz w:val="21"/>
          <w:szCs w:val="21"/>
        </w:rPr>
      </w:pPr>
      <w:bookmarkStart w:id="9" w:name="bookmark26"/>
      <w:bookmarkEnd w:id="9"/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图1.公司产品一览</w:t>
      </w:r>
    </w:p>
    <w:p>
      <w:pPr>
        <w:spacing w:line="2969" w:lineRule="exact"/>
      </w:pPr>
      <w:r>
        <w:rPr>
          <w:position w:val="-59"/>
        </w:rPr>
        <w:drawing>
          <wp:inline distT="0" distB="0" distL="0" distR="0">
            <wp:extent cx="3153790" cy="188556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153790" cy="188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" w:line="213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4"/>
          <w:sz w:val="16"/>
          <w:szCs w:val="16"/>
        </w:rPr>
        <w:t>资料来源：华利集团2022年社会责任报告，国投证券研究中心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8" w:line="186" w:lineRule="auto"/>
        <w:ind w:left="2198"/>
        <w:rPr>
          <w:sz w:val="21"/>
          <w:szCs w:val="21"/>
        </w:rPr>
      </w:pPr>
      <w:bookmarkStart w:id="10" w:name="bookmark28"/>
      <w:bookmarkEnd w:id="10"/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图3.公司合作品牌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4" w:lineRule="auto"/>
        <w:ind w:left="31"/>
        <w:rPr>
          <w:sz w:val="21"/>
          <w:szCs w:val="21"/>
        </w:rPr>
      </w:pPr>
      <w:bookmarkStart w:id="11" w:name="bookmark27"/>
      <w:bookmarkEnd w:id="11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图2.华利集团是耐克主要鞋类供应商</w:t>
      </w:r>
    </w:p>
    <w:tbl>
      <w:tblPr>
        <w:tblStyle w:val="TableNormal1"/>
        <w:tblW w:w="53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40"/>
        <w:gridCol w:w="1222"/>
        <w:gridCol w:w="1581"/>
        <w:gridCol w:w="812"/>
      </w:tblGrid>
      <w:tr>
        <w:tblPrEx>
          <w:tblW w:w="535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22"/>
        </w:trPr>
        <w:tc>
          <w:tcPr>
            <w:tcW w:w="1740" w:type="dxa"/>
            <w:tcBorders>
              <w:top w:val="single" w:sz="4" w:space="0" w:color="000000"/>
              <w:bottom w:val="single" w:sz="2" w:space="0" w:color="00000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7" w:lineRule="auto"/>
              <w:ind w:left="218"/>
            </w:pP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鞋类供应商集团</w:t>
            </w:r>
          </w:p>
        </w:tc>
        <w:tc>
          <w:tcPr>
            <w:tcW w:w="1222" w:type="dxa"/>
            <w:tcBorders>
              <w:top w:val="single" w:sz="4" w:space="0" w:color="000000"/>
              <w:bottom w:val="single" w:sz="2" w:space="0" w:color="00000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7" w:lineRule="auto"/>
              <w:ind w:left="619"/>
            </w:pPr>
            <w:r>
              <w:rPr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属地</w:t>
            </w:r>
          </w:p>
        </w:tc>
        <w:tc>
          <w:tcPr>
            <w:tcW w:w="1581" w:type="dxa"/>
            <w:tcBorders>
              <w:top w:val="single" w:sz="4" w:space="0" w:color="000000"/>
              <w:bottom w:val="single" w:sz="2" w:space="0" w:color="000000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246"/>
            </w:pPr>
            <w:r>
              <w:rPr>
                <w:spacing w:val="-2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生产人员规模</w:t>
            </w:r>
          </w:p>
        </w:tc>
        <w:tc>
          <w:tcPr>
            <w:tcW w:w="812" w:type="dxa"/>
            <w:vMerge w:val="restart"/>
            <w:tcBorders>
              <w:top w:val="single" w:sz="4" w:space="0" w:color="000000"/>
              <w:bottom w:val="nil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5" w:lineRule="auto"/>
              <w:ind w:left="266"/>
            </w:pPr>
            <w:r>
              <w:rPr>
                <w:spacing w:val="-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占比</w:t>
            </w:r>
          </w:p>
          <w:p>
            <w:pPr>
              <w:pStyle w:val="TableText"/>
              <w:spacing w:before="120" w:line="182" w:lineRule="auto"/>
              <w:ind w:left="341"/>
            </w:pPr>
            <w:r>
              <w:rPr>
                <w:spacing w:val="-4"/>
              </w:rPr>
              <w:t>16%</w:t>
            </w:r>
          </w:p>
        </w:tc>
      </w:tr>
      <w:tr>
        <w:tblPrEx>
          <w:tblW w:w="5355" w:type="dxa"/>
          <w:tblInd w:w="0" w:type="dxa"/>
          <w:tblLayout w:type="fixed"/>
        </w:tblPrEx>
        <w:trPr>
          <w:trHeight w:val="300"/>
        </w:trPr>
        <w:tc>
          <w:tcPr>
            <w:tcW w:w="1740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61" w:line="215" w:lineRule="auto"/>
              <w:ind w:left="222"/>
            </w:pPr>
            <w:r>
              <w:rPr>
                <w:spacing w:val="-3"/>
              </w:rPr>
              <w:t>丰泰</w:t>
            </w:r>
          </w:p>
        </w:tc>
        <w:tc>
          <w:tcPr>
            <w:tcW w:w="1222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61" w:line="217" w:lineRule="auto"/>
              <w:ind w:left="287"/>
            </w:pPr>
            <w:r>
              <w:rPr>
                <w:spacing w:val="-6"/>
              </w:rPr>
              <w:t>中国台湾</w:t>
            </w:r>
          </w:p>
        </w:tc>
        <w:tc>
          <w:tcPr>
            <w:tcW w:w="1581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9" w:line="183" w:lineRule="auto"/>
              <w:ind w:left="794"/>
            </w:pPr>
            <w:r>
              <w:rPr>
                <w:spacing w:val="-3"/>
              </w:rPr>
              <w:t>115321</w:t>
            </w:r>
          </w:p>
        </w:tc>
        <w:tc>
          <w:tcPr>
            <w:tcW w:w="8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355" w:type="dxa"/>
          <w:tblInd w:w="0" w:type="dxa"/>
          <w:tblLayout w:type="fixed"/>
        </w:tblPrEx>
        <w:trPr>
          <w:trHeight w:val="298"/>
        </w:trPr>
        <w:tc>
          <w:tcPr>
            <w:tcW w:w="1740" w:type="dxa"/>
            <w:vAlign w:val="top"/>
          </w:tcPr>
          <w:p>
            <w:pPr>
              <w:pStyle w:val="TableText"/>
              <w:spacing w:before="90" w:line="182" w:lineRule="auto"/>
              <w:ind w:left="221"/>
            </w:pPr>
            <w:r>
              <w:rPr>
                <w:spacing w:val="-1"/>
              </w:rPr>
              <w:t>TAEKWANG</w:t>
            </w:r>
          </w:p>
        </w:tc>
        <w:tc>
          <w:tcPr>
            <w:tcW w:w="1222" w:type="dxa"/>
            <w:vAlign w:val="top"/>
          </w:tcPr>
          <w:p>
            <w:pPr>
              <w:pStyle w:val="TableText"/>
              <w:spacing w:before="61" w:line="216" w:lineRule="auto"/>
              <w:ind w:left="624"/>
            </w:pPr>
            <w:r>
              <w:rPr>
                <w:spacing w:val="-2"/>
              </w:rPr>
              <w:t>韩国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89" w:line="183" w:lineRule="auto"/>
              <w:ind w:left="871"/>
            </w:pPr>
            <w:r>
              <w:rPr>
                <w:spacing w:val="-1"/>
              </w:rPr>
              <w:t>80946</w:t>
            </w:r>
          </w:p>
        </w:tc>
        <w:tc>
          <w:tcPr>
            <w:tcW w:w="812" w:type="dxa"/>
            <w:vAlign w:val="top"/>
          </w:tcPr>
          <w:p>
            <w:pPr>
              <w:pStyle w:val="TableText"/>
              <w:spacing w:before="90" w:line="182" w:lineRule="auto"/>
              <w:ind w:left="341"/>
            </w:pPr>
            <w:r>
              <w:rPr>
                <w:spacing w:val="-4"/>
              </w:rPr>
              <w:t>11%</w:t>
            </w:r>
          </w:p>
        </w:tc>
      </w:tr>
      <w:tr>
        <w:tblPrEx>
          <w:tblW w:w="5355" w:type="dxa"/>
          <w:tblInd w:w="0" w:type="dxa"/>
          <w:tblLayout w:type="fixed"/>
        </w:tblPrEx>
        <w:trPr>
          <w:trHeight w:val="299"/>
        </w:trPr>
        <w:tc>
          <w:tcPr>
            <w:tcW w:w="1740" w:type="dxa"/>
            <w:vAlign w:val="top"/>
          </w:tcPr>
          <w:p>
            <w:pPr>
              <w:pStyle w:val="TableText"/>
              <w:spacing w:before="63" w:line="228" w:lineRule="auto"/>
              <w:ind w:left="216"/>
            </w:pPr>
            <w:r>
              <w:rPr>
                <w:spacing w:val="-1"/>
              </w:rPr>
              <w:t>裕元</w:t>
            </w:r>
          </w:p>
        </w:tc>
        <w:tc>
          <w:tcPr>
            <w:tcW w:w="1222" w:type="dxa"/>
            <w:vAlign w:val="top"/>
          </w:tcPr>
          <w:p>
            <w:pPr>
              <w:pStyle w:val="TableText"/>
              <w:spacing w:before="63" w:line="217" w:lineRule="auto"/>
              <w:ind w:left="287"/>
            </w:pPr>
            <w:r>
              <w:rPr>
                <w:spacing w:val="-6"/>
              </w:rPr>
              <w:t>中国台湾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91" w:line="183" w:lineRule="auto"/>
              <w:ind w:left="871"/>
            </w:pPr>
            <w:r>
              <w:rPr>
                <w:spacing w:val="-1"/>
              </w:rPr>
              <w:t>82542</w:t>
            </w:r>
          </w:p>
        </w:tc>
        <w:tc>
          <w:tcPr>
            <w:tcW w:w="812" w:type="dxa"/>
            <w:vAlign w:val="top"/>
          </w:tcPr>
          <w:p>
            <w:pPr>
              <w:pStyle w:val="TableText"/>
              <w:spacing w:before="92" w:line="182" w:lineRule="auto"/>
              <w:ind w:left="341"/>
            </w:pPr>
            <w:r>
              <w:rPr>
                <w:spacing w:val="-4"/>
              </w:rPr>
              <w:t>11%</w:t>
            </w:r>
          </w:p>
        </w:tc>
      </w:tr>
      <w:tr>
        <w:tblPrEx>
          <w:tblW w:w="5355" w:type="dxa"/>
          <w:tblInd w:w="0" w:type="dxa"/>
          <w:tblLayout w:type="fixed"/>
        </w:tblPrEx>
        <w:trPr>
          <w:trHeight w:val="298"/>
        </w:trPr>
        <w:tc>
          <w:tcPr>
            <w:tcW w:w="1740" w:type="dxa"/>
            <w:vAlign w:val="top"/>
          </w:tcPr>
          <w:p>
            <w:pPr>
              <w:pStyle w:val="TableText"/>
              <w:spacing w:before="94" w:line="182" w:lineRule="auto"/>
              <w:ind w:left="219"/>
            </w:pPr>
            <w:r>
              <w:rPr>
                <w:spacing w:val="-1"/>
              </w:rPr>
              <w:t>CHANGSHIN</w:t>
            </w:r>
          </w:p>
        </w:tc>
        <w:tc>
          <w:tcPr>
            <w:tcW w:w="1222" w:type="dxa"/>
            <w:vAlign w:val="top"/>
          </w:tcPr>
          <w:p>
            <w:pPr>
              <w:pStyle w:val="TableText"/>
              <w:spacing w:before="64" w:line="216" w:lineRule="auto"/>
              <w:ind w:left="624"/>
            </w:pPr>
            <w:r>
              <w:rPr>
                <w:spacing w:val="-2"/>
              </w:rPr>
              <w:t>韩国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93" w:line="183" w:lineRule="auto"/>
              <w:ind w:left="874"/>
            </w:pPr>
            <w:r>
              <w:rPr>
                <w:spacing w:val="-2"/>
              </w:rPr>
              <w:t>72789</w:t>
            </w:r>
          </w:p>
        </w:tc>
        <w:tc>
          <w:tcPr>
            <w:tcW w:w="812" w:type="dxa"/>
            <w:vAlign w:val="top"/>
          </w:tcPr>
          <w:p>
            <w:pPr>
              <w:pStyle w:val="TableText"/>
              <w:spacing w:before="93" w:line="183" w:lineRule="auto"/>
              <w:ind w:left="341"/>
            </w:pPr>
            <w:r>
              <w:rPr>
                <w:spacing w:val="-4"/>
              </w:rPr>
              <w:t>10%</w:t>
            </w:r>
          </w:p>
        </w:tc>
      </w:tr>
      <w:tr>
        <w:tblPrEx>
          <w:tblW w:w="5355" w:type="dxa"/>
          <w:tblInd w:w="0" w:type="dxa"/>
          <w:tblLayout w:type="fixed"/>
        </w:tblPrEx>
        <w:trPr>
          <w:trHeight w:val="301"/>
        </w:trPr>
        <w:tc>
          <w:tcPr>
            <w:tcW w:w="1740" w:type="dxa"/>
            <w:vAlign w:val="top"/>
          </w:tcPr>
          <w:p>
            <w:pPr>
              <w:pStyle w:val="TableText"/>
              <w:spacing w:before="66" w:line="215" w:lineRule="auto"/>
              <w:ind w:left="230"/>
            </w:pPr>
            <w:r>
              <w:rPr>
                <w:spacing w:val="-5"/>
              </w:rPr>
              <w:t>清禄</w:t>
            </w:r>
          </w:p>
        </w:tc>
        <w:tc>
          <w:tcPr>
            <w:tcW w:w="1222" w:type="dxa"/>
            <w:vAlign w:val="top"/>
          </w:tcPr>
          <w:p>
            <w:pPr>
              <w:pStyle w:val="TableText"/>
              <w:spacing w:before="67" w:line="217" w:lineRule="auto"/>
              <w:ind w:left="287"/>
            </w:pPr>
            <w:r>
              <w:rPr>
                <w:spacing w:val="-6"/>
              </w:rPr>
              <w:t>中国台湾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95" w:line="183" w:lineRule="auto"/>
              <w:ind w:left="869"/>
            </w:pPr>
            <w:r>
              <w:rPr>
                <w:spacing w:val="-1"/>
              </w:rPr>
              <w:t>59949</w:t>
            </w:r>
          </w:p>
        </w:tc>
        <w:tc>
          <w:tcPr>
            <w:tcW w:w="812" w:type="dxa"/>
            <w:vAlign w:val="top"/>
          </w:tcPr>
          <w:p>
            <w:pPr>
              <w:pStyle w:val="TableText"/>
              <w:spacing w:before="96" w:line="182" w:lineRule="auto"/>
              <w:ind w:left="421"/>
            </w:pPr>
            <w:r>
              <w:rPr>
                <w:spacing w:val="-1"/>
              </w:rPr>
              <w:t>8%</w:t>
            </w:r>
          </w:p>
        </w:tc>
      </w:tr>
      <w:tr>
        <w:tblPrEx>
          <w:tblW w:w="5355" w:type="dxa"/>
          <w:tblInd w:w="0" w:type="dxa"/>
          <w:tblLayout w:type="fixed"/>
        </w:tblPrEx>
        <w:trPr>
          <w:trHeight w:val="726"/>
        </w:trPr>
        <w:tc>
          <w:tcPr>
            <w:tcW w:w="1740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5" w:line="217" w:lineRule="auto"/>
              <w:ind w:left="227"/>
            </w:pPr>
            <w:r>
              <w:rPr>
                <w:spacing w:val="-3"/>
              </w:rPr>
              <w:t>华利集团</w:t>
            </w:r>
          </w:p>
        </w:tc>
        <w:tc>
          <w:tcPr>
            <w:tcW w:w="1222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6" w:line="217" w:lineRule="auto"/>
              <w:ind w:left="287"/>
            </w:pPr>
            <w:r>
              <w:rPr>
                <w:spacing w:val="-6"/>
              </w:rPr>
              <w:t>中国中山</w:t>
            </w:r>
          </w:p>
        </w:tc>
        <w:tc>
          <w:tcPr>
            <w:tcW w:w="1581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94" w:line="183" w:lineRule="auto"/>
              <w:ind w:left="869"/>
            </w:pPr>
            <w:r>
              <w:rPr>
                <w:spacing w:val="-1"/>
              </w:rPr>
              <w:t>59602</w:t>
            </w:r>
          </w:p>
        </w:tc>
        <w:tc>
          <w:tcPr>
            <w:tcW w:w="812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95" w:line="182" w:lineRule="auto"/>
              <w:ind w:left="421"/>
            </w:pPr>
            <w:r>
              <w:rPr>
                <w:spacing w:val="-1"/>
              </w:rPr>
              <w:t>8%</w:t>
            </w:r>
          </w:p>
        </w:tc>
      </w:tr>
    </w:tbl>
    <w:p>
      <w:pPr>
        <w:pStyle w:val="BodyText"/>
        <w:spacing w:before="22" w:line="213" w:lineRule="auto"/>
        <w:ind w:left="3"/>
        <w:rPr>
          <w:sz w:val="16"/>
          <w:szCs w:val="16"/>
        </w:rPr>
      </w:pPr>
      <w:r>
        <w:rPr>
          <w:i/>
          <w:iCs/>
          <w:color w:val="404040"/>
          <w:spacing w:val="-1"/>
          <w:sz w:val="16"/>
          <w:szCs w:val="16"/>
        </w:rPr>
        <w:t>资料来源：耐克供应商名册，</w:t>
      </w:r>
      <w:r>
        <w:rPr>
          <w:color w:val="404040"/>
          <w:spacing w:val="-17"/>
          <w:sz w:val="16"/>
          <w:szCs w:val="16"/>
        </w:rPr>
        <w:t xml:space="preserve"> </w:t>
      </w:r>
      <w:r>
        <w:rPr>
          <w:i/>
          <w:iCs/>
          <w:color w:val="404040"/>
          <w:spacing w:val="-1"/>
          <w:sz w:val="16"/>
          <w:szCs w:val="16"/>
        </w:rPr>
        <w:t>国投证券研究中心</w:t>
      </w:r>
    </w:p>
    <w:p>
      <w:pPr>
        <w:spacing w:line="213" w:lineRule="auto"/>
        <w:rPr>
          <w:sz w:val="16"/>
          <w:szCs w:val="16"/>
        </w:rPr>
        <w:sectPr>
          <w:headerReference w:type="default" r:id="rId37"/>
          <w:footerReference w:type="default" r:id="rId38"/>
          <w:type w:val="continuous"/>
          <w:pgSz w:w="11907" w:h="16839"/>
          <w:pgMar w:top="1064" w:right="607" w:bottom="803" w:left="674" w:header="884" w:footer="567" w:gutter="0"/>
          <w:pgNumType w:start="10"/>
          <w:cols w:num="2" w:space="708" w:equalWidth="0">
            <w:col w:w="5105" w:space="100"/>
            <w:col w:w="5421" w:space="0"/>
          </w:cols>
        </w:sectPr>
      </w:pPr>
    </w:p>
    <w:p>
      <w:pPr>
        <w:spacing w:before="33" w:line="2503" w:lineRule="exact"/>
        <w:ind w:firstLine="2165"/>
      </w:pPr>
      <w:r>
        <w:rPr>
          <w:position w:val="-50"/>
        </w:rPr>
        <w:pict>
          <v:group id="_x0000_i1055" style="width:419.35pt;height:125.2pt;mso-position-horizontal-relative:char;mso-position-vertical-relative:line" coordorigin="0,0" coordsize="8387,2503" filled="f" stroked="f">
            <v:rect id="_x0000_s1056" style="width:8387;height:15;position:absolute" filled="t" fillcolor="#595959" stroked="f"/>
            <v:rect id="_x0000_s1057" style="width:8387;height:15;position:absolute;top:2489" filled="t" fillcolor="#595959" stroked="f"/>
            <w10:wrap type="none"/>
          </v:group>
        </w:pict>
      </w:r>
    </w:p>
    <w:p>
      <w:pPr>
        <w:pStyle w:val="BodyText"/>
        <w:spacing w:before="25" w:line="213" w:lineRule="auto"/>
        <w:ind w:left="2170"/>
        <w:rPr>
          <w:sz w:val="16"/>
          <w:szCs w:val="16"/>
        </w:rPr>
      </w:pPr>
      <w:r>
        <w:rPr>
          <w:i/>
          <w:iCs/>
          <w:color w:val="404040"/>
          <w:spacing w:val="-1"/>
          <w:sz w:val="16"/>
          <w:szCs w:val="16"/>
        </w:rPr>
        <w:t>资料来源：公司官网，</w:t>
      </w:r>
      <w:r>
        <w:rPr>
          <w:color w:val="404040"/>
          <w:spacing w:val="-20"/>
          <w:sz w:val="16"/>
          <w:szCs w:val="16"/>
        </w:rPr>
        <w:t xml:space="preserve"> </w:t>
      </w:r>
      <w:r>
        <w:rPr>
          <w:i/>
          <w:iCs/>
          <w:color w:val="404040"/>
          <w:spacing w:val="-1"/>
          <w:sz w:val="16"/>
          <w:szCs w:val="16"/>
        </w:rPr>
        <w:t>国投证券研究中心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33" w:lineRule="auto"/>
        <w:ind w:left="2165" w:right="66" w:firstLine="1"/>
        <w:jc w:val="both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公司产能持续保持饱满。</w:t>
      </w:r>
      <w:r>
        <w:rPr>
          <w:color w:val="404040"/>
          <w:spacing w:val="-3"/>
          <w:sz w:val="21"/>
          <w:szCs w:val="21"/>
        </w:rPr>
        <w:t>公司产能近年来一直不断提升，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从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2017</w:t>
      </w:r>
      <w:r>
        <w:rPr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年的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1.4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亿双</w:t>
      </w:r>
      <w:r>
        <w:rPr>
          <w:color w:val="404040"/>
          <w:spacing w:val="-4"/>
          <w:sz w:val="21"/>
          <w:szCs w:val="21"/>
        </w:rPr>
        <w:t>产能提升至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2022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年的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2.4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亿双。公司产能持续保持饱满，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近年来产</w:t>
      </w:r>
      <w:r>
        <w:rPr>
          <w:color w:val="404040"/>
          <w:spacing w:val="-3"/>
          <w:sz w:val="21"/>
          <w:szCs w:val="21"/>
        </w:rPr>
        <w:t>能率均保持在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90%以上。为了应对日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益增长需求，华利目前积极推进印尼新工厂的建设，根据公司对外披</w:t>
      </w:r>
      <w:r>
        <w:rPr>
          <w:color w:val="404040"/>
          <w:spacing w:val="-1"/>
          <w:sz w:val="21"/>
          <w:szCs w:val="21"/>
        </w:rPr>
        <w:t>露的调研信息显示，印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尼两期工厂预计产能将达到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5000-6000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万双/年，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首期工程将</w:t>
      </w:r>
      <w:r>
        <w:rPr>
          <w:color w:val="404040"/>
          <w:spacing w:val="-4"/>
          <w:sz w:val="21"/>
          <w:szCs w:val="21"/>
        </w:rPr>
        <w:t>于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2023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年实现投产。</w:t>
      </w:r>
    </w:p>
    <w:p>
      <w:pPr>
        <w:spacing w:before="30"/>
      </w:pPr>
    </w:p>
    <w:p>
      <w:pPr>
        <w:sectPr>
          <w:headerReference w:type="default" r:id="rId39"/>
          <w:footerReference w:type="default" r:id="rId40"/>
          <w:type w:val="continuous"/>
          <w:pgSz w:w="11907" w:h="16839"/>
          <w:pgMar w:top="1064" w:right="607" w:bottom="803" w:left="674" w:header="884" w:footer="567" w:gutter="0"/>
          <w:pgNumType w:start="11"/>
          <w:cols w:num="1" w:space="708" w:equalWidth="0">
            <w:col w:w="10625" w:space="0"/>
          </w:cols>
        </w:sectPr>
      </w:pPr>
    </w:p>
    <w:p>
      <w:pPr>
        <w:pStyle w:val="BodyText"/>
        <w:spacing w:before="43" w:line="216" w:lineRule="auto"/>
        <w:ind w:left="33"/>
        <w:rPr>
          <w:sz w:val="21"/>
          <w:szCs w:val="21"/>
        </w:rPr>
      </w:pPr>
      <w:bookmarkStart w:id="12" w:name="bookmark29"/>
      <w:bookmarkEnd w:id="12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图4.华利产能不断增长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52" w:line="216" w:lineRule="auto"/>
        <w:ind w:left="1449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19" cy="4572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8"/>
          <w:sz w:val="16"/>
          <w:szCs w:val="16"/>
        </w:rPr>
        <w:t xml:space="preserve"> </w:t>
      </w:r>
      <w:r>
        <w:rPr>
          <w:color w:val="404040"/>
          <w:spacing w:val="-10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产能（亿双）</w:t>
      </w:r>
      <w:r>
        <w:rPr>
          <w:color w:val="404040"/>
          <w:spacing w:val="15"/>
          <w:sz w:val="16"/>
          <w:szCs w:val="16"/>
        </w:rPr>
        <w:t xml:space="preserve">  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2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5"/>
          <w:sz w:val="16"/>
          <w:szCs w:val="16"/>
        </w:rPr>
        <w:t xml:space="preserve"> </w:t>
      </w:r>
      <w:r>
        <w:rPr>
          <w:color w:val="404040"/>
          <w:spacing w:val="-10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产量（亿双）</w:t>
      </w:r>
    </w:p>
    <w:p>
      <w:pPr>
        <w:pStyle w:val="BodyText"/>
        <w:spacing w:before="191" w:line="404" w:lineRule="exact"/>
        <w:ind w:left="387"/>
        <w:rPr>
          <w:sz w:val="18"/>
          <w:szCs w:val="18"/>
        </w:rPr>
      </w:pPr>
      <w:r>
        <w:rPr>
          <w:color w:val="404040"/>
          <w:spacing w:val="-2"/>
          <w:position w:val="2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3.0</w:t>
      </w:r>
    </w:p>
    <w:p>
      <w:pPr>
        <w:pStyle w:val="BodyText"/>
        <w:spacing w:line="183" w:lineRule="auto"/>
        <w:ind w:left="386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2.0</w:t>
      </w:r>
    </w:p>
    <w:p>
      <w:pPr>
        <w:pStyle w:val="BodyText"/>
        <w:spacing w:before="226" w:line="183" w:lineRule="auto"/>
        <w:ind w:left="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1.0</w:t>
      </w:r>
    </w:p>
    <w:p>
      <w:pPr>
        <w:pStyle w:val="BodyText"/>
        <w:spacing w:before="225" w:line="183" w:lineRule="auto"/>
        <w:ind w:left="386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0.0</w:t>
      </w:r>
    </w:p>
    <w:p>
      <w:pPr>
        <w:pStyle w:val="BodyText"/>
        <w:spacing w:before="15" w:line="183" w:lineRule="auto"/>
        <w:ind w:left="1026"/>
        <w:rPr>
          <w:sz w:val="18"/>
          <w:szCs w:val="18"/>
        </w:rPr>
      </w:pP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2017</w:t>
      </w:r>
      <w:r>
        <w:rPr>
          <w:color w:val="404040"/>
          <w:sz w:val="18"/>
          <w:szCs w:val="18"/>
        </w:rPr>
        <w:t xml:space="preserve">  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3"/>
          <w:sz w:val="18"/>
          <w:szCs w:val="18"/>
        </w:rPr>
        <w:t xml:space="preserve">  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z w:val="18"/>
          <w:szCs w:val="18"/>
        </w:rPr>
        <w:t xml:space="preserve">  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020</w:t>
      </w:r>
      <w:r>
        <w:rPr>
          <w:color w:val="404040"/>
          <w:spacing w:val="3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2021</w:t>
      </w:r>
      <w:r>
        <w:rPr>
          <w:color w:val="404040"/>
          <w:spacing w:val="2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spacing w:line="319" w:lineRule="auto"/>
        <w:rPr>
          <w:rFonts w:ascii="Arial"/>
          <w:sz w:val="21"/>
        </w:rPr>
        <w:sectPr>
          <w:headerReference w:type="default" r:id="rId43"/>
          <w:footerReference w:type="default" r:id="rId44"/>
          <w:type w:val="continuous"/>
          <w:pgSz w:w="11907" w:h="16839"/>
          <w:pgMar w:top="1064" w:right="607" w:bottom="803" w:left="674" w:header="884" w:footer="567" w:gutter="0"/>
          <w:pgNumType w:start="12"/>
          <w:cols w:num="2" w:space="708" w:equalWidth="0">
            <w:col w:w="5299" w:space="100"/>
            <w:col w:w="5226" w:space="0"/>
          </w:cols>
        </w:sectPr>
      </w:pPr>
    </w:p>
    <w:p>
      <w:pPr>
        <w:pStyle w:val="BodyText"/>
        <w:spacing w:before="53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1"/>
          <w:sz w:val="16"/>
          <w:szCs w:val="16"/>
        </w:rPr>
        <w:t>资料来源：招股说明书，公司年报，国投证券研究中心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6" w:lineRule="auto"/>
        <w:ind w:left="33"/>
        <w:rPr>
          <w:sz w:val="21"/>
          <w:szCs w:val="21"/>
        </w:rPr>
      </w:pPr>
      <w:bookmarkStart w:id="13" w:name="bookmark30"/>
      <w:bookmarkEnd w:id="13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图5.产能利用率保持高位</w:t>
      </w:r>
    </w:p>
    <w:p>
      <w:pPr>
        <w:spacing w:before="200"/>
      </w:pPr>
    </w:p>
    <w:tbl>
      <w:tblPr>
        <w:tblStyle w:val="TableNormal2"/>
        <w:tblW w:w="4293" w:type="dxa"/>
        <w:tblInd w:w="39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1"/>
        <w:gridCol w:w="3902"/>
      </w:tblGrid>
      <w:tr>
        <w:tblPrEx>
          <w:tblW w:w="4293" w:type="dxa"/>
          <w:tblInd w:w="39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46"/>
        </w:trPr>
        <w:tc>
          <w:tcPr>
            <w:tcW w:w="391" w:type="dxa"/>
            <w:vAlign w:val="top"/>
          </w:tcPr>
          <w:p>
            <w:pPr>
              <w:pStyle w:val="TableText"/>
              <w:spacing w:line="182" w:lineRule="auto"/>
            </w:pPr>
            <w:r>
              <w:rPr>
                <w:color w:val="404040"/>
                <w:spacing w:val="-4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100%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76"/>
            </w:pPr>
            <w:r>
              <w:rPr>
                <w:color w:val="404040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90%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79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80%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183" w:lineRule="auto"/>
              <w:ind w:left="82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70%</w:t>
            </w:r>
          </w:p>
        </w:tc>
        <w:tc>
          <w:tcPr>
            <w:tcW w:w="3902" w:type="dxa"/>
            <w:vAlign w:val="top"/>
          </w:tcPr>
          <w:p>
            <w:pPr>
              <w:spacing w:before="57" w:line="1581" w:lineRule="exact"/>
              <w:ind w:firstLine="44"/>
            </w:pPr>
            <w:r>
              <w:rPr>
                <w:position w:val="-31"/>
              </w:rPr>
              <w:pict>
                <v:group id="_x0000_i1058" style="width:192.9pt;height:79.05pt;mso-position-horizontal-relative:char;mso-position-vertical-relative:line" coordorigin="0,0" coordsize="3857,1581" filled="f" stroked="f">
                  <v:shape id="_x0000_s1059" style="width:3857;height:1581;position:absolute" coordorigin="0,0" coordsize="3857,1581" path="m51,1529l51,2m,1529l51,1529m,1019l51,1019m,510l51,510m,2l51,2m51,1529l3855,1529m51,1529l51,1580m685,1529l685,1580m1319,1529l1319,1580m1952,1529l1952,1580m2586,1529l2586,1580m3222,1529l3222,1580m3855,1529l3855,1580e" filled="f" strokecolor="#404040" strokeweight="0.25pt"/>
                  <v:shape id="_x0000_s1060" style="width:3190;height:310;left:358;position:absolute;top:202" coordorigin="0,0" coordsize="3190,310" path="m10,299l643,58l1277,39l1910,262l2546,10l3179,260e" filled="f" strokecolor="#2f5597" strokeweight="1pt">
                    <v:stroke endcap="round"/>
                  </v:shape>
                  <w10:wrap type="none"/>
                </v:group>
              </w:pict>
            </w:r>
          </w:p>
          <w:p>
            <w:pPr>
              <w:pStyle w:val="TableText"/>
              <w:spacing w:before="80" w:line="117" w:lineRule="exact"/>
              <w:ind w:left="238"/>
            </w:pPr>
            <w:r>
              <w:rPr>
                <w:color w:val="404040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2017</w:t>
            </w:r>
            <w:r>
              <w:rPr>
                <w:color w:val="404040"/>
                <w:position w:val="-3"/>
              </w:rPr>
              <w:t xml:space="preserve">   </w:t>
            </w:r>
            <w:r>
              <w:rPr>
                <w:color w:val="404040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2018</w:t>
            </w:r>
            <w:r>
              <w:rPr>
                <w:color w:val="404040"/>
                <w:position w:val="-3"/>
              </w:rPr>
              <w:t xml:space="preserve">   </w:t>
            </w:r>
            <w:r>
              <w:rPr>
                <w:color w:val="404040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2019</w:t>
            </w:r>
            <w:r>
              <w:rPr>
                <w:color w:val="404040"/>
                <w:spacing w:val="3"/>
                <w:position w:val="-3"/>
              </w:rPr>
              <w:t xml:space="preserve">   </w:t>
            </w:r>
            <w:r>
              <w:rPr>
                <w:color w:val="404040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020</w:t>
            </w:r>
            <w:r>
              <w:rPr>
                <w:color w:val="404040"/>
                <w:spacing w:val="2"/>
                <w:position w:val="-3"/>
              </w:rPr>
              <w:t xml:space="preserve"> 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2021</w:t>
            </w:r>
            <w:r>
              <w:rPr>
                <w:color w:val="404040"/>
                <w:spacing w:val="3"/>
                <w:position w:val="-3"/>
              </w:rPr>
              <w:t xml:space="preserve"> 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2022</w:t>
            </w:r>
          </w:p>
        </w:tc>
      </w:tr>
    </w:tbl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52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1"/>
          <w:sz w:val="16"/>
          <w:szCs w:val="16"/>
        </w:rPr>
        <w:t>资料来源：招股说明书，公司年报，国投证券研究中心</w:t>
      </w:r>
    </w:p>
    <w:p>
      <w:pPr>
        <w:spacing w:line="186" w:lineRule="auto"/>
        <w:rPr>
          <w:sz w:val="16"/>
          <w:szCs w:val="16"/>
        </w:rPr>
        <w:sectPr>
          <w:headerReference w:type="default" r:id="rId45"/>
          <w:footerReference w:type="default" r:id="rId46"/>
          <w:type w:val="nextPage"/>
          <w:pgSz w:w="11907" w:h="16839"/>
          <w:pgMar w:top="1064" w:right="607" w:bottom="803" w:left="674" w:header="884" w:footer="567" w:gutter="0"/>
          <w:pgNumType w:start="13"/>
          <w:cols w:num="2" w:space="708" w:equalWidth="0">
            <w:col w:w="5299" w:space="100"/>
            <w:col w:w="5226" w:space="0"/>
          </w:cols>
          <w:titlePg w:val="0"/>
        </w:sectPr>
      </w:pPr>
    </w:p>
    <w:p>
      <w:pPr>
        <w:spacing w:before="126" w:line="436" w:lineRule="exact"/>
        <w:ind w:firstLine="5"/>
      </w:pPr>
      <w:r>
        <w:pict>
          <v:rect id="_x0000_s1061" style="width:258.05pt;height:0.75pt;margin-top:289.61pt;margin-left:33.72pt;mso-position-horizontal-relative:page;mso-position-vertical-relative:page;position:absolute;z-index:251736064" o:allowincell="f" filled="t" fillcolor="black" stroked="f"/>
        </w:pict>
      </w:r>
      <w:r>
        <w:pict>
          <v:rect id="_x0000_s1062" style="width:0.25pt;height:66.65pt;margin-top:417.9pt;margin-left:343.14pt;mso-position-horizontal-relative:page;mso-position-vertical-relative:page;position:absolute;z-index:251732992" o:allowincell="f" filled="t" fillcolor="#404040" stroked="f"/>
        </w:pict>
      </w:r>
      <w:r>
        <w:pict>
          <v:rect id="_x0000_s1063" style="width:40pt;height:1.3pt;margin-top:448.84pt;margin-left:479.14pt;mso-position-horizontal-relative:page;mso-position-vertical-relative:page;position:absolute;z-index:251717632" o:allowincell="f" filled="t" fillcolor="#bbb3b2" stroked="f"/>
        </w:pict>
      </w:r>
      <w:r>
        <w:pict>
          <v:rect id="_x0000_s1064" style="width:0.8pt;height:16.35pt;margin-top:634.18pt;margin-left:200.78pt;mso-position-horizontal-relative:page;mso-position-vertical-relative:page;position:absolute;z-index:251719680" o:allowincell="f" filled="t" fillcolor="black" stroked="f"/>
        </w:pict>
      </w:r>
      <w:r>
        <w:pict>
          <v:rect id="_x0000_s1065" style="width:0.8pt;height:16.35pt;margin-top:634.18pt;margin-left:256.44pt;mso-position-horizontal-relative:page;mso-position-vertical-relative:page;position:absolute;z-index:251720704" o:allowincell="f" filled="t" fillcolor="black" stroked="f"/>
        </w:pict>
      </w:r>
      <w:r>
        <w:pict>
          <v:rect id="_x0000_s1066" style="width:0.8pt;height:16.35pt;margin-top:634.18pt;margin-left:312.1pt;mso-position-horizontal-relative:page;mso-position-vertical-relative:page;position:absolute;z-index:251721728" o:allowincell="f" filled="t" fillcolor="black" stroked="f"/>
        </w:pict>
      </w:r>
      <w:r>
        <w:pict>
          <v:rect id="_x0000_s1067" style="width:0.8pt;height:15.8pt;margin-top:634.18pt;margin-left:367.76pt;mso-position-horizontal-relative:page;mso-position-vertical-relative:page;position:absolute;z-index:251722752" o:allowincell="f" filled="t" fillcolor="black" stroked="f"/>
        </w:pict>
      </w:r>
      <w:r>
        <w:pict>
          <v:rect id="_x0000_s1068" style="width:0.8pt;height:15.8pt;margin-top:634.18pt;margin-left:423.41pt;mso-position-horizontal-relative:page;mso-position-vertical-relative:page;position:absolute;z-index:251731968" o:allowincell="f" filled="t" fillcolor="black" stroked="f"/>
        </w:pict>
      </w:r>
      <w:r>
        <w:pict>
          <v:rect id="_x0000_s1069" style="width:53.55pt;height:2.75pt;margin-top:695.86pt;margin-left:167.39pt;mso-position-horizontal-relative:page;mso-position-vertical-relative:page;position:absolute;z-index:251706368" o:allowincell="f" filled="t" fillcolor="#f9c499" stroked="f"/>
        </w:pict>
      </w:r>
      <w:r>
        <w:pict>
          <v:rect id="_x0000_s1070" style="width:60.1pt;height:2.75pt;margin-top:695.86pt;margin-left:400.89pt;mso-position-horizontal-relative:page;mso-position-vertical-relative:page;position:absolute;z-index:251705344" o:allowincell="f" filled="t" fillcolor="#f9c499" stroked="f"/>
        </w:pict>
      </w:r>
      <w:r>
        <w:pict>
          <v:rect id="_x0000_s1071" style="width:46.45pt;height:2.75pt;margin-top:695.86pt;margin-left:490pt;mso-position-horizontal-relative:page;mso-position-vertical-relative:page;position:absolute;z-index:251710464" o:allowincell="f" filled="t" fillcolor="#f9c499" stroked="f"/>
        </w:pict>
      </w:r>
      <w:r>
        <w:pict>
          <v:shape id="_x0000_s1072" style="width:258.05pt;height:0.75pt;margin-top:165.14pt;margin-left:33.72pt;mso-position-horizontal-relative:page;mso-position-vertical-relative:page;position:absolute;z-index:251702272" coordorigin="0,0" coordsize="5160,15" o:allowincell="f" path="m,14l5160,14l5160,l,l,14xe" filled="t" fillcolor="black" stroked="f"/>
        </w:pict>
      </w:r>
      <w:r>
        <w:pict>
          <v:shape id="_x0000_s1073" style="width:258.05pt;height:0.75pt;margin-top:165.14pt;margin-left:303.65pt;mso-position-horizontal-relative:page;mso-position-vertical-relative:page;position:absolute;z-index:251703296" coordorigin="0,0" coordsize="5160,15" o:allowincell="f" path="m,14l5160,14l5160,l,l,14xe" filled="t" fillcolor="black" stroked="f"/>
        </w:pict>
      </w:r>
      <w:r>
        <w:pict>
          <v:shape id="_x0000_s1074" style="width:258.05pt;height:0.75pt;margin-top:289.61pt;margin-left:303.65pt;mso-position-horizontal-relative:page;mso-position-vertical-relative:page;position:absolute;z-index:251704320" coordorigin="0,0" coordsize="5160,15" o:allowincell="f" path="m,14l5160,14l5160,l,l,14xe" filled="t" fillcolor="black" stroked="f"/>
        </w:pict>
      </w:r>
      <w:r>
        <w:pict>
          <v:shape id="_x0000_s1075" style="width:2.75pt;height:72.6pt;margin-top:185.16pt;margin-left:336.22pt;mso-position-horizontal-relative:page;mso-position-vertical-relative:page;position:absolute;z-index:251701248" coordorigin="0,0" coordsize="55,1451" o:allowincell="f" path="m51,1451l51,2m,1161l51,1161m,871l51,871m,580l51,580m,292l51,292m,2l51,2e" filled="f" strokecolor="#404040" strokeweight="0.25pt"/>
        </w:pict>
      </w:r>
      <w:r>
        <w:pict>
          <v:shape id="_x0000_s1076" type="#_x0000_t202" style="width:10.8pt;height:68.9pt;margin-top:195.64pt;margin-left:321.98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</w:t>
                  </w:r>
                </w:p>
                <w:p>
                  <w:pPr>
                    <w:pStyle w:val="BodyText"/>
                    <w:spacing w:before="112" w:line="182" w:lineRule="auto"/>
                    <w:ind w:left="3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4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15</w:t>
                  </w:r>
                </w:p>
                <w:p>
                  <w:pPr>
                    <w:pStyle w:val="BodyText"/>
                    <w:spacing w:before="111" w:line="183" w:lineRule="auto"/>
                    <w:ind w:left="3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4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10</w:t>
                  </w:r>
                </w:p>
                <w:p>
                  <w:pPr>
                    <w:pStyle w:val="BodyText"/>
                    <w:spacing w:before="114" w:line="180" w:lineRule="auto"/>
                    <w:ind w:left="108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5</w:t>
                  </w:r>
                </w:p>
                <w:p>
                  <w:pPr>
                    <w:pStyle w:val="BodyText"/>
                    <w:spacing w:before="110" w:line="183" w:lineRule="auto"/>
                    <w:ind w:left="11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z w:val="18"/>
                      <w:szCs w:val="18"/>
                      <w14:textOutline w14:w="3265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77" type="#_x0000_t202" style="width:55.9pt;height:11.35pt;margin-top:239.98pt;margin-left:460.7pt;mso-position-horizontal-relative:page;mso-position-vertical-relative:page;position:absolute;z-index:251737088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04040"/>
                      <w:spacing w:val="-7"/>
                      <w:sz w:val="18"/>
                      <w:szCs w:val="18"/>
                    </w:rPr>
                    <w:t>1</w:t>
                  </w:r>
                  <w:r>
                    <w:rPr>
                      <w:rFonts w:ascii="DengXian" w:eastAsia="DengXian" w:hAnsi="DengXian" w:cs="DengXian"/>
                      <w:color w:val="404040"/>
                      <w:spacing w:val="1"/>
                      <w:sz w:val="18"/>
                      <w:szCs w:val="18"/>
                    </w:rPr>
                    <w:t xml:space="preserve">                  </w:t>
                  </w:r>
                  <w:r>
                    <w:rPr>
                      <w:rFonts w:ascii="DengXian" w:eastAsia="DengXian" w:hAnsi="DengXian" w:cs="DengXian"/>
                      <w:color w:val="404040"/>
                      <w:spacing w:val="-7"/>
                      <w:sz w:val="18"/>
                      <w:szCs w:val="18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78" type="#_x0000_t202" style="width:22.5pt;height:77.6pt;margin-top:413.8pt;margin-left:321.91pt;mso-position-horizontal-relative:page;mso-position-vertical-relative:page;position:absolute;z-index:2517340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1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30%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strike/>
                      <w:color w:val="404040"/>
                      <w:sz w:val="18"/>
                      <w:szCs w:val="18"/>
                    </w:rPr>
                    <w:t xml:space="preserve"> </w:t>
                  </w:r>
                </w:p>
                <w:p>
                  <w:pPr>
                    <w:pStyle w:val="BodyText"/>
                    <w:spacing w:before="265" w:line="18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20%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strike/>
                      <w:color w:val="404040"/>
                      <w:spacing w:val="2"/>
                      <w:sz w:val="18"/>
                      <w:szCs w:val="18"/>
                    </w:rPr>
                    <w:t xml:space="preserve"> </w:t>
                  </w:r>
                </w:p>
                <w:p>
                  <w:pPr>
                    <w:pStyle w:val="BodyText"/>
                    <w:spacing w:before="265" w:line="183" w:lineRule="auto"/>
                    <w:ind w:left="3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4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10%</w:t>
                  </w:r>
                  <w:r>
                    <w:rPr>
                      <w:color w:val="404040"/>
                      <w:spacing w:val="-4"/>
                      <w:sz w:val="18"/>
                      <w:szCs w:val="18"/>
                    </w:rPr>
                    <w:t xml:space="preserve"> </w:t>
                  </w:r>
                  <w:r>
                    <w:rPr>
                      <w:strike/>
                      <w:color w:val="404040"/>
                      <w:sz w:val="18"/>
                      <w:szCs w:val="18"/>
                    </w:rPr>
                    <w:t xml:space="preserve"> </w:t>
                  </w:r>
                </w:p>
                <w:p>
                  <w:pPr>
                    <w:pStyle w:val="BodyText"/>
                    <w:spacing w:before="266" w:line="183" w:lineRule="auto"/>
                    <w:ind w:left="11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0%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strike/>
                      <w:color w:val="404040"/>
                      <w:spacing w:val="-41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1"/>
                      <w:sz w:val="18"/>
                      <w:szCs w:val="18"/>
                    </w:rPr>
                    <w:drawing>
                      <wp:inline distT="0" distB="0" distL="0" distR="0">
                        <wp:extent cx="3175" cy="32766"/>
                        <wp:effectExtent l="0" t="0" r="0" b="0"/>
                        <wp:docPr id="52" name="IM 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xmlns:r="http://schemas.openxmlformats.org/officeDocument/2006/relationships"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75" cy="327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79" style="width:528pt;height:0.75pt;margin-top:507.07pt;margin-left:33.72pt;mso-position-horizontal-relative:page;mso-position-vertical-relative:page;position:absolute;z-index:251700224" coordorigin="0,0" coordsize="10560,15" o:allowincell="f" path="m,14l5160,14l5160,l,l,14xem5398,14l10559,14l10559,l5398,l5398,14xe" filled="t" fillcolor="black" stroked="f"/>
        </w:pict>
      </w:r>
      <w:r>
        <w:pict>
          <v:shape id="_x0000_s1080" style="width:0.8pt;height:14.7pt;margin-top:682.88pt;margin-left:272.79pt;mso-position-horizontal-relative:page;mso-position-vertical-relative:page;position:absolute;z-index:251723776" coordorigin="0,0" coordsize="16,293" o:allowincell="f" path="m7,6l7,286e" filled="f" strokecolor="black" strokeweight="0.72pt">
            <v:stroke endcap="round"/>
          </v:shape>
        </w:pict>
      </w:r>
      <w:r>
        <w:pict>
          <v:shape id="_x0000_s1081" style="width:0.8pt;height:14.7pt;margin-top:682.88pt;margin-left:272.79pt;mso-position-horizontal-relative:page;mso-position-vertical-relative:page;position:absolute;z-index:251730944" coordorigin="0,0" coordsize="16,293" o:allowincell="f" path="m7,6l7,286e" filled="f" strokecolor="black" strokeweight="0.72pt">
            <v:stroke endcap="round"/>
          </v:shape>
        </w:pict>
      </w:r>
      <w:r>
        <w:pict>
          <v:shape id="_x0000_s1082" style="width:0.8pt;height:14.7pt;margin-top:682.88pt;margin-left:348.26pt;mso-position-horizontal-relative:page;mso-position-vertical-relative:page;position:absolute;z-index:251728896" coordorigin="0,0" coordsize="16,293" o:allowincell="f" path="m7,6l7,286e" filled="f" strokecolor="black" strokeweight="0.72pt">
            <v:stroke endcap="round"/>
          </v:shape>
        </w:pict>
      </w:r>
      <w:r>
        <w:pict>
          <v:shape id="_x0000_s1083" style="width:0.8pt;height:14.95pt;margin-top:729.87pt;margin-left:312.22pt;mso-position-horizontal-relative:page;mso-position-vertical-relative:page;position:absolute;z-index:251725824" coordorigin="0,0" coordsize="16,298" o:allowincell="f" path="m7,6l7,291e" filled="f" strokecolor="black" strokeweight="0.72pt">
            <v:stroke endcap="round"/>
          </v:shape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4" type="#_x0000_t202" style="width:102.45pt;height:11.5pt;margin-top:394.93pt;margin-left:382.95pt;mso-position-horizontal-relative:page;mso-position-vertical-relative:page;position:absolute;z-index:2516920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256540" cy="12700"/>
                        <wp:effectExtent l="0" t="0" r="0" b="0"/>
                        <wp:docPr id="56" name="IM 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xmlns:r="http://schemas.openxmlformats.org/officeDocument/2006/relationships"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540" cy="12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04040"/>
                      <w:spacing w:val="-36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毛利率</w:t>
                  </w:r>
                  <w:r>
                    <w:rPr>
                      <w:color w:val="404040"/>
                      <w:spacing w:val="6"/>
                      <w:sz w:val="16"/>
                      <w:szCs w:val="16"/>
                    </w:rPr>
                    <w:t xml:space="preserve">  </w:t>
                  </w:r>
                  <w:r>
                    <w:rPr>
                      <w:strike/>
                      <w:color w:val="404040"/>
                      <w:sz w:val="16"/>
                      <w:szCs w:val="16"/>
                    </w:rPr>
                    <w:t xml:space="preserve">     </w:t>
                  </w:r>
                  <w:r>
                    <w:rPr>
                      <w:color w:val="404040"/>
                      <w:spacing w:val="-3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净利率</w:t>
                  </w:r>
                </w:p>
              </w:txbxContent>
            </v:textbox>
          </v:shape>
        </w:pict>
      </w:r>
      <w:r>
        <w:pict>
          <v:shape id="_x0000_s1085" style="width:195pt;height:2.75pt;margin-top:484.4pt;margin-left:343.26pt;mso-position-horizontal-relative:page;mso-position-vertical-relative:page;position:absolute;z-index:251699200" coordorigin="0,0" coordsize="3900,55" o:allowincell="f" path="m,2l3897,2m778,2l778,54m1558,2l1558,54m2338,2l2338,54m3118,2l3118,54m3897,2l3897,54e" filled="f" strokecolor="#404040" strokeweight="0.25pt"/>
        </w:pict>
      </w:r>
      <w:r>
        <w:pict>
          <v:shape id="_x0000_s1086" type="#_x0000_t202" style="width:175.7pt;height:10.95pt;margin-top:490.09pt;margin-left:353.02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2018</w:t>
                  </w:r>
                  <w:r>
                    <w:rPr>
                      <w:color w:val="404040"/>
                      <w:spacing w:val="20"/>
                      <w:sz w:val="18"/>
                      <w:szCs w:val="18"/>
                    </w:rPr>
                    <w:t xml:space="preserve">    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2019</w:t>
                  </w:r>
                  <w:r>
                    <w:rPr>
                      <w:color w:val="404040"/>
                      <w:spacing w:val="16"/>
                      <w:sz w:val="18"/>
                      <w:szCs w:val="18"/>
                    </w:rPr>
                    <w:t xml:space="preserve">    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2020</w:t>
                  </w:r>
                  <w:r>
                    <w:rPr>
                      <w:color w:val="404040"/>
                      <w:spacing w:val="16"/>
                      <w:sz w:val="18"/>
                      <w:szCs w:val="18"/>
                    </w:rPr>
                    <w:t xml:space="preserve">    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2021</w:t>
                  </w:r>
                  <w:r>
                    <w:rPr>
                      <w:color w:val="404040"/>
                      <w:spacing w:val="16"/>
                      <w:sz w:val="18"/>
                      <w:szCs w:val="18"/>
                    </w:rPr>
                    <w:t xml:space="preserve">    </w:t>
                  </w:r>
                  <w:r>
                    <w:rPr>
                      <w:color w:val="404040"/>
                      <w:spacing w:val="-2"/>
                      <w:sz w:val="18"/>
                      <w:szCs w:val="18"/>
                      <w14:textOutline w14:w="3265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2022</w:t>
                  </w:r>
                </w:p>
              </w:txbxContent>
            </v:textbox>
          </v:shape>
        </w:pict>
      </w:r>
      <w:r>
        <w:pict>
          <v:shape id="_x0000_s1087" style="width:156.9pt;height:9.35pt;margin-top:423.7pt;margin-left:362.25pt;mso-position-horizontal-relative:page;mso-position-vertical-relative:page;position:absolute;z-index:251686912" coordorigin="0,0" coordsize="3137,187" o:allowincell="f" path="m10,146l790,176l1567,161l2347,10l3127,70e" filled="f" strokecolor="#28b9e8" strokeweight="1pt">
            <v:stroke endcap="round"/>
          </v:shape>
        </w:pict>
      </w:r>
      <w:r>
        <w:pict>
          <v:shape id="_x0000_s1088" style="width:117.9pt;height:9.55pt;margin-top:448.84pt;margin-left:362.25pt;mso-position-horizontal-relative:page;mso-position-vertical-relative:page;position:absolute;z-index:251687936" coordorigin="0,0" coordsize="2358,191" o:allowincell="f" path="m10,164l790,180l1567,114l2347,10e" filled="f" strokecolor="#bbb3b2" strokeweight="1pt">
            <v:stroke endcap="round"/>
          </v:shape>
        </w:pict>
      </w:r>
      <w:r>
        <w:pict>
          <v:group id="_x0000_s1089" style="width:419.35pt;height:4.5pt;margin-top:615.91pt;margin-left:141.98pt;mso-position-horizontal-relative:page;mso-position-vertical-relative:page;position:absolute;z-index:-251633664" coordorigin="0,0" coordsize="8387,90" o:allowincell="f" filled="f" stroked="f">
            <v:shape id="_x0000_s1090" style="width:5167;height:55;left:826;position:absolute;top:34" coordorigin="0,0" coordsize="5167,55" path="m683,27l30,27m1796,27l1143,27m2910,27l2256,27m4023,27l3369,27m5136,27l4482,27e" filled="f" strokecolor="#ffc000" strokeweight="2.87pt">
              <v:stroke endcap="round"/>
            </v:shape>
            <v:shape id="_x0000_s1091" style="width:8387;height:15;position:absolute" coordorigin="0,0" coordsize="8387,15" path="m,14l8386,14l8386,l,l,14xe" filled="t" fillcolor="#595959" stroked="f"/>
          </v:group>
        </w:pict>
      </w:r>
      <w:r>
        <w:pict>
          <v:shape id="_x0000_s1092" style="width:35.7pt;height:2.75pt;margin-top:633.15pt;margin-left:183.31pt;mso-position-horizontal-relative:page;mso-position-vertical-relative:page;position:absolute;z-index:-251632640" coordorigin="0,0" coordsize="714,55" o:allowincell="f" path="m30,27l683,27e" filled="f" strokecolor="#ffc000" strokeweight="2.87pt">
            <v:stroke endcap="round"/>
          </v:shape>
        </w:pict>
      </w:r>
      <w:r>
        <w:pict>
          <v:shape id="_x0000_s1093" style="width:35.7pt;height:2.75pt;margin-top:633.15pt;margin-left:238.97pt;mso-position-horizontal-relative:page;mso-position-vertical-relative:page;position:absolute;z-index:251714560" coordorigin="0,0" coordsize="714,55" o:allowincell="f" path="m30,27l683,27e" filled="f" strokecolor="#ffc000" strokeweight="2.87pt">
            <v:stroke endcap="round"/>
          </v:shape>
        </w:pict>
      </w:r>
      <w:r>
        <w:pict>
          <v:shape id="_x0000_s1094" style="width:35.7pt;height:2.75pt;margin-top:633.15pt;margin-left:294.63pt;mso-position-horizontal-relative:page;mso-position-vertical-relative:page;position:absolute;z-index:251713536" coordorigin="0,0" coordsize="714,55" o:allowincell="f" path="m30,27l683,27e" filled="f" strokecolor="#ffc000" strokeweight="2.87pt">
            <v:stroke endcap="round"/>
          </v:shape>
        </w:pict>
      </w:r>
      <w:r>
        <w:pict>
          <v:shape id="_x0000_s1095" style="width:35.7pt;height:2.75pt;margin-top:633.15pt;margin-left:350.29pt;mso-position-horizontal-relative:page;mso-position-vertical-relative:page;position:absolute;z-index:251715584" coordorigin="0,0" coordsize="714,55" o:allowincell="f" path="m30,27l683,27e" filled="f" strokecolor="#ffc000" strokeweight="2.87pt">
            <v:stroke endcap="round"/>
          </v:shape>
        </w:pict>
      </w:r>
      <w:r>
        <w:pict>
          <v:shape id="_x0000_s1096" style="width:35.7pt;height:2.75pt;margin-top:633.15pt;margin-left:405.94pt;mso-position-horizontal-relative:page;mso-position-vertical-relative:page;position:absolute;z-index:251716608" coordorigin="0,0" coordsize="714,55" o:allowincell="f" path="m30,27l683,27e" filled="f" strokecolor="#ffc000" strokeweight="2.87pt">
            <v:stroke endcap="round"/>
          </v:shape>
        </w:pict>
      </w:r>
      <w:r>
        <w:pict>
          <v:shape id="_x0000_s1097" type="#_x0000_t202" style="width:48.45pt;height:18.9pt;margin-top:647.25pt;margin-left:399.58pt;mso-position-horizontal-relative:page;mso-position-vertical-relative:page;position:absolute;z-index:2516930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58" name="IM 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xmlns:r="http://schemas.openxmlformats.org/officeDocument/2006/relationships"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5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昇峰企业</w:t>
                  </w:r>
                  <w:r>
                    <w:rPr>
                      <w:spacing w:val="15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60" name="IM 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xmlns:r="http://schemas.openxmlformats.org/officeDocument/2006/relationships"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98" type="#_x0000_t202" style="width:152.8pt;height:19.45pt;margin-top:647.25pt;margin-left:232.6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62" name="IM 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xmlns:r="http://schemas.openxmlformats.org/officeDocument/2006/relationships"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5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6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万志企业</w:t>
                  </w:r>
                  <w:r>
                    <w:rPr>
                      <w:spacing w:val="16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193572" cy="214156"/>
                        <wp:effectExtent l="0" t="0" r="0" b="0"/>
                        <wp:docPr id="64" name="IM 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xmlns:r="http://schemas.openxmlformats.org/officeDocument/2006/relationships"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57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3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6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忠裕企业</w:t>
                  </w:r>
                  <w:r>
                    <w:rPr>
                      <w:spacing w:val="16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193547" cy="221108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547" cy="2211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6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耀锦企业</w:t>
                  </w:r>
                </w:p>
              </w:txbxContent>
            </v:textbox>
          </v:shape>
        </w:pict>
      </w:r>
      <w:r>
        <w:pict>
          <v:shape id="_x0000_s1099" type="#_x0000_t202" style="width:48.45pt;height:18.9pt;margin-top:647.79pt;margin-left:176.95pt;mso-position-horizontal-relative:page;mso-position-vertical-relative:page;position:absolute;z-index:2516940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7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智尚有限</w:t>
                  </w:r>
                  <w:r>
                    <w:rPr>
                      <w:spacing w:val="17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2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70" name="IM 7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0" style="width:3.05pt;height:16.9pt;margin-top:648.25pt;margin-left:388.34pt;mso-position-horizontal-relative:page;mso-position-vertical-relative:page;position:absolute;z-index:251718656" coordorigin="0,0" coordsize="60,337" o:allowincell="f" path="m30,309l30,27e" filled="f" strokecolor="#ea700d" strokeweight="2.87pt">
            <v:stroke endcap="round"/>
          </v:shape>
        </w:pict>
      </w:r>
      <w:r>
        <w:pict>
          <v:shape id="_x0000_s1101" type="#_x0000_t202" style="width:55.55pt;height:18.9pt;margin-top:694.86pt;margin-left:166.39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72" name="IM 7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3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6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社会公众股</w:t>
                  </w:r>
                  <w:r>
                    <w:rPr>
                      <w:spacing w:val="16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74" name="IM 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2" type="#_x0000_t202" style="width:48.45pt;height:18.9pt;margin-top:694.86pt;margin-left:324.42pt;mso-position-horizontal-relative:page;mso-position-vertical-relative:page;position:absolute;z-index:2516961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76" name="IM 7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3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中山浤霆</w:t>
                  </w:r>
                  <w:r>
                    <w:rPr>
                      <w:spacing w:val="13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78" name="IM 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3" type="#_x0000_t202" style="width:62.1pt;height:18.9pt;margin-top:694.86pt;margin-left:399.89pt;mso-position-horizontal-relative:page;mso-position-vertical-relative:page;position:absolute;z-index:2516899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80" name="IM 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7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8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香港中央结算</w:t>
                  </w:r>
                  <w:r>
                    <w:rPr>
                      <w:spacing w:val="-16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82" name="IM 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4" type="#_x0000_t202" style="width:48.45pt;height:18.9pt;margin-top:694.86pt;margin-left:489pt;mso-position-horizontal-relative:page;mso-position-vertical-relative:page;position:absolute;z-index:2516971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84" name="IM 8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xmlns:r="http://schemas.openxmlformats.org/officeDocument/2006/relationships"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32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5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其他机构</w:t>
                  </w:r>
                  <w:r>
                    <w:rPr>
                      <w:spacing w:val="15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1" cy="214156"/>
                        <wp:effectExtent l="0" t="0" r="0" b="0"/>
                        <wp:docPr id="86" name="IM 8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xmlns:r="http://schemas.openxmlformats.org/officeDocument/2006/relationships"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1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5" type="#_x0000_t202" style="width:48.45pt;height:18.9pt;margin-top:694.86pt;margin-left:248.95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88" name="IM 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xmlns:r="http://schemas.openxmlformats.org/officeDocument/2006/relationships"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27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6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香港俊耀</w:t>
                  </w:r>
                  <w:r>
                    <w:rPr>
                      <w:spacing w:val="16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1"/>
                      <w:sz w:val="14"/>
                      <w:szCs w:val="14"/>
                    </w:rPr>
                    <w:drawing>
                      <wp:inline distT="0" distB="0" distL="0" distR="0">
                        <wp:extent cx="38132" cy="214156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141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06" style="width:165.6pt;height:2.75pt;margin-top:743.07pt;margin-left:229.8pt;mso-position-horizontal-relative:page;mso-position-vertical-relative:page;position:absolute;z-index:251724800" coordorigin="0,0" coordsize="3312,55" o:allowincell="f" path="m3281,27l30,27e" filled="f" strokecolor="#0070c0" strokeweight="2.87pt">
            <v:stroke endcap="round"/>
          </v:shape>
        </w:pict>
      </w:r>
      <w:r>
        <w:pict>
          <v:group id="_x0000_s1107" style="width:419.35pt;height:4.4pt;margin-top:767.34pt;margin-left:141.98pt;mso-position-horizontal-relative:page;mso-position-vertical-relative:page;position:absolute;z-index:251727872" coordorigin="0,0" coordsize="8387,88" o:allowincell="f" filled="f" stroked="f">
            <v:shape id="_x0000_s1108" style="width:3312;height:55;left:1756;position:absolute" coordorigin="0,0" coordsize="3312,55" path="m30,27l3281,27e" filled="f" strokecolor="#0070c0" strokeweight="2.87pt">
              <v:stroke endcap="round"/>
            </v:shape>
            <v:shape id="_x0000_s1109" style="width:8387;height:15;position:absolute;top:72" coordorigin="0,0" coordsize="8387,15" path="m,14l8386,14l8386,l,l,14xe" filled="t" fillcolor="#595959" stroked="f"/>
          </v:group>
        </w:pict>
      </w:r>
      <w:r>
        <w:pict>
          <v:shape id="_x0000_s1110" style="width:46.45pt;height:2.75pt;margin-top:648.79pt;margin-left:233.6pt;mso-position-horizontal-relative:page;mso-position-vertical-relative:page;position:absolute;z-index:251709440" coordorigin="0,0" coordsize="929,55" o:allowincell="f" path="m898,27l30,27e" filled="f" strokecolor="#ea700d" strokeweight="2.87pt">
            <v:stroke endcap="round"/>
          </v:shape>
        </w:pict>
      </w:r>
      <w:r>
        <w:pict>
          <v:shape id="_x0000_s1111" style="width:46.45pt;height:2.75pt;margin-top:648.79pt;margin-left:289.26pt;mso-position-horizontal-relative:page;mso-position-vertical-relative:page;position:absolute;z-index:251711488" coordorigin="0,0" coordsize="929,55" o:allowincell="f" path="m898,27l30,27e" filled="f" strokecolor="#ea700d" strokeweight="2.87pt">
            <v:stroke endcap="round"/>
          </v:shape>
        </w:pict>
      </w:r>
      <w:r>
        <w:pict>
          <v:shape id="_x0000_s1112" style="width:46.45pt;height:2.75pt;margin-top:648.79pt;margin-left:177.95pt;mso-position-horizontal-relative:page;mso-position-vertical-relative:page;position:absolute;z-index:251708416" coordorigin="0,0" coordsize="929,55" o:allowincell="f" path="m898,27l30,27e" filled="f" strokecolor="#ea700d" strokeweight="2.87pt">
            <v:stroke endcap="round"/>
          </v:shape>
        </w:pict>
      </w:r>
      <w:r>
        <w:pict>
          <v:shape id="_x0000_s1113" style="width:46.45pt;height:2.75pt;margin-top:648.25pt;margin-left:344.92pt;mso-position-horizontal-relative:page;mso-position-vertical-relative:page;position:absolute;z-index:251707392" coordorigin="0,0" coordsize="929,55" o:allowincell="f" path="m898,27l30,27e" filled="f" strokecolor="#ea700d" strokeweight="2.87pt">
            <v:stroke endcap="round"/>
          </v:shape>
        </w:pict>
      </w:r>
      <w:r>
        <w:pict>
          <v:shape id="_x0000_s1114" style="width:46.45pt;height:2.75pt;margin-top:695.86pt;margin-left:249.95pt;mso-position-horizontal-relative:page;mso-position-vertical-relative:page;position:absolute;z-index:251712512" coordorigin="0,0" coordsize="929,55" o:allowincell="f" path="m898,27l30,27e" filled="f" strokecolor="#f9c499" strokeweight="2.87pt">
            <v:stroke endcap="round"/>
          </v:shape>
        </w:pict>
      </w:r>
      <w:r>
        <w:pict>
          <v:shape id="_x0000_s1115" style="width:202pt;height:2.75pt;margin-top:257.6pt;margin-left:336.22pt;mso-position-horizontal-relative:page;mso-position-vertical-relative:page;position:absolute;z-index:251735040" coordorigin="0,0" coordsize="4040,55" o:allowincell="f" path="m,2l51,2m51,2l4036,2m51,2l51,54m1046,2l1046,54m2045,2l2045,54m3041,2l3041,54m4036,2l4036,54e" filled="f" strokecolor="#404040" strokeweight="0.25pt"/>
        </w:pict>
      </w:r>
      <w:r>
        <w:pict>
          <v:shape id="_x0000_s1116" type="#_x0000_t202" style="width:271.1pt;height:23.2pt;margin-top:661.37pt;margin-left:176.95pt;mso-position-horizontal-relative:page;mso-position-vertical-relative:page;position:absolute;z-index:2517299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5381" w:type="dxa"/>
                    <w:tblInd w:w="2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</w:tblPr>
                  <w:tblGrid>
                    <w:gridCol w:w="464"/>
                    <w:gridCol w:w="1113"/>
                    <w:gridCol w:w="1113"/>
                    <w:gridCol w:w="1113"/>
                    <w:gridCol w:w="1113"/>
                    <w:gridCol w:w="465"/>
                  </w:tblGrid>
                  <w:tr>
                    <w:tblPrEx>
                      <w:tblW w:w="5381" w:type="dxa"/>
                      <w:tblInd w:w="20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</w:tblPrEx>
                    <w:trPr>
                      <w:trHeight w:val="363"/>
                    </w:trPr>
                    <w:tc>
                      <w:tcPr>
                        <w:tcW w:w="464" w:type="dxa"/>
                        <w:tcBorders>
                          <w:top w:val="single" w:sz="20" w:space="0" w:color="EA700D"/>
                          <w:left w:val="nil"/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91" w:line="195" w:lineRule="auto"/>
                          <w:ind w:left="123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40%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91" w:line="195" w:lineRule="auto"/>
                          <w:ind w:left="824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6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10%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91" w:line="196" w:lineRule="auto"/>
                          <w:ind w:left="747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8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20%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91" w:line="195" w:lineRule="auto"/>
                          <w:ind w:left="797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6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15%</w:t>
                        </w:r>
                      </w:p>
                    </w:tc>
                    <w:tc>
                      <w:tcPr>
                        <w:tcW w:w="1113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91" w:line="195" w:lineRule="auto"/>
                          <w:ind w:left="772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6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15%</w:t>
                        </w:r>
                      </w:p>
                    </w:tc>
                    <w:tc>
                      <w:tcPr>
                        <w:tcW w:w="465" w:type="dxa"/>
                        <w:tcBorders>
                          <w:top w:val="single" w:sz="20" w:space="0" w:color="EA700D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17" type="#_x0000_t202" style="width:371.05pt;height:22.6pt;margin-top:708.98pt;margin-left:166.39pt;mso-position-horizontal-relative:page;mso-position-vertical-relative:page;position:absolute;z-index:25172684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7380" w:type="dxa"/>
                    <w:tblInd w:w="2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</w:tblPr>
                  <w:tblGrid>
                    <w:gridCol w:w="535"/>
                    <w:gridCol w:w="1580"/>
                    <w:gridCol w:w="1509"/>
                    <w:gridCol w:w="1646"/>
                    <w:gridCol w:w="1646"/>
                    <w:gridCol w:w="464"/>
                  </w:tblGrid>
                  <w:tr>
                    <w:tblPrEx>
                      <w:tblW w:w="7380" w:type="dxa"/>
                      <w:tblInd w:w="20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</w:tblPrEx>
                    <w:trPr>
                      <w:trHeight w:val="351"/>
                    </w:trPr>
                    <w:tc>
                      <w:tcPr>
                        <w:tcW w:w="535" w:type="dxa"/>
                        <w:tcBorders>
                          <w:top w:val="single" w:sz="20" w:space="0" w:color="F9C499"/>
                          <w:left w:val="nil"/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9" w:line="196" w:lineRule="auto"/>
                          <w:ind w:left="133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8.73%</w:t>
                        </w:r>
                      </w:p>
                    </w:tc>
                    <w:tc>
                      <w:tcPr>
                        <w:tcW w:w="1580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20" w:line="195" w:lineRule="auto"/>
                          <w:ind w:left="1052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84.85%</w:t>
                        </w:r>
                      </w:p>
                    </w:tc>
                    <w:tc>
                      <w:tcPr>
                        <w:tcW w:w="1509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9" w:line="196" w:lineRule="auto"/>
                          <w:ind w:left="1080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2.63%</w:t>
                        </w:r>
                      </w:p>
                    </w:tc>
                    <w:tc>
                      <w:tcPr>
                        <w:tcW w:w="1646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20" w:line="195" w:lineRule="auto"/>
                          <w:ind w:left="1226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0.45%</w:t>
                        </w:r>
                      </w:p>
                    </w:tc>
                    <w:tc>
                      <w:tcPr>
                        <w:tcW w:w="1646" w:type="dxa"/>
                        <w:tcBorders>
                          <w:top w:val="single" w:sz="2" w:space="0" w:color="FFFFFF"/>
                          <w:bottom w:val="single" w:sz="4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19" w:line="196" w:lineRule="auto"/>
                          <w:ind w:left="1221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9"/>
                            <w:sz w:val="10"/>
                            <w:szCs w:val="10"/>
                            <w14:textOutline w14:w="1994" w14:cap="rnd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3.34%</w:t>
                        </w:r>
                      </w:p>
                    </w:tc>
                    <w:tc>
                      <w:tcPr>
                        <w:tcW w:w="464" w:type="dxa"/>
                        <w:tcBorders>
                          <w:top w:val="single" w:sz="20" w:space="0" w:color="F9C499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5" w:line="233" w:lineRule="auto"/>
        <w:ind w:left="2175" w:firstLine="6"/>
        <w:jc w:val="both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生产基地集中在越南，人工成本更具优势。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公司制鞋生产</w:t>
      </w:r>
      <w:r>
        <w:rPr>
          <w:color w:val="404040"/>
          <w:spacing w:val="-4"/>
          <w:sz w:val="21"/>
          <w:szCs w:val="21"/>
        </w:rPr>
        <w:t>基地大部分在海外，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分布在越南、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缅甸、多米尼加、印尼等地，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其中越南为主要的生产基地，而公司在中国中山以进行鞋品设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计和模具生产为主。华利集团工厂数量多，没形成集约式大厂，主要因为购地与产能布局需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要与每一时期的产量规模相匹配，以实现产能最</w:t>
      </w:r>
      <w:r>
        <w:rPr>
          <w:color w:val="404040"/>
          <w:spacing w:val="-1"/>
          <w:sz w:val="21"/>
          <w:szCs w:val="21"/>
        </w:rPr>
        <w:t>大化利用。</w:t>
      </w:r>
    </w:p>
    <w:p>
      <w:pPr>
        <w:spacing w:before="42"/>
      </w:pPr>
    </w:p>
    <w:p>
      <w:pPr>
        <w:sectPr>
          <w:headerReference w:type="default" r:id="rId66"/>
          <w:footerReference w:type="default" r:id="rId67"/>
          <w:pgSz w:w="11907" w:h="16839"/>
          <w:pgMar w:top="1064" w:right="605" w:bottom="803" w:left="674" w:header="884" w:footer="567" w:gutter="0"/>
          <w:pgNumType w:start="14"/>
          <w:cols w:num="1" w:space="708" w:equalWidth="0">
            <w:col w:w="10627" w:space="0"/>
          </w:cols>
        </w:sectPr>
      </w:pPr>
    </w:p>
    <w:p>
      <w:pPr>
        <w:pStyle w:val="BodyText"/>
        <w:spacing w:before="41" w:line="218" w:lineRule="auto"/>
        <w:ind w:left="33"/>
        <w:rPr>
          <w:sz w:val="21"/>
          <w:szCs w:val="21"/>
        </w:rPr>
      </w:pPr>
      <w:bookmarkStart w:id="15" w:name="bookmark31"/>
      <w:bookmarkEnd w:id="15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图6.华利集团各地区员工数量占比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53" w:line="218" w:lineRule="auto"/>
        <w:ind w:left="1706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19" cy="45719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5719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9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>
            <w14:solidFill>
              <w14:srgbClr w14:val="404040"/>
            </w14:solidFill>
            <w14:prstDash w14:val="solid"/>
            <w14:miter w14:lim="10"/>
          </w14:textOutline>
        </w:rPr>
        <w:t>越南</w:t>
      </w:r>
      <w:r>
        <w:rPr>
          <w:color w:val="404040"/>
          <w:spacing w:val="77"/>
          <w:w w:val="101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6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>
            <w14:solidFill>
              <w14:srgbClr w14:val="404040"/>
            </w14:solidFill>
            <w14:prstDash w14:val="solid"/>
            <w14:miter w14:lim="10"/>
          </w14:textOutline>
        </w:rPr>
        <w:t>中国及其他地区</w:t>
      </w:r>
    </w:p>
    <w:p>
      <w:pPr>
        <w:spacing w:before="111" w:line="1656" w:lineRule="exact"/>
        <w:ind w:firstLine="1507"/>
      </w:pPr>
      <w:r>
        <w:rPr>
          <w:position w:val="-33"/>
        </w:rPr>
        <w:pict>
          <v:group id="_x0000_i1118" style="width:82.85pt;height:82.8pt;mso-position-horizontal-relative:char;mso-position-vertical-relative:line" coordorigin="0,0" coordsize="1656,1656" filled="f" stroked="f">
            <v:shape id="_x0000_s1119" type="#_x0000_t75" style="width:1656;height:1656;position:absolute" filled="f" stroked="f">
              <v:imagedata r:id="rId70" o:title=""/>
            </v:shape>
            <v:shape id="_x0000_s1120" type="#_x0000_t202" style="width:1696;height:169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4" w:line="186" w:lineRule="auto"/>
                      <w:ind w:left="861"/>
                      <w:rPr>
                        <w:rFonts w:ascii="DengXian" w:eastAsia="DengXian" w:hAnsi="DengXian" w:cs="DengXian"/>
                        <w:sz w:val="22"/>
                        <w:szCs w:val="22"/>
                      </w:rPr>
                    </w:pPr>
                    <w:r>
                      <w:rPr>
                        <w:rFonts w:ascii="DengXian" w:eastAsia="DengXian" w:hAnsi="DengXian" w:cs="DengXian"/>
                        <w:color w:val="FFFFFF"/>
                        <w:spacing w:val="-3"/>
                        <w:sz w:val="22"/>
                        <w:szCs w:val="22"/>
                      </w:rPr>
                      <w:t>98.5%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8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1"/>
          <w:sz w:val="16"/>
          <w:szCs w:val="16"/>
        </w:rPr>
        <w:t>资料来源：华利集团社会责任报告，国投证券研究中心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18" w:lineRule="auto"/>
        <w:ind w:left="33"/>
        <w:rPr>
          <w:sz w:val="21"/>
          <w:szCs w:val="21"/>
        </w:rPr>
      </w:pPr>
      <w:bookmarkStart w:id="16" w:name="bookmark32"/>
      <w:bookmarkEnd w:id="16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图7.华利集团各地区工厂数量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58" w:line="183" w:lineRule="auto"/>
        <w:ind w:left="386"/>
        <w:rPr>
          <w:sz w:val="18"/>
          <w:szCs w:val="18"/>
        </w:rPr>
      </w:pPr>
      <w:r>
        <w:pict>
          <v:shape id="_x0000_s1121" type="#_x0000_t202" style="width:11.1pt;height:11.45pt;margin-top:5.61pt;margin-left:54.81pt;position:absolute;z-index:251738112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DengXian" w:eastAsia="DengXian" w:hAnsi="DengXian" w:cs="DengXian"/>
                      <w:sz w:val="18"/>
                      <w:szCs w:val="18"/>
                    </w:rPr>
                  </w:pPr>
                  <w:r>
                    <w:rPr>
                      <w:rFonts w:ascii="DengXian" w:eastAsia="DengXian" w:hAnsi="DengXian" w:cs="DengXian"/>
                      <w:color w:val="404040"/>
                      <w:spacing w:val="-3"/>
                      <w:sz w:val="18"/>
                      <w:szCs w:val="18"/>
                    </w:rPr>
                    <w:t>20</w:t>
                  </w:r>
                </w:p>
              </w:txbxContent>
            </v:textbox>
          </v:shape>
        </w:pict>
      </w:r>
      <w:r>
        <w:rPr>
          <w:color w:val="404040"/>
          <w:spacing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25</w:t>
      </w:r>
    </w:p>
    <w:p>
      <w:pPr>
        <w:spacing w:before="175" w:line="1158" w:lineRule="exact"/>
        <w:ind w:firstLine="1045"/>
      </w:pPr>
      <w:r>
        <w:rPr>
          <w:position w:val="-23"/>
        </w:rPr>
        <w:pict>
          <v:group id="_x0000_i1122" style="width:165.05pt;height:57.95pt;mso-position-horizontal-relative:char;mso-position-vertical-relative:line" coordorigin="0,0" coordsize="3301,1159" filled="f" stroked="f">
            <v:shape id="_x0000_s1123" type="#_x0000_t75" style="width:3301;height:1159;position:absolute" filled="f" stroked="f">
              <v:imagedata r:id="rId71" o:title=""/>
            </v:shape>
            <v:shape id="_x0000_s1124" type="#_x0000_t202" style="width:3341;height:1199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85" w:lineRule="auto"/>
                      <w:ind w:left="1132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404040"/>
                        <w:sz w:val="18"/>
                        <w:szCs w:val="18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2" w:line="214" w:lineRule="auto"/>
        <w:ind w:left="1023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越南</w:t>
      </w:r>
      <w:r>
        <w:rPr>
          <w:color w:val="404040"/>
          <w:spacing w:val="4"/>
          <w:sz w:val="18"/>
          <w:szCs w:val="18"/>
        </w:rPr>
        <w:t xml:space="preserve">      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印尼</w:t>
      </w:r>
      <w:r>
        <w:rPr>
          <w:color w:val="404040"/>
          <w:spacing w:val="3"/>
          <w:sz w:val="18"/>
          <w:szCs w:val="18"/>
        </w:rPr>
        <w:t xml:space="preserve">    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多米尼加</w:t>
      </w:r>
      <w:r>
        <w:rPr>
          <w:color w:val="404040"/>
          <w:spacing w:val="3"/>
          <w:sz w:val="18"/>
          <w:szCs w:val="18"/>
        </w:rPr>
        <w:t xml:space="preserve">    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缅甸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52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186" w:lineRule="auto"/>
        <w:rPr>
          <w:sz w:val="16"/>
          <w:szCs w:val="16"/>
        </w:rPr>
        <w:sectPr>
          <w:headerReference w:type="default" r:id="rId72"/>
          <w:footerReference w:type="default" r:id="rId73"/>
          <w:type w:val="continuous"/>
          <w:pgSz w:w="11907" w:h="16839"/>
          <w:pgMar w:top="1064" w:right="605" w:bottom="803" w:left="674" w:header="884" w:footer="567" w:gutter="0"/>
          <w:pgNumType w:start="15"/>
          <w:cols w:num="2" w:space="708" w:equalWidth="0">
            <w:col w:w="5299" w:space="100"/>
            <w:col w:w="5229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9" w:line="232" w:lineRule="auto"/>
        <w:ind w:left="2174" w:right="69" w:firstLine="6"/>
        <w:jc w:val="both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收入及业绩表现稳步增长。</w:t>
      </w:r>
      <w:r>
        <w:rPr>
          <w:color w:val="404040"/>
          <w:spacing w:val="-3"/>
          <w:sz w:val="21"/>
          <w:szCs w:val="21"/>
        </w:rPr>
        <w:t>近年来华利集团收入和利润表现双双保持稳步增长，</w:t>
      </w:r>
      <w:r>
        <w:rPr>
          <w:color w:val="404040"/>
          <w:spacing w:val="-1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收入和利润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过去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5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CAGR</w:t>
      </w:r>
      <w:r>
        <w:rPr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分别+11%和+16%。公司毛利率和净利率方面表现稳健，</w:t>
      </w:r>
      <w:r>
        <w:rPr>
          <w:color w:val="404040"/>
          <w:spacing w:val="-2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过去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5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年均保持稳中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有升的态势。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9" w:line="218" w:lineRule="auto"/>
        <w:ind w:left="33"/>
        <w:rPr>
          <w:sz w:val="21"/>
          <w:szCs w:val="21"/>
        </w:rPr>
      </w:pPr>
      <w:bookmarkStart w:id="18" w:name="bookmark33"/>
      <w:bookmarkEnd w:id="18"/>
      <w:bookmarkStart w:id="19" w:name="bookmark34"/>
      <w:bookmarkEnd w:id="19"/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图8.华利集团收入规模情况（亿元）</w:t>
      </w:r>
      <w:r>
        <w:rPr>
          <w:color w:val="404040"/>
          <w:spacing w:val="-3"/>
          <w:sz w:val="21"/>
          <w:szCs w:val="21"/>
        </w:rPr>
        <w:t xml:space="preserve">                    </w:t>
      </w:r>
      <w:r>
        <w:rPr>
          <w:color w:val="404040"/>
          <w:spacing w:val="-72"/>
          <w:sz w:val="21"/>
          <w:szCs w:val="21"/>
          <w:u w:val="single" w:color="000000"/>
        </w:rPr>
        <w:t xml:space="preserve"> </w:t>
      </w:r>
      <w:r>
        <w:rPr>
          <w:color w:val="404040"/>
          <w:spacing w:val="-3"/>
          <w:sz w:val="21"/>
          <w:szCs w:val="21"/>
          <w:u w:val="single" w:color="000000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图9.华利集团毛利率和净利率情况</w:t>
      </w:r>
      <w:r>
        <w:rPr>
          <w:color w:val="404040"/>
          <w:spacing w:val="-3"/>
          <w:sz w:val="21"/>
          <w:szCs w:val="21"/>
          <w:u w:val="single" w:color="000000"/>
        </w:rPr>
        <w:t xml:space="preserve">                    </w:t>
      </w:r>
    </w:p>
    <w:p>
      <w:pPr>
        <w:spacing w:line="74" w:lineRule="exact"/>
      </w:pPr>
    </w:p>
    <w:p>
      <w:pPr>
        <w:spacing w:line="74" w:lineRule="exact"/>
        <w:sectPr>
          <w:headerReference w:type="default" r:id="rId74"/>
          <w:footerReference w:type="default" r:id="rId75"/>
          <w:type w:val="continuous"/>
          <w:pgSz w:w="11907" w:h="16839"/>
          <w:pgMar w:top="1064" w:right="605" w:bottom="803" w:left="674" w:header="884" w:footer="567" w:gutter="0"/>
          <w:pgNumType w:start="16"/>
          <w:cols w:num="1" w:space="708" w:equalWidth="0">
            <w:col w:w="10627" w:space="0"/>
          </w:cols>
        </w:sectPr>
      </w:pPr>
    </w:p>
    <w:tbl>
      <w:tblPr>
        <w:tblStyle w:val="TableNormal3"/>
        <w:tblW w:w="3809" w:type="dxa"/>
        <w:tblInd w:w="3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82"/>
        <w:gridCol w:w="1627"/>
      </w:tblGrid>
      <w:tr>
        <w:tblPrEx>
          <w:tblW w:w="3809" w:type="dxa"/>
          <w:tblInd w:w="38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37"/>
        </w:trPr>
        <w:tc>
          <w:tcPr>
            <w:tcW w:w="2182" w:type="dxa"/>
            <w:vAlign w:val="top"/>
          </w:tcPr>
          <w:p>
            <w:pPr>
              <w:pStyle w:val="TableText"/>
              <w:spacing w:line="217" w:lineRule="auto"/>
              <w:ind w:left="10"/>
              <w:rPr>
                <w:sz w:val="16"/>
                <w:szCs w:val="16"/>
              </w:rPr>
            </w:pPr>
            <w:r>
              <w:rPr>
                <w:color w:val="595959"/>
                <w:position w:val="2"/>
                <w:sz w:val="16"/>
                <w:szCs w:val="16"/>
              </w:rPr>
              <w:drawing>
                <wp:inline distT="0" distB="0" distL="0" distR="0">
                  <wp:extent cx="243840" cy="45720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1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1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其他业务</w:t>
            </w:r>
          </w:p>
          <w:p>
            <w:pPr>
              <w:pStyle w:val="TableText"/>
              <w:spacing w:line="217" w:lineRule="auto"/>
              <w:ind w:left="10"/>
              <w:rPr>
                <w:sz w:val="16"/>
                <w:szCs w:val="16"/>
              </w:rPr>
            </w:pPr>
            <w:r>
              <w:rPr>
                <w:color w:val="595959"/>
                <w:position w:val="2"/>
                <w:sz w:val="16"/>
                <w:szCs w:val="16"/>
              </w:rPr>
              <w:drawing>
                <wp:inline distT="0" distB="0" distL="0" distR="0">
                  <wp:extent cx="243840" cy="45720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27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2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户外靴鞋</w:t>
            </w:r>
          </w:p>
          <w:p>
            <w:pPr>
              <w:pStyle w:val="TableText"/>
              <w:spacing w:line="173" w:lineRule="auto"/>
              <w:rPr>
                <w:sz w:val="16"/>
                <w:szCs w:val="16"/>
              </w:rPr>
            </w:pPr>
            <w:r>
              <w:rPr>
                <w:color w:val="595959"/>
                <w:position w:val="4"/>
                <w:sz w:val="16"/>
                <w:szCs w:val="16"/>
              </w:rPr>
              <w:drawing>
                <wp:inline distT="0" distB="0" distL="0" distR="0">
                  <wp:extent cx="256539" cy="11862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39" cy="11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0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12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营收增长率（右轴，</w:t>
            </w:r>
            <w:r>
              <w:rPr>
                <w:color w:val="595959"/>
                <w:spacing w:val="39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12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%）</w:t>
            </w:r>
          </w:p>
        </w:tc>
        <w:tc>
          <w:tcPr>
            <w:tcW w:w="1627" w:type="dxa"/>
            <w:vAlign w:val="top"/>
          </w:tcPr>
          <w:p>
            <w:pPr>
              <w:pStyle w:val="TableText"/>
              <w:spacing w:line="218" w:lineRule="auto"/>
              <w:ind w:left="158"/>
              <w:rPr>
                <w:sz w:val="16"/>
                <w:szCs w:val="16"/>
              </w:rPr>
            </w:pPr>
            <w:r>
              <w:rPr>
                <w:color w:val="595959"/>
                <w:position w:val="2"/>
                <w:sz w:val="16"/>
                <w:szCs w:val="16"/>
              </w:rPr>
              <w:drawing>
                <wp:inline distT="0" distB="0" distL="0" distR="0">
                  <wp:extent cx="243717" cy="45720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17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0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1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运动凉鞋/拖鞋</w:t>
            </w:r>
            <w:r>
              <w:rPr>
                <w:color w:val="595959"/>
                <w:sz w:val="16"/>
                <w:szCs w:val="16"/>
              </w:rPr>
              <w:t xml:space="preserve"> </w:t>
            </w:r>
            <w:r>
              <w:rPr>
                <w:color w:val="595959"/>
                <w:position w:val="2"/>
                <w:sz w:val="16"/>
                <w:szCs w:val="16"/>
              </w:rPr>
              <w:drawing>
                <wp:inline distT="0" distB="0" distL="0" distR="0">
                  <wp:extent cx="243717" cy="45720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17" cy="4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1"/>
                <w:sz w:val="16"/>
                <w:szCs w:val="16"/>
              </w:rPr>
              <w:t xml:space="preserve"> </w:t>
            </w:r>
            <w:r>
              <w:rPr>
                <w:color w:val="595959"/>
                <w:spacing w:val="-1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运动休闲鞋</w:t>
            </w:r>
          </w:p>
        </w:tc>
      </w:tr>
    </w:tbl>
    <w:p>
      <w:pPr>
        <w:spacing w:line="143" w:lineRule="exact"/>
      </w:pPr>
    </w:p>
    <w:tbl>
      <w:tblPr>
        <w:tblStyle w:val="TableNormal3"/>
        <w:tblW w:w="3470" w:type="dxa"/>
        <w:tblInd w:w="68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7"/>
        <w:gridCol w:w="3193"/>
      </w:tblGrid>
      <w:tr>
        <w:tblPrEx>
          <w:tblW w:w="3470" w:type="dxa"/>
          <w:tblInd w:w="68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18"/>
        </w:trPr>
        <w:tc>
          <w:tcPr>
            <w:tcW w:w="277" w:type="dxa"/>
            <w:vAlign w:val="top"/>
          </w:tcPr>
          <w:p>
            <w:pPr>
              <w:pStyle w:val="TableText"/>
              <w:spacing w:line="183" w:lineRule="auto"/>
              <w:rPr>
                <w:sz w:val="16"/>
                <w:szCs w:val="16"/>
              </w:rPr>
            </w:pPr>
            <w:r>
              <w:rPr>
                <w:color w:val="595959"/>
                <w:spacing w:val="-2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250</w:t>
            </w:r>
          </w:p>
          <w:p>
            <w:pPr>
              <w:pStyle w:val="TableText"/>
              <w:spacing w:before="107" w:line="184" w:lineRule="auto"/>
              <w:rPr>
                <w:sz w:val="16"/>
                <w:szCs w:val="16"/>
              </w:rPr>
            </w:pPr>
            <w:r>
              <w:rPr>
                <w:color w:val="595959"/>
                <w:spacing w:val="-2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200</w:t>
            </w:r>
          </w:p>
          <w:p>
            <w:pPr>
              <w:pStyle w:val="TableText"/>
              <w:spacing w:before="108" w:line="183" w:lineRule="auto"/>
              <w:ind w:left="9"/>
              <w:rPr>
                <w:sz w:val="16"/>
                <w:szCs w:val="16"/>
              </w:rPr>
            </w:pPr>
            <w:r>
              <w:rPr>
                <w:color w:val="595959"/>
                <w:spacing w:val="-5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150</w:t>
            </w:r>
          </w:p>
          <w:p>
            <w:pPr>
              <w:pStyle w:val="TableText"/>
              <w:spacing w:before="108" w:line="183" w:lineRule="auto"/>
              <w:ind w:left="9"/>
              <w:rPr>
                <w:sz w:val="16"/>
                <w:szCs w:val="16"/>
              </w:rPr>
            </w:pPr>
            <w:r>
              <w:rPr>
                <w:color w:val="595959"/>
                <w:spacing w:val="-5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100</w:t>
            </w:r>
          </w:p>
          <w:p>
            <w:pPr>
              <w:pStyle w:val="TableText"/>
              <w:spacing w:before="108" w:line="183" w:lineRule="auto"/>
              <w:ind w:left="78"/>
              <w:rPr>
                <w:sz w:val="16"/>
                <w:szCs w:val="16"/>
              </w:rPr>
            </w:pPr>
            <w:r>
              <w:rPr>
                <w:color w:val="595959"/>
                <w:spacing w:val="-1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50</w:t>
            </w:r>
          </w:p>
        </w:tc>
        <w:tc>
          <w:tcPr>
            <w:tcW w:w="3193" w:type="dxa"/>
            <w:vAlign w:val="top"/>
          </w:tcPr>
          <w:p>
            <w:pPr>
              <w:spacing w:before="52" w:line="1383" w:lineRule="exact"/>
              <w:ind w:firstLine="39"/>
            </w:pPr>
            <w:r>
              <w:rPr>
                <w:position w:val="-27"/>
              </w:rPr>
              <w:drawing>
                <wp:inline distT="0" distB="0" distL="0" distR="0">
                  <wp:extent cx="2002488" cy="878141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488" cy="878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0" w:line="102" w:lineRule="exact"/>
              <w:ind w:left="235"/>
              <w:rPr>
                <w:sz w:val="16"/>
                <w:szCs w:val="16"/>
              </w:rPr>
            </w:pPr>
            <w:r>
              <w:rPr>
                <w:color w:val="595959"/>
                <w:spacing w:val="-1"/>
                <w:position w:val="-3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2018</w:t>
            </w:r>
            <w:r>
              <w:rPr>
                <w:color w:val="595959"/>
                <w:spacing w:val="20"/>
                <w:position w:val="-3"/>
                <w:sz w:val="16"/>
                <w:szCs w:val="16"/>
              </w:rPr>
              <w:t xml:space="preserve">   </w:t>
            </w:r>
            <w:r>
              <w:rPr>
                <w:color w:val="595959"/>
                <w:spacing w:val="-1"/>
                <w:position w:val="-3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2019</w:t>
            </w:r>
            <w:r>
              <w:rPr>
                <w:color w:val="595959"/>
                <w:spacing w:val="18"/>
                <w:position w:val="-3"/>
                <w:sz w:val="16"/>
                <w:szCs w:val="16"/>
              </w:rPr>
              <w:t xml:space="preserve">   </w:t>
            </w:r>
            <w:r>
              <w:rPr>
                <w:color w:val="595959"/>
                <w:spacing w:val="-1"/>
                <w:position w:val="-3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2020</w:t>
            </w:r>
            <w:r>
              <w:rPr>
                <w:color w:val="595959"/>
                <w:spacing w:val="19"/>
                <w:position w:val="-3"/>
                <w:sz w:val="16"/>
                <w:szCs w:val="16"/>
              </w:rPr>
              <w:t xml:space="preserve">   </w:t>
            </w:r>
            <w:r>
              <w:rPr>
                <w:color w:val="595959"/>
                <w:spacing w:val="-1"/>
                <w:position w:val="-3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2021</w:t>
            </w:r>
            <w:r>
              <w:rPr>
                <w:color w:val="595959"/>
                <w:spacing w:val="18"/>
                <w:position w:val="-3"/>
                <w:sz w:val="16"/>
                <w:szCs w:val="16"/>
              </w:rPr>
              <w:t xml:space="preserve">   </w:t>
            </w:r>
            <w:r>
              <w:rPr>
                <w:color w:val="595959"/>
                <w:spacing w:val="-1"/>
                <w:position w:val="-3"/>
                <w:sz w:val="16"/>
                <w:szCs w:val="16"/>
                <w14:textOutline w14:w="2917" w14:cap="rnd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2022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53" w:line="267" w:lineRule="exact"/>
        <w:ind w:left="3"/>
        <w:rPr>
          <w:sz w:val="16"/>
          <w:szCs w:val="16"/>
        </w:rPr>
      </w:pPr>
      <w:r>
        <w:rPr>
          <w:color w:val="595959"/>
          <w:spacing w:val="-2"/>
          <w:position w:val="10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30%</w:t>
      </w:r>
    </w:p>
    <w:p>
      <w:pPr>
        <w:pStyle w:val="BodyText"/>
        <w:spacing w:before="1" w:line="183" w:lineRule="auto"/>
        <w:ind w:left="1"/>
        <w:rPr>
          <w:sz w:val="16"/>
          <w:szCs w:val="16"/>
        </w:rPr>
      </w:pPr>
      <w:r>
        <w:rPr>
          <w:color w:val="595959"/>
          <w:spacing w:val="-2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20%</w:t>
      </w:r>
    </w:p>
    <w:p>
      <w:pPr>
        <w:pStyle w:val="BodyText"/>
        <w:spacing w:before="108" w:line="183" w:lineRule="auto"/>
        <w:ind w:left="11"/>
        <w:rPr>
          <w:sz w:val="16"/>
          <w:szCs w:val="16"/>
        </w:rPr>
      </w:pPr>
      <w:r>
        <w:rPr>
          <w:color w:val="595959"/>
          <w:spacing w:val="-5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10%</w:t>
      </w:r>
    </w:p>
    <w:p>
      <w:pPr>
        <w:pStyle w:val="BodyText"/>
        <w:spacing w:before="109" w:line="183" w:lineRule="auto"/>
        <w:ind w:left="1"/>
        <w:rPr>
          <w:sz w:val="16"/>
          <w:szCs w:val="16"/>
        </w:rPr>
      </w:pPr>
      <w:r>
        <w:rPr>
          <w:color w:val="595959"/>
          <w:spacing w:val="-1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0%</w:t>
      </w:r>
    </w:p>
    <w:p>
      <w:pPr>
        <w:pStyle w:val="BodyText"/>
        <w:spacing w:before="108" w:line="266" w:lineRule="exact"/>
        <w:rPr>
          <w:sz w:val="16"/>
          <w:szCs w:val="16"/>
        </w:rPr>
      </w:pPr>
      <w:r>
        <w:rPr>
          <w:color w:val="595959"/>
          <w:spacing w:val="-1"/>
          <w:position w:val="10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-10%</w:t>
      </w:r>
    </w:p>
    <w:p>
      <w:pPr>
        <w:pStyle w:val="BodyText"/>
        <w:spacing w:before="1" w:line="183" w:lineRule="auto"/>
        <w:rPr>
          <w:sz w:val="16"/>
          <w:szCs w:val="16"/>
        </w:rPr>
      </w:pPr>
      <w:r>
        <w:rPr>
          <w:color w:val="595959"/>
          <w:spacing w:val="-1"/>
          <w:sz w:val="16"/>
          <w:szCs w:val="16"/>
          <w14:textOutline w14:w="2917" w14:cap="rnd">
            <w14:solidFill>
              <w14:srgbClr w14:val="595959"/>
            </w14:solidFill>
            <w14:prstDash w14:val="solid"/>
            <w14:round/>
          </w14:textOutline>
        </w:rPr>
        <w:t>-20%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82"/>
          <w:footerReference w:type="default" r:id="rId83"/>
          <w:type w:val="continuous"/>
          <w:pgSz w:w="11907" w:h="16839"/>
          <w:pgMar w:top="1064" w:right="605" w:bottom="803" w:left="674" w:header="884" w:footer="567" w:gutter="0"/>
          <w:pgNumType w:start="17"/>
          <w:cols w:num="3" w:space="708" w:equalWidth="0">
            <w:col w:w="4194" w:space="44"/>
            <w:col w:w="1446" w:space="100"/>
            <w:col w:w="4844" w:space="0"/>
          </w:cols>
        </w:sectPr>
      </w:pPr>
    </w:p>
    <w:p>
      <w:pPr>
        <w:pStyle w:val="BodyText"/>
        <w:spacing w:before="102" w:line="213" w:lineRule="auto"/>
        <w:ind w:left="5"/>
        <w:rPr>
          <w:sz w:val="16"/>
          <w:szCs w:val="16"/>
        </w:rPr>
      </w:pPr>
      <w:r>
        <w:rPr>
          <w:i/>
          <w:iCs/>
          <w:color w:val="404040"/>
          <w:sz w:val="16"/>
          <w:szCs w:val="16"/>
        </w:rPr>
        <w:t>资料来源：公司招股说明书，公司年报，</w:t>
      </w:r>
      <w:r>
        <w:rPr>
          <w:color w:val="404040"/>
          <w:spacing w:val="-32"/>
          <w:sz w:val="16"/>
          <w:szCs w:val="16"/>
        </w:rPr>
        <w:t xml:space="preserve"> </w:t>
      </w:r>
      <w:r>
        <w:rPr>
          <w:i/>
          <w:iCs/>
          <w:color w:val="404040"/>
          <w:sz w:val="16"/>
          <w:szCs w:val="16"/>
        </w:rPr>
        <w:t>国投证券研究中心</w:t>
      </w:r>
      <w:r>
        <w:rPr>
          <w:color w:val="404040"/>
          <w:sz w:val="16"/>
          <w:szCs w:val="16"/>
        </w:rPr>
        <w:t xml:space="preserve">               </w:t>
      </w:r>
      <w:r>
        <w:rPr>
          <w:i/>
          <w:iCs/>
          <w:color w:val="404040"/>
          <w:sz w:val="16"/>
          <w:szCs w:val="16"/>
        </w:rPr>
        <w:t>资料来源：公司招股说</w:t>
      </w:r>
      <w:r>
        <w:rPr>
          <w:i/>
          <w:iCs/>
          <w:color w:val="404040"/>
          <w:spacing w:val="-1"/>
          <w:sz w:val="16"/>
          <w:szCs w:val="16"/>
        </w:rPr>
        <w:t>明书，公司年报，</w:t>
      </w:r>
      <w:r>
        <w:rPr>
          <w:color w:val="404040"/>
          <w:spacing w:val="-31"/>
          <w:sz w:val="16"/>
          <w:szCs w:val="16"/>
        </w:rPr>
        <w:t xml:space="preserve"> </w:t>
      </w:r>
      <w:r>
        <w:rPr>
          <w:i/>
          <w:iCs/>
          <w:color w:val="404040"/>
          <w:spacing w:val="-1"/>
          <w:sz w:val="16"/>
          <w:szCs w:val="16"/>
        </w:rPr>
        <w:t>国投证券研究中心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33" w:lineRule="auto"/>
        <w:ind w:left="2170" w:right="9" w:hanging="4"/>
        <w:jc w:val="both"/>
        <w:rPr>
          <w:sz w:val="21"/>
          <w:szCs w:val="21"/>
        </w:rPr>
      </w:pP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公司股权结构属于家族控股模式，股权结构稳定。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根据招股说明书以及公司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2022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年年报披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露，公司创始人、董事长张聪渊先生持有公司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34.0%，董事长夫</w:t>
      </w:r>
      <w:r>
        <w:rPr>
          <w:color w:val="404040"/>
          <w:spacing w:val="-2"/>
          <w:sz w:val="21"/>
          <w:szCs w:val="21"/>
        </w:rPr>
        <w:t>人周美月持有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8.8%的股份，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董事长子女张志邦、张文馨与张育维共持有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42.4%的股</w:t>
      </w:r>
      <w:r>
        <w:rPr>
          <w:color w:val="404040"/>
          <w:spacing w:val="-1"/>
          <w:sz w:val="21"/>
          <w:szCs w:val="21"/>
        </w:rPr>
        <w:t>份。家族成员通过共同持有香港俊耀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和中山浤霆实现对华利集团的控股，</w:t>
      </w:r>
      <w:r>
        <w:rPr>
          <w:color w:val="404040"/>
          <w:spacing w:val="-2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合计持有超过</w:t>
      </w:r>
      <w:r>
        <w:rPr>
          <w:color w:val="404040"/>
          <w:spacing w:val="-5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80%的股份。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18" w:lineRule="auto"/>
        <w:ind w:left="2198"/>
        <w:rPr>
          <w:sz w:val="21"/>
          <w:szCs w:val="21"/>
        </w:rPr>
        <w:sectPr>
          <w:headerReference w:type="default" r:id="rId84"/>
          <w:footerReference w:type="default" r:id="rId85"/>
          <w:type w:val="continuous"/>
          <w:pgSz w:w="11907" w:h="16839"/>
          <w:pgMar w:top="1064" w:right="605" w:bottom="803" w:left="674" w:header="884" w:footer="567" w:gutter="0"/>
          <w:pgNumType w:start="18"/>
          <w:cols w:num="1" w:space="708" w:equalWidth="0">
            <w:col w:w="10627" w:space="0"/>
          </w:cols>
        </w:sectPr>
      </w:pPr>
      <w:bookmarkStart w:id="23" w:name="bookmark35"/>
      <w:bookmarkEnd w:id="23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图10.华利集团股权结构图</w:t>
      </w:r>
    </w:p>
    <w:p>
      <w:pPr>
        <w:pStyle w:val="BodyText"/>
        <w:spacing w:before="30"/>
        <w:ind w:left="2991"/>
        <w:rPr>
          <w:sz w:val="14"/>
          <w:szCs w:val="14"/>
        </w:rPr>
      </w:pPr>
      <w:r>
        <w:pict>
          <v:shape id="_x0000_s1125" type="#_x0000_t202" style="width:37.7pt;height:20.3pt;margin-top:0.53pt;margin-left:204.25pt;position:absolute;z-index:2517401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10" name="IM 1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xmlns:r="http://schemas.openxmlformats.org/officeDocument/2006/relationships" r:embed="rId8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7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8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周美月</w:t>
                  </w:r>
                  <w:r>
                    <w:rPr>
                      <w:spacing w:val="-15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12" name="IM 1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xmlns:r="http://schemas.openxmlformats.org/officeDocument/2006/relationships"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26" type="#_x0000_t202" style="width:37.7pt;height:20.3pt;margin-top:0.53pt;margin-left:259.91pt;position:absolute;z-index:2517391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14" name="IM 1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xmlns:r="http://schemas.openxmlformats.org/officeDocument/2006/relationships"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5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5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张志邦</w:t>
                  </w:r>
                  <w:r>
                    <w:rPr>
                      <w:spacing w:val="-18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16" name="IM 1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xmlns:r="http://schemas.openxmlformats.org/officeDocument/2006/relationships"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27" type="#_x0000_t202" style="width:37.7pt;height:20.3pt;margin-top:0.53pt;margin-left:315.57pt;position:absolute;z-index:2517411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18" name="IM 1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xmlns:r="http://schemas.openxmlformats.org/officeDocument/2006/relationships" r:embed="rId9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9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4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张文馨</w:t>
                  </w:r>
                  <w:r>
                    <w:rPr>
                      <w:spacing w:val="-19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20" name="IM 1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xmlns:r="http://schemas.openxmlformats.org/officeDocument/2006/relationships"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128" type="#_x0000_t202" style="width:37.7pt;height:20.3pt;margin-top:0.53pt;margin-left:371.22pt;position:absolute;z-index:2517422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22" name="IM 1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xmlns:r="http://schemas.openxmlformats.org/officeDocument/2006/relationships"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8"/>
                      <w:sz w:val="14"/>
                      <w:szCs w:val="14"/>
                    </w:rPr>
                    <w:t xml:space="preserve"> </w:t>
                  </w:r>
                  <w:r>
                    <w:rPr>
                      <w:spacing w:val="15"/>
                      <w:sz w:val="14"/>
                      <w:szCs w:val="14"/>
                      <w14:textOutline w14:w="2656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张育维</w:t>
                  </w:r>
                  <w:r>
                    <w:rPr>
                      <w:spacing w:val="-21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13"/>
                      <w:sz w:val="14"/>
                      <w:szCs w:val="14"/>
                    </w:rPr>
                    <w:drawing>
                      <wp:inline distT="0" distB="0" distL="0" distR="0">
                        <wp:extent cx="38132" cy="231873"/>
                        <wp:effectExtent l="0" t="0" r="0" b="0"/>
                        <wp:docPr id="124" name="IM 1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xmlns:r="http://schemas.openxmlformats.org/officeDocument/2006/relationships" r:embed="rId9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132" cy="2318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position w:val="-13"/>
          <w:sz w:val="14"/>
          <w:szCs w:val="14"/>
        </w:rPr>
        <w:drawing>
          <wp:inline distT="0" distB="0" distL="0" distR="0">
            <wp:extent cx="38132" cy="231873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8132" cy="23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4"/>
          <w:szCs w:val="14"/>
        </w:rPr>
        <w:t xml:space="preserve"> </w:t>
      </w:r>
      <w:r>
        <w:rPr>
          <w:spacing w:val="15"/>
          <w:sz w:val="14"/>
          <w:szCs w:val="14"/>
          <w14:textOutline w14:w="2656" w14:cap="rnd">
            <w14:solidFill>
              <w14:srgbClr w14:val="000000"/>
            </w14:solidFill>
            <w14:prstDash w14:val="solid"/>
            <w14:round/>
          </w14:textOutline>
        </w:rPr>
        <w:t>张聪渊</w:t>
      </w:r>
      <w:r>
        <w:rPr>
          <w:spacing w:val="-15"/>
          <w:sz w:val="14"/>
          <w:szCs w:val="14"/>
        </w:rPr>
        <w:t xml:space="preserve"> </w:t>
      </w:r>
      <w:r>
        <w:rPr>
          <w:position w:val="-13"/>
          <w:sz w:val="14"/>
          <w:szCs w:val="14"/>
        </w:rPr>
        <w:drawing>
          <wp:inline distT="0" distB="0" distL="0" distR="0">
            <wp:extent cx="38132" cy="231873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132" cy="231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6" w:line="195" w:lineRule="auto"/>
        <w:ind w:left="2987"/>
        <w:rPr>
          <w:sz w:val="10"/>
          <w:szCs w:val="10"/>
        </w:rPr>
      </w:pPr>
      <w:r>
        <w:pict>
          <v:shape id="_x0000_s1129" type="#_x0000_t202" style="width:13.5pt;height:7.3pt;margin-top:3.28pt;margin-left:202.77pt;position:absolute;z-index:2517432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7"/>
                      <w:sz w:val="10"/>
                      <w:szCs w:val="10"/>
                      <w14:textOutline w14:w="1994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130" type="#_x0000_t202" style="width:13.5pt;height:7.3pt;margin-top:3.28pt;margin-left:259.62pt;position:absolute;z-index:2517442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7"/>
                      <w:sz w:val="10"/>
                      <w:szCs w:val="10"/>
                      <w14:textOutline w14:w="1994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131" type="#_x0000_t202" style="width:13.5pt;height:7.3pt;margin-top:3.28pt;margin-left:316.47pt;position:absolute;z-index:2517452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7"/>
                      <w:sz w:val="10"/>
                      <w:szCs w:val="10"/>
                      <w14:textOutline w14:w="1994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132" type="#_x0000_t202" style="width:13.5pt;height:7.3pt;margin-top:3.28pt;margin-left:370.87pt;position:absolute;z-index:2517463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spacing w:val="7"/>
                      <w:sz w:val="10"/>
                      <w:szCs w:val="10"/>
                      <w14:textOutline w14:w="1994" w14:cap="rnd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100%</w:t>
                  </w:r>
                </w:p>
              </w:txbxContent>
            </v:textbox>
          </v:shape>
        </w:pict>
      </w:r>
      <w:r>
        <w:rPr>
          <w:spacing w:val="7"/>
          <w:sz w:val="10"/>
          <w:szCs w:val="10"/>
          <w14:textOutline w14:w="1994" w14:cap="rnd">
            <w14:solidFill>
              <w14:srgbClr w14:val="000000"/>
            </w14:solidFill>
            <w14:prstDash w14:val="solid"/>
            <w14:round/>
          </w14:textOutline>
        </w:rPr>
        <w:t>100%</w:t>
      </w:r>
    </w:p>
    <w:p>
      <w:pPr>
        <w:spacing w:before="56" w:line="55" w:lineRule="exact"/>
        <w:ind w:firstLine="7337"/>
      </w:pPr>
      <w:r>
        <w:rPr>
          <w:position w:val="-1"/>
        </w:rPr>
        <w:pict>
          <v:shape id="_x0000_i1133" style="width:46.45pt;height:2.75pt;mso-position-horizontal-relative:char;mso-position-vertical-relative:line" coordorigin="0,0" coordsize="929,55" path="m898,27l30,27e" filled="f" strokecolor="#ea700d" strokeweight="2.87pt">
            <v:stroke endcap="round"/>
            <w10:wrap type="none"/>
          </v:shape>
        </w:pic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" w:line="54" w:lineRule="exact"/>
        <w:ind w:firstLine="5834"/>
      </w:pPr>
      <w:r>
        <w:rPr>
          <w:position w:val="-1"/>
        </w:rPr>
        <w:pict>
          <v:shape id="_x0000_i1134" style="width:46.45pt;height:2.75pt;mso-position-horizontal-relative:char;mso-position-vertical-relative:line" coordorigin="0,0" coordsize="929,55" path="m898,27l30,27e" filled="f" strokecolor="#f9c499" strokeweight="2.87pt">
            <v:stroke endcap="round"/>
            <w10:wrap type="none"/>
          </v:shape>
        </w:pic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line="541" w:lineRule="exact"/>
        <w:ind w:firstLine="3921"/>
      </w:pPr>
      <w:r>
        <w:rPr>
          <w:position w:val="-10"/>
        </w:rPr>
        <w:pict>
          <v:group id="_x0000_i1135" style="width:165.6pt;height:27.05pt;mso-position-horizontal-relative:char;mso-position-vertical-relative:line" coordorigin="0,0" coordsize="3312,540" filled="f" stroked="f">
            <v:rect id="_x0000_s1136" style="width:3252;height:485;left:30;position:absolute;top:27" filled="t" fillcolor="#0070c0" stroked="f"/>
            <v:shape id="_x0000_s1137" type="#_x0000_t202" style="width:828;height:223;left:1253;position:absolute;top:155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16"/>
                        <w:sz w:val="18"/>
                        <w:szCs w:val="18"/>
                        <w14:textOutline w14:w="3327" w14:cap="rnd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华利集团</w:t>
                    </w:r>
                  </w:p>
                </w:txbxContent>
              </v:textbox>
            </v:shape>
            <v:shape id="_x0000_s1138" style="width:60;height:540;left:3251;position:absolute" coordorigin="0,0" coordsize="60,540" path="m30,512l30,27e" filled="f" strokecolor="#0070c0" strokeweight="2.87pt">
              <v:stroke endcap="round"/>
            </v:shape>
            <v:shape id="_x0000_s1139" style="width:60;height:540;position:absolute" coordorigin="0,0" coordsize="60,540" path="m30,27l30,512e" filled="f" strokecolor="#0070c0" strokeweight="2.87pt">
              <v:stroke endcap="round"/>
            </v:shape>
            <w10:wrap type="none"/>
          </v:group>
        </w:pict>
      </w:r>
    </w:p>
    <w:p>
      <w:pPr>
        <w:pStyle w:val="BodyText"/>
        <w:spacing w:before="54" w:line="186" w:lineRule="auto"/>
        <w:ind w:left="2170"/>
        <w:rPr>
          <w:sz w:val="16"/>
          <w:szCs w:val="16"/>
        </w:rPr>
      </w:pPr>
      <w:r>
        <w:rPr>
          <w:i/>
          <w:iCs/>
          <w:color w:val="404040"/>
          <w:sz w:val="16"/>
          <w:szCs w:val="16"/>
        </w:rPr>
        <w:t>资料来源：公司招股说明书，公司年报，</w:t>
      </w:r>
      <w:r>
        <w:rPr>
          <w:color w:val="404040"/>
          <w:spacing w:val="-31"/>
          <w:sz w:val="16"/>
          <w:szCs w:val="16"/>
        </w:rPr>
        <w:t xml:space="preserve"> </w:t>
      </w:r>
      <w:r>
        <w:rPr>
          <w:i/>
          <w:iCs/>
          <w:color w:val="404040"/>
          <w:sz w:val="16"/>
          <w:szCs w:val="16"/>
        </w:rPr>
        <w:t>国投证券</w:t>
      </w:r>
      <w:r>
        <w:rPr>
          <w:i/>
          <w:iCs/>
          <w:color w:val="404040"/>
          <w:spacing w:val="-1"/>
          <w:sz w:val="16"/>
          <w:szCs w:val="16"/>
        </w:rPr>
        <w:t>研究中心编制</w:t>
      </w:r>
    </w:p>
    <w:p>
      <w:pPr>
        <w:spacing w:line="186" w:lineRule="auto"/>
        <w:rPr>
          <w:sz w:val="16"/>
          <w:szCs w:val="16"/>
        </w:rPr>
        <w:sectPr>
          <w:headerReference w:type="default" r:id="rId96"/>
          <w:footerReference w:type="default" r:id="rId97"/>
          <w:type w:val="nextPage"/>
          <w:pgSz w:w="11907" w:h="16839"/>
          <w:pgMar w:top="1064" w:right="605" w:bottom="803" w:left="674" w:header="884" w:footer="567" w:gutter="0"/>
          <w:pgNumType w:start="19"/>
          <w:cols w:num="1" w:space="708" w:equalWidth="0">
            <w:col w:w="10627" w:space="0"/>
          </w:cols>
          <w:titlePg w:val="0"/>
        </w:sectPr>
      </w:pPr>
    </w:p>
    <w:p>
      <w:pPr>
        <w:spacing w:before="126" w:line="436" w:lineRule="exact"/>
        <w:ind w:firstLine="5"/>
      </w:pPr>
      <w:r>
        <w:pict>
          <v:shape id="_x0000_s1140" style="width:258.05pt;height:0.75pt;margin-top:231.02pt;margin-left:33.72pt;mso-position-horizontal-relative:page;mso-position-vertical-relative:page;position:absolute;z-index:251753472" coordorigin="0,0" coordsize="5160,15" o:allowincell="f" path="m,14l5160,14l5160,l,l,14xe" filled="t" fillcolor="black" stroked="f"/>
        </w:pict>
      </w:r>
      <w:r>
        <w:pict>
          <v:shape id="_x0000_s1141" style="width:258.05pt;height:0.75pt;margin-top:386.33pt;margin-left:33.72pt;mso-position-horizontal-relative:page;mso-position-vertical-relative:page;position:absolute;z-index:251751424" coordorigin="0,0" coordsize="5160,15" o:allowincell="f" path="m,14l5160,14l5160,l,l,14xe" filled="t" fillcolor="black" stroked="f"/>
        </w:pict>
      </w:r>
      <w:r>
        <w:pict>
          <v:shape id="_x0000_s1142" style="width:258.05pt;height:0.75pt;margin-top:231.02pt;margin-left:303.65pt;mso-position-horizontal-relative:page;mso-position-vertical-relative:page;position:absolute;z-index:251754496" coordorigin="0,0" coordsize="5160,15" o:allowincell="f" path="m,14l5160,14l5160,l,l,14xe" filled="t" fillcolor="black" stroked="f"/>
        </w:pict>
      </w:r>
      <w:r>
        <w:pict>
          <v:shape id="_x0000_s1143" style="width:258.05pt;height:0.75pt;margin-top:386.33pt;margin-left:303.65pt;mso-position-horizontal-relative:page;mso-position-vertical-relative:page;position:absolute;z-index:251752448" coordorigin="0,0" coordsize="5160,15" o:allowincell="f" path="m,14l5160,14l5160,l,l,14xe" filled="t" fillcolor="black" stroked="f"/>
        </w:pict>
      </w:r>
      <w:r>
        <w:pict>
          <v:shape id="_x0000_s1144" style="width:197.95pt;height:102.8pt;margin-top:263.36pt;margin-left:340.2pt;mso-position-horizontal-relative:page;mso-position-vertical-relative:page;position:absolute;z-index:251748352" coordorigin="0,0" coordsize="3958,2056" o:allowincell="f" path="m51,2003l51,2m,2003l51,2003m,1503l51,1503m,1004l51,1004m,502l51,502m,2l51,2m51,2003l3955,2003m51,2003l51,2055m703,2003l703,2055m1353,2003l1353,2055m2003,2003l2003,2055m2654,2003l2654,2055m3304,2003l3304,2055m3955,2003l3955,2055e" filled="f" strokecolor="#404040" strokeweight="0.25pt"/>
        </w:pict>
      </w: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4477511</wp:posOffset>
            </wp:positionH>
            <wp:positionV relativeFrom="page">
              <wp:posOffset>3419857</wp:posOffset>
            </wp:positionV>
            <wp:extent cx="2231135" cy="1197228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231135" cy="1197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5" style="width:419.35pt;height:0.75pt;margin-top:769.42pt;margin-left:141.98pt;mso-position-horizontal-relative:page;mso-position-vertical-relative:page;position:absolute;z-index:251750400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749376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6" w:line="246" w:lineRule="auto"/>
        <w:ind w:left="2174" w:right="1983" w:firstLine="1"/>
      </w:pPr>
      <w:bookmarkStart w:id="25" w:name="bookmark8"/>
      <w:bookmarkEnd w:id="25"/>
      <w:bookmarkStart w:id="26" w:name="bookmark9"/>
      <w:bookmarkEnd w:id="26"/>
      <w:bookmarkStart w:id="27" w:name="bookmark89"/>
      <w:bookmarkEnd w:id="27"/>
      <w:r>
        <w:rPr>
          <w:color w:val="404040"/>
          <w:sz w:val="28"/>
          <w:szCs w:val="28"/>
          <w14:textOutline w14:w="5094">
            <w14:solidFill>
              <w14:srgbClr w14:val="404040"/>
            </w14:solidFill>
            <w14:prstDash w14:val="solid"/>
            <w14:miter w14:lim="10"/>
          </w14:textOutline>
        </w:rPr>
        <w:t>3.运动鞋景气度更佳，代工企业集中度有望不断提高</w:t>
      </w:r>
      <w:r>
        <w:rPr>
          <w:color w:val="404040"/>
          <w:spacing w:val="15"/>
          <w:sz w:val="28"/>
          <w:szCs w:val="28"/>
        </w:rPr>
        <w:t xml:space="preserve"> </w:t>
      </w:r>
      <w:r>
        <w:rPr>
          <w:color w:val="404040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3.1.运动鞋服渗透率不断提高，耐克库存压力回落</w:t>
      </w:r>
    </w:p>
    <w:p>
      <w:pPr>
        <w:pStyle w:val="BodyText"/>
        <w:spacing w:before="69" w:line="236" w:lineRule="auto"/>
        <w:ind w:left="2174" w:firstLine="3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全球运动鞋服市场规模增长大幅波动。</w:t>
      </w:r>
      <w:r>
        <w:rPr>
          <w:color w:val="404040"/>
          <w:spacing w:val="-3"/>
          <w:sz w:val="21"/>
          <w:szCs w:val="21"/>
        </w:rPr>
        <w:t>全球运动鞋服市场在经历了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2019</w:t>
      </w:r>
      <w:r>
        <w:rPr>
          <w:color w:val="404040"/>
          <w:spacing w:val="-5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年前的持续增长后，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增长较为波动，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2020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年因全球疫情影响销售情况不佳，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2021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年出现较大幅度</w:t>
      </w:r>
      <w:r>
        <w:rPr>
          <w:color w:val="404040"/>
          <w:spacing w:val="-5"/>
          <w:sz w:val="21"/>
          <w:szCs w:val="21"/>
        </w:rPr>
        <w:t>反弹后在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2022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年增速再度放缓。根据</w:t>
      </w:r>
      <w:r>
        <w:rPr>
          <w:color w:val="404040"/>
          <w:spacing w:val="-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Euromonitor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数据，</w:t>
      </w:r>
      <w:r>
        <w:rPr>
          <w:color w:val="404040"/>
          <w:spacing w:val="-58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2022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年全球运动鞋服市场规模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3717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亿美</w:t>
      </w:r>
      <w:r>
        <w:rPr>
          <w:color w:val="404040"/>
          <w:spacing w:val="-6"/>
          <w:sz w:val="21"/>
          <w:szCs w:val="21"/>
        </w:rPr>
        <w:t>元，YoY-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1%，过去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5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CAGR+1%。美国市场的萎缩是造成全球市场规模下滑的主要因素，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2022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年美国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运动鞋服市场规模同比下滑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3%，下滑程度</w:t>
      </w:r>
      <w:r>
        <w:rPr>
          <w:color w:val="404040"/>
          <w:spacing w:val="-2"/>
          <w:sz w:val="21"/>
          <w:szCs w:val="21"/>
        </w:rPr>
        <w:t>高于其他主要市场。我们认为美国市场规模下滑，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主要因为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2022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年高通胀环境下消费能力下滑所致。</w:t>
      </w:r>
    </w:p>
    <w:p>
      <w:pPr>
        <w:spacing w:before="38"/>
      </w:pPr>
    </w:p>
    <w:p>
      <w:pPr>
        <w:sectPr>
          <w:headerReference w:type="default" r:id="rId99"/>
          <w:footerReference w:type="default" r:id="rId100"/>
          <w:pgSz w:w="11907" w:h="16839"/>
          <w:pgMar w:top="1064" w:right="615" w:bottom="803" w:left="674" w:header="884" w:footer="567" w:gutter="0"/>
          <w:pgNumType w:start="20"/>
          <w:cols w:num="1" w:space="708" w:equalWidth="0">
            <w:col w:w="10617" w:space="0"/>
          </w:cols>
        </w:sectPr>
      </w:pPr>
    </w:p>
    <w:p>
      <w:pPr>
        <w:pStyle w:val="BodyText"/>
        <w:spacing w:before="42" w:line="219" w:lineRule="auto"/>
        <w:ind w:left="33"/>
        <w:rPr>
          <w:sz w:val="21"/>
          <w:szCs w:val="21"/>
        </w:rPr>
      </w:pPr>
      <w:bookmarkStart w:id="28" w:name="bookmark36"/>
      <w:bookmarkEnd w:id="28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图11.全球运动鞋服市场规模</w:t>
      </w:r>
    </w:p>
    <w:p>
      <w:pPr>
        <w:pStyle w:val="BodyText"/>
        <w:spacing w:before="186" w:line="213" w:lineRule="auto"/>
        <w:ind w:left="551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243840" cy="45719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7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市场规模（十亿美元，左轴）</w:t>
      </w:r>
      <w:r>
        <w:rPr>
          <w:color w:val="404040"/>
          <w:spacing w:val="61"/>
          <w:sz w:val="16"/>
          <w:szCs w:val="16"/>
        </w:rPr>
        <w:t xml:space="preserve"> </w:t>
      </w:r>
      <w:r>
        <w:rPr>
          <w:position w:val="4"/>
          <w:sz w:val="16"/>
          <w:szCs w:val="16"/>
        </w:rPr>
        <w:drawing>
          <wp:inline distT="0" distB="0" distL="0" distR="0">
            <wp:extent cx="256539" cy="12700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56539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6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YoY（%，右轴）</w:t>
      </w:r>
    </w:p>
    <w:p>
      <w:pPr>
        <w:spacing w:line="193" w:lineRule="exact"/>
      </w:pPr>
    </w:p>
    <w:tbl>
      <w:tblPr>
        <w:tblStyle w:val="TableNormal4"/>
        <w:tblW w:w="4380" w:type="dxa"/>
        <w:tblInd w:w="38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5"/>
        <w:gridCol w:w="3660"/>
        <w:gridCol w:w="405"/>
      </w:tblGrid>
      <w:tr>
        <w:tblPrEx>
          <w:tblW w:w="4380" w:type="dxa"/>
          <w:tblInd w:w="38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75"/>
        </w:trPr>
        <w:tc>
          <w:tcPr>
            <w:tcW w:w="315" w:type="dxa"/>
            <w:vAlign w:val="top"/>
          </w:tcPr>
          <w:p>
            <w:pPr>
              <w:pStyle w:val="TableText"/>
              <w:spacing w:line="183" w:lineRule="auto"/>
            </w:pPr>
            <w:r>
              <w:rPr>
                <w:color w:val="404040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400</w:t>
            </w:r>
          </w:p>
          <w:p>
            <w:pPr>
              <w:pStyle w:val="TableText"/>
              <w:spacing w:before="232" w:line="183" w:lineRule="auto"/>
              <w:ind w:left="4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380</w:t>
            </w:r>
          </w:p>
          <w:p>
            <w:pPr>
              <w:pStyle w:val="TableText"/>
              <w:spacing w:before="232" w:line="183" w:lineRule="auto"/>
              <w:ind w:left="4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360</w:t>
            </w:r>
          </w:p>
          <w:p>
            <w:pPr>
              <w:pStyle w:val="TableText"/>
              <w:spacing w:before="232" w:line="183" w:lineRule="auto"/>
              <w:ind w:left="4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340</w:t>
            </w:r>
          </w:p>
          <w:p>
            <w:pPr>
              <w:pStyle w:val="TableText"/>
              <w:spacing w:before="232" w:line="183" w:lineRule="auto"/>
              <w:ind w:left="4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320</w:t>
            </w:r>
          </w:p>
          <w:p>
            <w:pPr>
              <w:pStyle w:val="TableText"/>
              <w:spacing w:before="233" w:line="183" w:lineRule="auto"/>
              <w:ind w:left="4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300</w:t>
            </w:r>
          </w:p>
        </w:tc>
        <w:tc>
          <w:tcPr>
            <w:tcW w:w="3660" w:type="dxa"/>
            <w:vAlign w:val="top"/>
          </w:tcPr>
          <w:p>
            <w:pPr>
              <w:spacing w:before="59" w:line="2109" w:lineRule="exact"/>
              <w:ind w:firstLine="44"/>
            </w:pPr>
            <w:r>
              <w:rPr>
                <w:position w:val="-42"/>
              </w:rPr>
              <w:drawing>
                <wp:inline distT="0" distB="0" distL="0" distR="0">
                  <wp:extent cx="2266378" cy="1338897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378" cy="1338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9" w:line="117" w:lineRule="exact"/>
              <w:ind w:left="209"/>
            </w:pP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2017</w:t>
            </w:r>
            <w:r>
              <w:rPr>
                <w:color w:val="404040"/>
                <w:spacing w:val="21"/>
                <w:position w:val="-3"/>
              </w:rPr>
              <w:t xml:space="preserve">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2018</w:t>
            </w:r>
            <w:r>
              <w:rPr>
                <w:color w:val="404040"/>
                <w:spacing w:val="21"/>
                <w:position w:val="-3"/>
              </w:rPr>
              <w:t xml:space="preserve">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2019</w:t>
            </w:r>
            <w:r>
              <w:rPr>
                <w:color w:val="404040"/>
                <w:spacing w:val="22"/>
                <w:position w:val="-3"/>
              </w:rPr>
              <w:t xml:space="preserve">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2020</w:t>
            </w:r>
            <w:r>
              <w:rPr>
                <w:color w:val="404040"/>
                <w:spacing w:val="21"/>
                <w:position w:val="-3"/>
              </w:rPr>
              <w:t xml:space="preserve">  </w:t>
            </w:r>
            <w:r>
              <w:rPr>
                <w:color w:val="404040"/>
                <w:spacing w:val="-1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2021</w:t>
            </w:r>
            <w:r>
              <w:rPr>
                <w:color w:val="404040"/>
                <w:spacing w:val="21"/>
                <w:position w:val="-3"/>
              </w:rPr>
              <w:t xml:space="preserve">  </w:t>
            </w:r>
            <w:r>
              <w:rPr>
                <w:color w:val="404040"/>
                <w:spacing w:val="-2"/>
                <w:position w:val="-3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2022</w:t>
            </w:r>
          </w:p>
        </w:tc>
        <w:tc>
          <w:tcPr>
            <w:tcW w:w="405" w:type="dxa"/>
            <w:vAlign w:val="top"/>
          </w:tcPr>
          <w:p>
            <w:pPr>
              <w:pStyle w:val="TableText"/>
              <w:spacing w:line="294" w:lineRule="exact"/>
              <w:ind w:left="50"/>
            </w:pPr>
            <w:r>
              <w:rPr>
                <w:color w:val="404040"/>
                <w:spacing w:val="-1"/>
                <w:position w:val="1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20%</w:t>
            </w:r>
          </w:p>
          <w:p>
            <w:pPr>
              <w:pStyle w:val="TableText"/>
              <w:spacing w:line="181" w:lineRule="auto"/>
              <w:ind w:left="60"/>
            </w:pPr>
            <w:r>
              <w:rPr>
                <w:color w:val="404040"/>
                <w:spacing w:val="-4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15%</w:t>
            </w:r>
          </w:p>
          <w:p>
            <w:pPr>
              <w:pStyle w:val="TableText"/>
              <w:spacing w:before="115" w:line="183" w:lineRule="auto"/>
              <w:ind w:left="60"/>
            </w:pPr>
            <w:r>
              <w:rPr>
                <w:color w:val="404040"/>
                <w:spacing w:val="-4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10%</w:t>
            </w:r>
          </w:p>
          <w:p>
            <w:pPr>
              <w:pStyle w:val="TableText"/>
              <w:spacing w:before="115" w:line="182" w:lineRule="auto"/>
              <w:ind w:left="47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5%</w:t>
            </w:r>
          </w:p>
          <w:p>
            <w:pPr>
              <w:pStyle w:val="TableText"/>
              <w:spacing w:before="116" w:line="183" w:lineRule="auto"/>
              <w:ind w:left="50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0%</w:t>
            </w:r>
          </w:p>
          <w:p>
            <w:pPr>
              <w:pStyle w:val="TableText"/>
              <w:spacing w:before="116" w:line="301" w:lineRule="auto"/>
              <w:ind w:left="48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-5%</w:t>
            </w:r>
            <w:r>
              <w:rPr>
                <w:color w:val="404040"/>
              </w:rPr>
              <w:t xml:space="preserve">  </w:t>
            </w: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-10%</w:t>
            </w:r>
          </w:p>
          <w:p>
            <w:pPr>
              <w:pStyle w:val="TableText"/>
              <w:spacing w:before="1" w:line="181" w:lineRule="auto"/>
              <w:jc w:val="right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-15%</w:t>
            </w:r>
          </w:p>
        </w:tc>
      </w:tr>
    </w:tbl>
    <w:p>
      <w:pPr>
        <w:pStyle w:val="BodyText"/>
        <w:spacing w:before="196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20" w:lineRule="auto"/>
        <w:ind w:left="33"/>
        <w:rPr>
          <w:sz w:val="21"/>
          <w:szCs w:val="21"/>
        </w:rPr>
      </w:pPr>
      <w:bookmarkStart w:id="29" w:name="bookmark37"/>
      <w:bookmarkEnd w:id="29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图12.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各大主要市场市场规模（十亿美元）</w:t>
      </w:r>
    </w:p>
    <w:p>
      <w:pPr>
        <w:pStyle w:val="BodyText"/>
        <w:spacing w:before="201" w:line="218" w:lineRule="auto"/>
        <w:ind w:left="1582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19"/>
          <w:sz w:val="16"/>
          <w:szCs w:val="16"/>
        </w:rPr>
        <w:t xml:space="preserve"> </w:t>
      </w:r>
      <w:r>
        <w:rPr>
          <w:color w:val="404040"/>
          <w:spacing w:val="-8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中国</w:t>
      </w:r>
      <w:r>
        <w:rPr>
          <w:color w:val="404040"/>
          <w:spacing w:val="36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3"/>
          <w:sz w:val="16"/>
          <w:szCs w:val="16"/>
        </w:rPr>
        <w:t xml:space="preserve"> </w:t>
      </w:r>
      <w:r>
        <w:rPr>
          <w:color w:val="404040"/>
          <w:spacing w:val="-8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美国</w:t>
      </w:r>
      <w:r>
        <w:rPr>
          <w:color w:val="404040"/>
          <w:spacing w:val="36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4"/>
          <w:sz w:val="16"/>
          <w:szCs w:val="16"/>
        </w:rPr>
        <w:t xml:space="preserve"> </w:t>
      </w:r>
      <w:r>
        <w:rPr>
          <w:color w:val="404040"/>
          <w:spacing w:val="-8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西欧</w:t>
      </w:r>
      <w:r>
        <w:rPr>
          <w:color w:val="404040"/>
          <w:spacing w:val="36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2"/>
          <w:sz w:val="16"/>
          <w:szCs w:val="16"/>
        </w:rPr>
        <w:t xml:space="preserve"> </w:t>
      </w:r>
      <w:r>
        <w:rPr>
          <w:color w:val="404040"/>
          <w:spacing w:val="-8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其他</w:t>
      </w:r>
    </w:p>
    <w:p>
      <w:pPr>
        <w:pStyle w:val="BodyText"/>
        <w:spacing w:before="189" w:line="183" w:lineRule="auto"/>
        <w:ind w:left="372"/>
        <w:rPr>
          <w:sz w:val="18"/>
          <w:szCs w:val="18"/>
        </w:rPr>
      </w:pP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400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58" w:line="183" w:lineRule="auto"/>
        <w:ind w:left="377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300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60" w:line="183" w:lineRule="auto"/>
        <w:ind w:left="375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200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58" w:line="183" w:lineRule="auto"/>
        <w:ind w:left="38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100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556"/>
        <w:rPr>
          <w:sz w:val="18"/>
          <w:szCs w:val="18"/>
        </w:rPr>
      </w:pP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</w:t>
      </w:r>
    </w:p>
    <w:p>
      <w:pPr>
        <w:pStyle w:val="BodyText"/>
        <w:spacing w:before="15" w:line="183" w:lineRule="auto"/>
        <w:ind w:left="933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2017</w:t>
      </w:r>
      <w:r>
        <w:rPr>
          <w:color w:val="404040"/>
          <w:spacing w:val="8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9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pacing w:val="8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2020</w:t>
      </w:r>
      <w:r>
        <w:rPr>
          <w:color w:val="404040"/>
          <w:spacing w:val="9"/>
          <w:sz w:val="18"/>
          <w:szCs w:val="18"/>
        </w:rPr>
        <w:t xml:space="preserve">   </w:t>
      </w: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2021</w:t>
      </w:r>
      <w:r>
        <w:rPr>
          <w:color w:val="404040"/>
          <w:spacing w:val="8"/>
          <w:sz w:val="18"/>
          <w:szCs w:val="18"/>
        </w:rPr>
        <w:t xml:space="preserve">   </w:t>
      </w:r>
      <w:r>
        <w:rPr>
          <w:color w:val="404040"/>
          <w:spacing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pStyle w:val="BodyText"/>
        <w:spacing w:before="183" w:line="186" w:lineRule="auto"/>
        <w:ind w:left="5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186" w:lineRule="auto"/>
        <w:rPr>
          <w:sz w:val="16"/>
          <w:szCs w:val="16"/>
        </w:rPr>
        <w:sectPr>
          <w:headerReference w:type="default" r:id="rId108"/>
          <w:footerReference w:type="default" r:id="rId109"/>
          <w:type w:val="continuous"/>
          <w:pgSz w:w="11907" w:h="16839"/>
          <w:pgMar w:top="1064" w:right="615" w:bottom="803" w:left="674" w:header="884" w:footer="567" w:gutter="0"/>
          <w:pgNumType w:start="21"/>
          <w:cols w:num="2" w:space="708" w:equalWidth="0">
            <w:col w:w="5299" w:space="100"/>
            <w:col w:w="5219" w:space="0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9" w:line="236" w:lineRule="auto"/>
        <w:ind w:left="2170" w:right="59" w:firstLine="4"/>
        <w:rPr>
          <w:sz w:val="21"/>
          <w:szCs w:val="21"/>
        </w:rPr>
      </w:pP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运动鞋服市场仍是鞋服品类中景气度最佳。</w:t>
      </w:r>
      <w:r>
        <w:rPr>
          <w:color w:val="404040"/>
          <w:spacing w:val="-1"/>
          <w:sz w:val="21"/>
          <w:szCs w:val="21"/>
        </w:rPr>
        <w:t>跳出运动鞋服品类看全球鞋服市场走势，我们发</w:t>
      </w:r>
      <w:r>
        <w:rPr>
          <w:color w:val="404040"/>
          <w:spacing w:val="1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现运动鞋服的景气度仍优胜于鞋服整体市场。2022</w:t>
      </w:r>
      <w:r>
        <w:rPr>
          <w:color w:val="404040"/>
          <w:spacing w:val="-36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年服装和鞋履整体全球零售额增长率分别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为-2.4%和-1.4%，运动服和运动鞋的</w:t>
      </w:r>
      <w:r>
        <w:rPr>
          <w:color w:val="404040"/>
          <w:spacing w:val="-4"/>
          <w:sz w:val="21"/>
          <w:szCs w:val="21"/>
        </w:rPr>
        <w:t>增长率则分别为-1.3%和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0.1%，景气度运动鞋服均更佳，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其中运动鞋表现更为优秀。而从过往数年的历史数据看，运动鞋服市场呈现了</w:t>
      </w:r>
      <w:r>
        <w:rPr>
          <w:rFonts w:ascii="Arial" w:eastAsia="Arial" w:hAnsi="Arial" w:cs="Arial"/>
          <w:color w:val="404040"/>
          <w:sz w:val="21"/>
          <w:szCs w:val="21"/>
        </w:rPr>
        <w:t>“</w:t>
      </w:r>
      <w:r>
        <w:rPr>
          <w:rFonts w:ascii="Arial" w:eastAsia="Arial" w:hAnsi="Arial" w:cs="Arial"/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多涨少跌</w:t>
      </w:r>
      <w:r>
        <w:rPr>
          <w:rFonts w:ascii="Arial" w:eastAsia="Arial" w:hAnsi="Arial" w:cs="Arial"/>
          <w:color w:val="404040"/>
          <w:sz w:val="21"/>
          <w:szCs w:val="21"/>
        </w:rPr>
        <w:t>”</w:t>
      </w:r>
      <w:r>
        <w:rPr>
          <w:rFonts w:ascii="Arial" w:eastAsia="Arial" w:hAnsi="Arial" w:cs="Arial"/>
          <w:color w:val="404040"/>
          <w:spacing w:val="-38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的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规律，即当鞋服市场规模整体增长时，运动鞋服增</w:t>
      </w:r>
      <w:r>
        <w:rPr>
          <w:color w:val="404040"/>
          <w:spacing w:val="-1"/>
          <w:sz w:val="21"/>
          <w:szCs w:val="21"/>
        </w:rPr>
        <w:t>长得更快，而当整体市场规模下滑时，运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动鞋服下滑得更少。2022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年整体鞋服市场规模出现一定程度萎缩的背景下，</w:t>
      </w:r>
      <w:r>
        <w:rPr>
          <w:color w:val="404040"/>
          <w:spacing w:val="-5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运动鞋服规模萎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缩得更少，规律仍有效。因此我们相信，当鞋服市场恢复</w:t>
      </w:r>
      <w:r>
        <w:rPr>
          <w:color w:val="404040"/>
          <w:spacing w:val="-1"/>
          <w:sz w:val="21"/>
          <w:szCs w:val="21"/>
        </w:rPr>
        <w:t>增长时，运动鞋服的增长动能将会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更大，</w:t>
      </w:r>
      <w:r>
        <w:rPr>
          <w:color w:val="404040"/>
          <w:spacing w:val="-6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其中运动鞋板块表现将会更佳。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198"/>
        <w:rPr>
          <w:sz w:val="21"/>
          <w:szCs w:val="21"/>
        </w:rPr>
      </w:pPr>
      <w:bookmarkStart w:id="30" w:name="bookmark38"/>
      <w:bookmarkEnd w:id="30"/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图13.运动服及运动鞋全球市场规模情况</w:t>
      </w:r>
    </w:p>
    <w:p>
      <w:pPr>
        <w:pStyle w:val="BodyText"/>
        <w:spacing w:before="186" w:line="268" w:lineRule="auto"/>
        <w:ind w:left="3982" w:right="1865" w:firstLine="22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243839" cy="45720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2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运动鞋（十亿美元，左轴）</w:t>
      </w:r>
      <w:r>
        <w:rPr>
          <w:color w:val="404040"/>
          <w:spacing w:val="69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243840" cy="45720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1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运动服（十亿美元，左轴）</w:t>
      </w:r>
      <w:r>
        <w:rPr>
          <w:color w:val="404040"/>
          <w:sz w:val="16"/>
          <w:szCs w:val="16"/>
        </w:rPr>
        <w:t xml:space="preserve"> </w:t>
      </w:r>
      <w:r>
        <w:rPr>
          <w:color w:val="404040"/>
          <w:position w:val="3"/>
          <w:sz w:val="16"/>
          <w:szCs w:val="16"/>
        </w:rPr>
        <w:drawing>
          <wp:inline distT="0" distB="0" distL="0" distR="0">
            <wp:extent cx="272415" cy="28575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7241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7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运动鞋YoY(%,右轴）</w:t>
      </w:r>
      <w:r>
        <w:rPr>
          <w:color w:val="404040"/>
          <w:spacing w:val="2"/>
          <w:sz w:val="16"/>
          <w:szCs w:val="16"/>
        </w:rPr>
        <w:t xml:space="preserve">       </w:t>
      </w:r>
      <w:r>
        <w:rPr>
          <w:strike/>
          <w:color w:val="404040"/>
          <w:spacing w:val="6"/>
          <w:sz w:val="16"/>
          <w:szCs w:val="16"/>
        </w:rPr>
        <w:t xml:space="preserve">     </w:t>
      </w:r>
      <w:r>
        <w:rPr>
          <w:color w:val="404040"/>
          <w:spacing w:val="-50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运动服YoY(%,右轴）</w:t>
      </w:r>
    </w:p>
    <w:p>
      <w:pPr>
        <w:spacing w:line="162" w:lineRule="exact"/>
      </w:pPr>
    </w:p>
    <w:p>
      <w:pPr>
        <w:spacing w:line="162" w:lineRule="exact"/>
        <w:sectPr>
          <w:headerReference w:type="default" r:id="rId113"/>
          <w:footerReference w:type="default" r:id="rId114"/>
          <w:type w:val="continuous"/>
          <w:pgSz w:w="11907" w:h="16839"/>
          <w:pgMar w:top="1064" w:right="615" w:bottom="803" w:left="674" w:header="884" w:footer="567" w:gutter="0"/>
          <w:pgNumType w:start="22"/>
          <w:cols w:num="1" w:space="708" w:equalWidth="0">
            <w:col w:w="10617" w:space="0"/>
          </w:cols>
        </w:sectPr>
      </w:pPr>
    </w:p>
    <w:p>
      <w:pPr>
        <w:pStyle w:val="BodyText"/>
        <w:spacing w:line="183" w:lineRule="auto"/>
        <w:ind w:left="2711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400</w:t>
      </w:r>
    </w:p>
    <w:p>
      <w:pPr>
        <w:pStyle w:val="BodyText"/>
        <w:spacing w:before="208" w:line="183" w:lineRule="auto"/>
        <w:ind w:left="2716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350</w:t>
      </w:r>
    </w:p>
    <w:p>
      <w:pPr>
        <w:pStyle w:val="BodyText"/>
        <w:spacing w:before="208" w:line="183" w:lineRule="auto"/>
        <w:ind w:left="2716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300</w:t>
      </w:r>
    </w:p>
    <w:p>
      <w:pPr>
        <w:pStyle w:val="BodyText"/>
        <w:spacing w:before="208" w:line="183" w:lineRule="auto"/>
        <w:ind w:left="2714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250</w:t>
      </w:r>
    </w:p>
    <w:p>
      <w:pPr>
        <w:pStyle w:val="BodyText"/>
        <w:spacing w:before="208" w:line="183" w:lineRule="auto"/>
        <w:ind w:left="2714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200</w:t>
      </w:r>
    </w:p>
    <w:p>
      <w:pPr>
        <w:pStyle w:val="BodyText"/>
        <w:spacing w:before="208" w:line="183" w:lineRule="auto"/>
        <w:ind w:left="2725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150</w:t>
      </w:r>
    </w:p>
    <w:p>
      <w:pPr>
        <w:pStyle w:val="BodyText"/>
        <w:spacing w:before="208" w:line="183" w:lineRule="auto"/>
        <w:ind w:left="2725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100</w:t>
      </w:r>
    </w:p>
    <w:p>
      <w:pPr>
        <w:pStyle w:val="BodyText"/>
        <w:spacing w:before="208" w:line="183" w:lineRule="auto"/>
        <w:ind w:left="2802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50</w:t>
      </w:r>
    </w:p>
    <w:p>
      <w:pPr>
        <w:pStyle w:val="BodyText"/>
        <w:spacing w:before="208" w:line="126" w:lineRule="exact"/>
        <w:ind w:left="2896"/>
        <w:rPr>
          <w:sz w:val="18"/>
          <w:szCs w:val="18"/>
        </w:rPr>
      </w:pPr>
      <w:r>
        <w:rPr>
          <w:color w:val="404040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15"/>
          <w:footerReference w:type="default" r:id="rId116"/>
          <w:type w:val="continuous"/>
          <w:pgSz w:w="11907" w:h="16839"/>
          <w:pgMar w:top="1064" w:right="615" w:bottom="803" w:left="674" w:header="884" w:footer="567" w:gutter="0"/>
          <w:pgNumType w:start="23"/>
          <w:cols w:num="3" w:space="708" w:equalWidth="0">
            <w:col w:w="3062" w:space="100"/>
            <w:col w:w="6377" w:space="94"/>
            <w:col w:w="98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7" w:line="3145" w:lineRule="exact"/>
      </w:pPr>
      <w:r>
        <w:rPr>
          <w:position w:val="-62"/>
        </w:rPr>
        <w:pict>
          <v:group id="_x0000_i1146" style="width:318.85pt;height:157.3pt;mso-position-horizontal-relative:char;mso-position-vertical-relative:line" coordorigin="0,0" coordsize="6377,3146" filled="f" stroked="f">
            <v:shape id="_x0000_s1147" type="#_x0000_t75" style="width:5647;height:2912;left:364;position:absolute;top:181" filled="f" stroked="f">
              <v:imagedata r:id="rId117" o:title=""/>
            </v:shape>
            <v:shape id="_x0000_s1148" type="#_x0000_t202" style="width:6417;height:318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5"/>
                      <w:tblW w:w="6371" w:type="dxa"/>
                      <w:tblInd w:w="22" w:type="dxa"/>
                      <w:tblBorders>
                        <w:top w:val="single" w:sz="2" w:space="0" w:color="404040"/>
                        <w:left w:val="single" w:sz="2" w:space="0" w:color="404040"/>
                        <w:bottom w:val="single" w:sz="2" w:space="0" w:color="404040"/>
                        <w:right w:val="single" w:sz="2" w:space="0" w:color="404040"/>
                      </w:tblBorders>
                      <w:tblLayout w:type="fixed"/>
                    </w:tblPr>
                    <w:tblGrid>
                      <w:gridCol w:w="6371"/>
                    </w:tblGrid>
                    <w:tr>
                      <w:tblPrEx>
                        <w:tblW w:w="6371" w:type="dxa"/>
                        <w:tblInd w:w="22" w:type="dxa"/>
                        <w:tblBorders>
                          <w:top w:val="single" w:sz="2" w:space="0" w:color="404040"/>
                          <w:left w:val="single" w:sz="2" w:space="0" w:color="404040"/>
                          <w:bottom w:val="single" w:sz="2" w:space="0" w:color="404040"/>
                          <w:right w:val="single" w:sz="2" w:space="0" w:color="404040"/>
                        </w:tblBorders>
                        <w:tblLayout w:type="fixed"/>
                      </w:tblPrEx>
                      <w:trPr>
                        <w:trHeight w:val="3135"/>
                      </w:trPr>
                      <w:tc>
                        <w:tcPr>
                          <w:tcW w:w="6371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rect id="_x0000_s1149" style="width:51;height:5;left:6324;position:absolute;top:2705" filled="t" fillcolor="#404040" stroked="f"/>
            <v:rect id="_x0000_s1150" style="width:51;height:5;left:6324;position:absolute;top:2319" filled="t" fillcolor="#404040" stroked="f"/>
            <v:rect id="_x0000_s1151" style="width:51;height:5;left:6324;position:absolute;top:1160" filled="t" fillcolor="#404040" stroked="f"/>
            <v:rect id="_x0000_s1152" style="width:51;height:5;left:6324;position:absolute;top:1546" filled="t" fillcolor="#404040" stroked="f"/>
            <v:rect id="_x0000_s1153" style="width:51;height:5;left:6324;position:absolute;top:773" filled="t" fillcolor="#404040" stroked="f"/>
            <v:rect id="_x0000_s1154" style="width:51;height:5;left:6324;position:absolute;top:387" filled="t" fillcolor="#404040" stroked="f"/>
            <v:rect id="_x0000_s1155" style="width:51;height:5;left:6324;position:absolute;top:1932" filled="t" fillcolor="#404040" stroked="f"/>
            <v:rect id="_x0000_s1156" style="width:51;height:5;position:absolute;top:1546" filled="t" fillcolor="#404040" stroked="f"/>
            <v:rect id="_x0000_s1157" style="width:51;height:5;position:absolute;top:2319" filled="t" fillcolor="#404040" stroked="f"/>
            <v:rect id="_x0000_s1158" style="width:51;height:5;position:absolute;top:2705" filled="t" fillcolor="#404040" stroked="f"/>
            <v:rect id="_x0000_s1159" style="width:51;height:5;position:absolute;top:1160" filled="t" fillcolor="#404040" stroked="f"/>
            <v:rect id="_x0000_s1160" style="width:51;height:5;position:absolute;top:387" filled="t" fillcolor="#404040" stroked="f"/>
            <v:rect id="_x0000_s1161" style="width:51;height:5;position:absolute;top:773" filled="t" fillcolor="#404040" stroked="f"/>
            <v:rect id="_x0000_s1162" style="width:51;height:5;position:absolute;top:1932" filled="t" fillcolor="#404040" stroked="f"/>
            <v:rect id="_x0000_s1163" style="width:5;height:51;left:5276;position:absolute;top:3093" filled="t" fillcolor="#404040" stroked="f"/>
            <v:rect id="_x0000_s1164" style="width:5;height:51;left:2140;position:absolute;top:3093" filled="t" fillcolor="#404040" stroked="f"/>
            <v:rect id="_x0000_s1165" style="width:5;height:51;left:4230;position:absolute;top:3093" filled="t" fillcolor="#404040" stroked="f"/>
            <v:rect id="_x0000_s1166" style="width:5;height:51;left:1093;position:absolute;top:3093" filled="t" fillcolor="#404040" stroked="f"/>
            <v:rect id="_x0000_s1167" style="width:5;height:51;left:3186;position:absolute;top:3093" filled="t" fillcolor="#404040" stroked="f"/>
            <w10:wrap type="none"/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387" w:lineRule="exact"/>
        <w:ind w:left="2"/>
        <w:rPr>
          <w:sz w:val="18"/>
          <w:szCs w:val="18"/>
        </w:rPr>
      </w:pPr>
      <w:r>
        <w:rPr>
          <w:color w:val="404040"/>
          <w:spacing w:val="-1"/>
          <w:position w:val="18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20%</w:t>
      </w:r>
    </w:p>
    <w:p>
      <w:pPr>
        <w:pStyle w:val="BodyText"/>
        <w:spacing w:before="1" w:line="181" w:lineRule="auto"/>
        <w:ind w:left="13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15%</w:t>
      </w:r>
    </w:p>
    <w:p>
      <w:pPr>
        <w:pStyle w:val="BodyText"/>
        <w:spacing w:before="208" w:line="182" w:lineRule="auto"/>
        <w:ind w:left="13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10%</w:t>
      </w:r>
    </w:p>
    <w:p>
      <w:pPr>
        <w:pStyle w:val="BodyText"/>
        <w:spacing w:before="209" w:line="182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5%</w:t>
      </w:r>
    </w:p>
    <w:p>
      <w:pPr>
        <w:pStyle w:val="BodyText"/>
        <w:spacing w:before="208" w:line="183" w:lineRule="auto"/>
        <w:ind w:left="2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0%</w:t>
      </w:r>
    </w:p>
    <w:p>
      <w:pPr>
        <w:pStyle w:val="BodyText"/>
        <w:spacing w:before="209" w:line="386" w:lineRule="exact"/>
        <w:rPr>
          <w:sz w:val="18"/>
          <w:szCs w:val="18"/>
        </w:rPr>
      </w:pPr>
      <w:r>
        <w:rPr>
          <w:color w:val="404040"/>
          <w:spacing w:val="-1"/>
          <w:position w:val="18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-5%</w:t>
      </w:r>
    </w:p>
    <w:p>
      <w:pPr>
        <w:pStyle w:val="BodyText"/>
        <w:spacing w:line="182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-10%</w:t>
      </w:r>
    </w:p>
    <w:p>
      <w:pPr>
        <w:pStyle w:val="BodyText"/>
        <w:spacing w:before="209" w:line="182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-15%</w:t>
      </w:r>
    </w:p>
    <w:p>
      <w:pPr>
        <w:pStyle w:val="BodyText"/>
        <w:spacing w:before="208" w:line="127" w:lineRule="exact"/>
        <w:rPr>
          <w:sz w:val="18"/>
          <w:szCs w:val="18"/>
        </w:rPr>
      </w:pP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-20%</w:t>
      </w:r>
    </w:p>
    <w:p>
      <w:pPr>
        <w:spacing w:line="127" w:lineRule="exact"/>
        <w:rPr>
          <w:sz w:val="18"/>
          <w:szCs w:val="18"/>
        </w:rPr>
        <w:sectPr>
          <w:headerReference w:type="default" r:id="rId118"/>
          <w:footerReference w:type="default" r:id="rId119"/>
          <w:type w:val="nextPage"/>
          <w:pgSz w:w="11907" w:h="16839"/>
          <w:pgMar w:top="1064" w:right="615" w:bottom="803" w:left="674" w:header="884" w:footer="567" w:gutter="0"/>
          <w:pgNumType w:start="24"/>
          <w:cols w:num="3" w:space="708" w:equalWidth="0">
            <w:col w:w="3062" w:space="100"/>
            <w:col w:w="6377" w:space="94"/>
            <w:col w:w="985" w:space="0"/>
          </w:cols>
          <w:titlePg w:val="0"/>
        </w:sectPr>
      </w:pPr>
    </w:p>
    <w:p>
      <w:pPr>
        <w:pStyle w:val="BodyText"/>
        <w:spacing w:before="66" w:line="183" w:lineRule="auto"/>
        <w:ind w:left="3560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2017</w:t>
      </w:r>
      <w:r>
        <w:rPr>
          <w:color w:val="404040"/>
          <w:spacing w:val="8"/>
          <w:sz w:val="18"/>
          <w:szCs w:val="18"/>
        </w:rPr>
        <w:t xml:space="preserve">       </w:t>
      </w: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9"/>
          <w:sz w:val="18"/>
          <w:szCs w:val="18"/>
        </w:rPr>
        <w:t xml:space="preserve">       </w:t>
      </w: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pacing w:val="8"/>
          <w:sz w:val="18"/>
          <w:szCs w:val="18"/>
        </w:rPr>
        <w:t xml:space="preserve">       </w:t>
      </w: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2020</w:t>
      </w:r>
      <w:r>
        <w:rPr>
          <w:color w:val="404040"/>
          <w:spacing w:val="9"/>
          <w:sz w:val="18"/>
          <w:szCs w:val="18"/>
        </w:rPr>
        <w:t xml:space="preserve">       </w:t>
      </w: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2021</w:t>
      </w:r>
      <w:r>
        <w:rPr>
          <w:color w:val="404040"/>
          <w:spacing w:val="9"/>
          <w:sz w:val="18"/>
          <w:szCs w:val="18"/>
        </w:rPr>
        <w:t xml:space="preserve">       </w:t>
      </w: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pStyle w:val="BodyText"/>
        <w:spacing w:before="151" w:line="186" w:lineRule="auto"/>
        <w:ind w:left="2170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186" w:lineRule="auto"/>
        <w:rPr>
          <w:sz w:val="16"/>
          <w:szCs w:val="16"/>
        </w:rPr>
        <w:sectPr>
          <w:headerReference w:type="default" r:id="rId120"/>
          <w:footerReference w:type="default" r:id="rId121"/>
          <w:type w:val="continuous"/>
          <w:pgSz w:w="11907" w:h="16839"/>
          <w:pgMar w:top="1064" w:right="615" w:bottom="803" w:left="674" w:header="884" w:footer="567" w:gutter="0"/>
          <w:pgNumType w:start="25"/>
          <w:cols w:num="1" w:space="708" w:equalWidth="0">
            <w:col w:w="10617" w:space="0"/>
          </w:cols>
        </w:sectPr>
      </w:pPr>
    </w:p>
    <w:p>
      <w:pPr>
        <w:spacing w:before="126" w:line="436" w:lineRule="exact"/>
      </w:pPr>
      <w:r>
        <w:pict>
          <v:rect id="_x0000_s1168" style="width:39.7pt;height:2.25pt;margin-top:528.72pt;margin-left:340.88pt;mso-position-horizontal-relative:page;mso-position-vertical-relative:page;position:absolute;z-index:251765760" o:allowincell="f" filled="t" fillcolor="#ffc000" stroked="f"/>
        </w:pict>
      </w:r>
      <w:r>
        <w:pict>
          <v:shape id="_x0000_s1169" style="width:419.35pt;height:0.75pt;margin-top:95.78pt;margin-left:141.98pt;mso-position-horizontal-relative:page;mso-position-vertical-relative:page;position:absolute;z-index:251764736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755520" behindDoc="1" locked="0" layoutInCell="0" allowOverlap="1">
            <wp:simplePos x="0" y="0"/>
            <wp:positionH relativeFrom="page">
              <wp:posOffset>2610611</wp:posOffset>
            </wp:positionH>
            <wp:positionV relativeFrom="page">
              <wp:posOffset>1618488</wp:posOffset>
            </wp:positionV>
            <wp:extent cx="3806951" cy="2010156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806951" cy="2010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0" style="width:419.35pt;height:0.75pt;margin-top:318.65pt;margin-left:141.98pt;mso-position-horizontal-relative:page;mso-position-vertical-relative:page;position:absolute;z-index:251763712" coordorigin="0,0" coordsize="8387,15" o:allowincell="f" path="m,14l8386,14l8386,l,l,14xe" filled="t" fillcolor="#595959" stroked="f"/>
        </w:pict>
      </w:r>
      <w:r>
        <w:pict>
          <v:shape id="_x0000_s1171" style="width:419.35pt;height:0.75pt;margin-top:413.81pt;margin-left:141.98pt;mso-position-horizontal-relative:page;mso-position-vertical-relative:page;position:absolute;z-index:251762688" coordorigin="0,0" coordsize="8387,15" o:allowincell="f" path="m,14l8386,14l8386,l,l,14xe" filled="t" fillcolor="#595959" stroked="f"/>
        </w:pict>
      </w:r>
      <w:r>
        <w:pict>
          <v:shape id="_x0000_s1172" style="width:374.2pt;height:2.7pt;margin-top:619.18pt;margin-left:173.69pt;mso-position-horizontal-relative:page;mso-position-vertical-relative:page;position:absolute;z-index:-251559936" coordorigin="0,0" coordsize="7484,54" o:allowincell="f" path="m,2l7481,2m747,2l747,53m1496,2l1496,53m2245,2l2245,53m2991,2l2991,53m3740,2l3740,53m4489,2l4489,53m5235,2l5235,53m5984,2l5984,53m6733,2l6733,53m7481,2l7481,53e" filled="f" strokecolor="#404040" strokeweight="0.25pt"/>
        </w:pict>
      </w:r>
      <w:r>
        <w:drawing>
          <wp:anchor distT="0" distB="0" distL="0" distR="0" simplePos="0" relativeHeight="251757568" behindDoc="1" locked="0" layoutInCell="0" allowOverlap="1">
            <wp:simplePos x="0" y="0"/>
            <wp:positionH relativeFrom="page">
              <wp:posOffset>2429065</wp:posOffset>
            </wp:positionH>
            <wp:positionV relativeFrom="page">
              <wp:posOffset>7549325</wp:posOffset>
            </wp:positionV>
            <wp:extent cx="4304156" cy="325183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4304156" cy="325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3" style="width:2.75pt;height:161.05pt;margin-top:460.86pt;margin-left:171.11pt;mso-position-horizontal-relative:page;mso-position-vertical-relative:page;position:absolute;z-index:251760640" coordorigin="0,0" coordsize="55,3221" o:allowincell="f" path="m51,3169l51,2m,3169l51,3169m,2852l51,2852m,2535l51,2535m,2218l51,2218m,1902l51,1902m,1585l51,1585m,1268l51,1268m,951l51,951m,634l51,634m,318l51,318m,2l51,2m51,3169l51,3220e" filled="f" strokecolor="#404040" strokeweight="0.25pt"/>
        </w:pict>
      </w:r>
      <w:r>
        <w:pict>
          <v:shape id="_x0000_s1174" style="width:151.9pt;height:12.55pt;margin-top:528.72pt;margin-left:191.26pt;mso-position-horizontal-relative:page;mso-position-vertical-relative:page;position:absolute;z-index:251759616" coordorigin="0,0" coordsize="3037,251" o:allowincell="f" path="m22,179l770,227l1519,213l2265,69l3014,22e" filled="f" strokecolor="#ffc000" strokeweight="2.25pt">
            <v:stroke endcap="round"/>
          </v:shape>
        </w:pict>
      </w:r>
      <w:r>
        <w:pict>
          <v:shape id="_x0000_s1175" style="width:419.35pt;height:0.75pt;margin-top:642.67pt;margin-left:141.98pt;mso-position-horizontal-relative:page;mso-position-vertical-relative:page;position:absolute;z-index:251761664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758592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6" w:line="219" w:lineRule="auto"/>
        <w:ind w:left="2193"/>
        <w:rPr>
          <w:sz w:val="21"/>
          <w:szCs w:val="21"/>
        </w:rPr>
      </w:pPr>
      <w:bookmarkStart w:id="31" w:name="bookmark39"/>
      <w:bookmarkEnd w:id="31"/>
      <w:bookmarkStart w:id="32" w:name="bookmark90"/>
      <w:bookmarkEnd w:id="32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图14.运动鞋服增长表现优于鞋服整体</w:t>
      </w:r>
    </w:p>
    <w:p>
      <w:pPr>
        <w:spacing w:line="154" w:lineRule="exact"/>
      </w:pPr>
    </w:p>
    <w:p>
      <w:pPr>
        <w:spacing w:line="154" w:lineRule="exact"/>
        <w:sectPr>
          <w:headerReference w:type="default" r:id="rId124"/>
          <w:footerReference w:type="default" r:id="rId125"/>
          <w:pgSz w:w="11907" w:h="16839"/>
          <w:pgMar w:top="1064" w:right="599" w:bottom="803" w:left="680" w:header="884" w:footer="567" w:gutter="0"/>
          <w:pgNumType w:start="26"/>
          <w:cols w:num="1" w:space="708" w:equalWidth="0">
            <w:col w:w="10627" w:space="0"/>
          </w:cols>
        </w:sect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58" w:line="182" w:lineRule="auto"/>
        <w:jc w:val="right"/>
        <w:rPr>
          <w:sz w:val="18"/>
          <w:szCs w:val="18"/>
        </w:rPr>
      </w:pPr>
      <w:r>
        <w:rPr>
          <w:color w:val="404040"/>
          <w:spacing w:val="-5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15%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jc w:val="right"/>
        <w:rPr>
          <w:sz w:val="18"/>
          <w:szCs w:val="18"/>
        </w:rPr>
      </w:pPr>
      <w:r>
        <w:rPr>
          <w:color w:val="404040"/>
          <w:spacing w:val="-5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10%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59" w:line="182" w:lineRule="auto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5%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jc w:val="right"/>
        <w:rPr>
          <w:sz w:val="18"/>
          <w:szCs w:val="18"/>
        </w:rPr>
      </w:pP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0%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59" w:line="182" w:lineRule="auto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-5%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right="1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-10%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59" w:line="182" w:lineRule="auto"/>
        <w:ind w:right="1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-15%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right="1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-20%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9" w:lineRule="auto"/>
        <w:ind w:left="1641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4"/>
          <w:sz w:val="16"/>
          <w:szCs w:val="16"/>
        </w:rPr>
        <w:t xml:space="preserve"> </w:t>
      </w:r>
      <w:r>
        <w:rPr>
          <w:color w:val="404040"/>
          <w:spacing w:val="-1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服装整体</w:t>
      </w:r>
      <w:r>
        <w:rPr>
          <w:color w:val="404040"/>
          <w:spacing w:val="74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6"/>
          <w:sz w:val="16"/>
          <w:szCs w:val="16"/>
        </w:rPr>
        <w:t xml:space="preserve"> </w:t>
      </w:r>
      <w:r>
        <w:rPr>
          <w:color w:val="404040"/>
          <w:spacing w:val="-1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鞋履整体</w:t>
      </w:r>
      <w:r>
        <w:rPr>
          <w:color w:val="404040"/>
          <w:spacing w:val="7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3"/>
          <w:sz w:val="16"/>
          <w:szCs w:val="16"/>
        </w:rPr>
        <w:t xml:space="preserve"> </w:t>
      </w:r>
      <w:r>
        <w:rPr>
          <w:color w:val="404040"/>
          <w:spacing w:val="-1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运动服</w:t>
      </w:r>
      <w:r>
        <w:rPr>
          <w:color w:val="404040"/>
          <w:spacing w:val="7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3"/>
          <w:sz w:val="16"/>
          <w:szCs w:val="16"/>
        </w:rPr>
        <w:t xml:space="preserve"> </w:t>
      </w:r>
      <w:r>
        <w:rPr>
          <w:color w:val="404040"/>
          <w:spacing w:val="-1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运动鞋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470" w:lineRule="exact"/>
      </w:pPr>
      <w:r>
        <w:rPr>
          <w:position w:val="-69"/>
        </w:rPr>
        <w:drawing>
          <wp:inline distT="0" distB="0" distL="0" distR="0">
            <wp:extent cx="4260024" cy="2203069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260024" cy="2203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8" w:line="127" w:lineRule="exact"/>
        <w:ind w:left="541"/>
        <w:rPr>
          <w:sz w:val="18"/>
          <w:szCs w:val="18"/>
        </w:rPr>
      </w:pP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9"/>
          <w:position w:val="-2"/>
          <w:sz w:val="18"/>
          <w:szCs w:val="18"/>
        </w:rPr>
        <w:t xml:space="preserve">       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pacing w:val="7"/>
          <w:position w:val="-2"/>
          <w:sz w:val="18"/>
          <w:szCs w:val="18"/>
        </w:rPr>
        <w:t xml:space="preserve">       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2020</w:t>
      </w:r>
      <w:r>
        <w:rPr>
          <w:color w:val="404040"/>
          <w:spacing w:val="8"/>
          <w:position w:val="-2"/>
          <w:sz w:val="18"/>
          <w:szCs w:val="18"/>
        </w:rPr>
        <w:t xml:space="preserve">       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2021</w:t>
      </w:r>
      <w:r>
        <w:rPr>
          <w:color w:val="404040"/>
          <w:spacing w:val="8"/>
          <w:position w:val="-2"/>
          <w:sz w:val="18"/>
          <w:szCs w:val="18"/>
        </w:rPr>
        <w:t xml:space="preserve">       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spacing w:line="127" w:lineRule="exact"/>
        <w:rPr>
          <w:sz w:val="18"/>
          <w:szCs w:val="18"/>
        </w:rPr>
        <w:sectPr>
          <w:headerReference w:type="default" r:id="rId131"/>
          <w:footerReference w:type="default" r:id="rId132"/>
          <w:type w:val="continuous"/>
          <w:pgSz w:w="11907" w:h="16839"/>
          <w:pgMar w:top="1064" w:right="599" w:bottom="803" w:left="680" w:header="884" w:footer="567" w:gutter="0"/>
          <w:pgNumType w:start="27"/>
          <w:cols w:num="2" w:space="708" w:equalWidth="0">
            <w:col w:w="3082" w:space="89"/>
            <w:col w:w="7456" w:space="0"/>
          </w:cols>
        </w:sectPr>
      </w:pPr>
    </w:p>
    <w:p>
      <w:pPr>
        <w:pStyle w:val="BodyText"/>
        <w:spacing w:before="198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9" w:line="231" w:lineRule="auto"/>
        <w:ind w:left="2166" w:right="75" w:firstLine="16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头部竞争格局未发生明显改变。</w:t>
      </w:r>
      <w:r>
        <w:rPr>
          <w:color w:val="404040"/>
          <w:spacing w:val="-3"/>
          <w:sz w:val="21"/>
          <w:szCs w:val="21"/>
        </w:rPr>
        <w:t>全球运动鞋服市场主要以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Nike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和</w:t>
      </w:r>
      <w:r>
        <w:rPr>
          <w:color w:val="404040"/>
          <w:spacing w:val="-49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Adidas</w:t>
      </w:r>
      <w:r>
        <w:rPr>
          <w:color w:val="404040"/>
          <w:spacing w:val="-3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为主要龙头,CR5</w:t>
      </w:r>
      <w:r>
        <w:rPr>
          <w:color w:val="404040"/>
          <w:spacing w:val="-4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市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占率保持在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35%左右。近年来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Nike</w:t>
      </w:r>
      <w:r>
        <w:rPr>
          <w:color w:val="404040"/>
          <w:spacing w:val="-42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市占率稳定在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17%的水平，而</w:t>
      </w:r>
      <w:r>
        <w:rPr>
          <w:color w:val="404040"/>
          <w:spacing w:val="-52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Adidas</w:t>
      </w:r>
      <w:r>
        <w:rPr>
          <w:color w:val="404040"/>
          <w:spacing w:val="-42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市占率则有所下滑，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从顶峰的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11%跌至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2022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年的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9%。失去的市场份额则被</w:t>
      </w:r>
      <w:r>
        <w:rPr>
          <w:color w:val="404040"/>
          <w:spacing w:val="-2"/>
          <w:sz w:val="21"/>
          <w:szCs w:val="21"/>
        </w:rPr>
        <w:t>后方品牌承接。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8" w:line="231" w:lineRule="auto"/>
        <w:ind w:left="2193"/>
        <w:rPr>
          <w:sz w:val="21"/>
          <w:szCs w:val="21"/>
        </w:rPr>
      </w:pPr>
      <w:bookmarkStart w:id="33" w:name="bookmark40"/>
      <w:bookmarkEnd w:id="33"/>
      <w:r>
        <w:rPr>
          <w:color w:val="404040"/>
          <w:spacing w:val="4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图15.全球前九大运动鞋服公司市占率（</w:t>
      </w:r>
      <w:r>
        <w:rPr>
          <w:rFonts w:ascii="Arial" w:eastAsia="Arial" w:hAnsi="Arial" w:cs="Arial"/>
          <w:b/>
          <w:bCs/>
          <w:color w:val="404040"/>
          <w:spacing w:val="4"/>
          <w:sz w:val="21"/>
          <w:szCs w:val="21"/>
        </w:rPr>
        <w:t>*</w:t>
      </w:r>
      <w:r>
        <w:rPr>
          <w:color w:val="404040"/>
          <w:spacing w:val="4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）</w:t>
      </w:r>
    </w:p>
    <w:p>
      <w:pPr>
        <w:spacing w:line="146" w:lineRule="exact"/>
      </w:pPr>
    </w:p>
    <w:p>
      <w:pPr>
        <w:spacing w:line="146" w:lineRule="exact"/>
        <w:sectPr>
          <w:headerReference w:type="default" r:id="rId133"/>
          <w:footerReference w:type="default" r:id="rId134"/>
          <w:type w:val="continuous"/>
          <w:pgSz w:w="11907" w:h="16839"/>
          <w:pgMar w:top="1064" w:right="599" w:bottom="803" w:left="680" w:header="884" w:footer="567" w:gutter="0"/>
          <w:pgNumType w:start="28"/>
          <w:cols w:num="1" w:space="708" w:equalWidth="0">
            <w:col w:w="10627" w:space="0"/>
          </w:cols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2385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</w:t>
      </w:r>
    </w:p>
    <w:p>
      <w:pPr>
        <w:pStyle w:val="BodyText"/>
        <w:spacing w:before="139" w:line="182" w:lineRule="auto"/>
        <w:ind w:left="2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18</w:t>
      </w:r>
    </w:p>
    <w:p>
      <w:pPr>
        <w:pStyle w:val="BodyText"/>
        <w:spacing w:before="140" w:line="182" w:lineRule="auto"/>
        <w:ind w:left="2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16</w:t>
      </w:r>
    </w:p>
    <w:p>
      <w:pPr>
        <w:pStyle w:val="BodyText"/>
        <w:spacing w:before="139" w:line="182" w:lineRule="auto"/>
        <w:ind w:left="2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14</w:t>
      </w:r>
    </w:p>
    <w:p>
      <w:pPr>
        <w:pStyle w:val="BodyText"/>
        <w:spacing w:before="138" w:line="184" w:lineRule="auto"/>
        <w:ind w:left="2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12</w:t>
      </w:r>
    </w:p>
    <w:p>
      <w:pPr>
        <w:pStyle w:val="BodyText"/>
        <w:spacing w:before="137" w:line="183" w:lineRule="auto"/>
        <w:ind w:left="2396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10</w:t>
      </w:r>
    </w:p>
    <w:p>
      <w:pPr>
        <w:pStyle w:val="BodyText"/>
        <w:spacing w:before="140" w:line="182" w:lineRule="auto"/>
        <w:ind w:left="2476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8</w:t>
      </w:r>
    </w:p>
    <w:p>
      <w:pPr>
        <w:pStyle w:val="BodyText"/>
        <w:spacing w:before="139" w:line="182" w:lineRule="auto"/>
        <w:ind w:left="2477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6</w:t>
      </w:r>
    </w:p>
    <w:p>
      <w:pPr>
        <w:pStyle w:val="BodyText"/>
        <w:spacing w:before="140" w:line="182" w:lineRule="auto"/>
        <w:ind w:left="2473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4</w:t>
      </w:r>
    </w:p>
    <w:p>
      <w:pPr>
        <w:pStyle w:val="BodyText"/>
        <w:spacing w:before="137" w:line="184" w:lineRule="auto"/>
        <w:ind w:left="2476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</w:t>
      </w:r>
    </w:p>
    <w:p>
      <w:pPr>
        <w:pStyle w:val="BodyText"/>
        <w:spacing w:before="138" w:line="183" w:lineRule="auto"/>
        <w:ind w:left="2476"/>
        <w:rPr>
          <w:sz w:val="18"/>
          <w:szCs w:val="18"/>
        </w:rPr>
      </w:pPr>
      <w:r>
        <w:rPr>
          <w:color w:val="404040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35"/>
          <w:footerReference w:type="default" r:id="rId136"/>
          <w:type w:val="continuous"/>
          <w:pgSz w:w="11907" w:h="16839"/>
          <w:pgMar w:top="1064" w:right="599" w:bottom="803" w:left="680" w:header="884" w:footer="567" w:gutter="0"/>
          <w:pgNumType w:start="29"/>
          <w:cols w:num="2" w:space="708" w:equalWidth="0">
            <w:col w:w="2643" w:space="100"/>
            <w:col w:w="788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0" w:line="183" w:lineRule="auto"/>
        <w:ind w:left="147"/>
        <w:rPr>
          <w:sz w:val="16"/>
          <w:szCs w:val="16"/>
        </w:rPr>
      </w:pPr>
      <w:r>
        <w:pict>
          <v:shape id="_x0000_s1176" type="#_x0000_t202" style="width:88.85pt;height:25.15pt;margin-top:0.18pt;margin-left:123.04pt;position:absolute;z-index:2517667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position w:val="3"/>
                      <w:sz w:val="16"/>
                      <w:szCs w:val="16"/>
                    </w:rPr>
                    <w:drawing>
                      <wp:inline distT="0" distB="0" distL="0" distR="0">
                        <wp:extent cx="272414" cy="28575"/>
                        <wp:effectExtent l="0" t="0" r="0" b="0"/>
                        <wp:docPr id="174" name="IM 1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4" name="IM 174"/>
                                <pic:cNvPicPr/>
                              </pic:nvPicPr>
                              <pic:blipFill>
                                <a:blip xmlns:r="http://schemas.openxmlformats.org/officeDocument/2006/relationships" r:embed="rId1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414" cy="28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04040"/>
                      <w:spacing w:val="-45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1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adidas</w:t>
                  </w:r>
                  <w:r>
                    <w:rPr>
                      <w:color w:val="404040"/>
                      <w:spacing w:val="-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1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Group</w:t>
                  </w:r>
                </w:p>
                <w:p>
                  <w:pPr>
                    <w:pStyle w:val="BodyText"/>
                    <w:spacing w:before="117" w:line="183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position w:val="3"/>
                      <w:sz w:val="16"/>
                      <w:szCs w:val="16"/>
                    </w:rPr>
                    <w:drawing>
                      <wp:inline distT="0" distB="0" distL="0" distR="0">
                        <wp:extent cx="272414" cy="28575"/>
                        <wp:effectExtent l="0" t="0" r="0" b="0"/>
                        <wp:docPr id="176" name="IM 17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6" name="IM 176"/>
                                <pic:cNvPicPr/>
                              </pic:nvPicPr>
                              <pic:blipFill>
                                <a:blip xmlns:r="http://schemas.openxmlformats.org/officeDocument/2006/relationships" r:embed="rId1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414" cy="28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04040"/>
                      <w:spacing w:val="-4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Skechers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USA</w:t>
                  </w:r>
                  <w:r>
                    <w:rPr>
                      <w:color w:val="404040"/>
                      <w:spacing w:val="34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3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Inc</w:t>
                  </w:r>
                </w:p>
              </w:txbxContent>
            </v:textbox>
          </v:shape>
        </w:pict>
      </w:r>
      <w:r>
        <w:pict>
          <v:shape id="_x0000_s1177" type="#_x0000_t202" style="width:52.7pt;height:23.85pt;margin-top:1.5pt;margin-left:239.74pt;position:absolute;z-index:2517678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78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position w:val="14"/>
                      <w:sz w:val="16"/>
                      <w:szCs w:val="16"/>
                    </w:rPr>
                    <w:drawing>
                      <wp:inline distT="0" distB="0" distL="0" distR="0">
                        <wp:extent cx="272415" cy="28575"/>
                        <wp:effectExtent l="0" t="0" r="0" b="0"/>
                        <wp:docPr id="178" name="IM 1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8" name="IM 178"/>
                                <pic:cNvPicPr/>
                              </pic:nvPicPr>
                              <pic:blipFill>
                                <a:blip xmlns:r="http://schemas.openxmlformats.org/officeDocument/2006/relationships" r:embed="rId1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415" cy="28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04040"/>
                      <w:spacing w:val="-57"/>
                      <w:position w:val="1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1"/>
                      <w:position w:val="11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VF</w:t>
                  </w:r>
                  <w:r>
                    <w:rPr>
                      <w:color w:val="404040"/>
                      <w:spacing w:val="6"/>
                      <w:position w:val="1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1"/>
                      <w:position w:val="11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Corp</w:t>
                  </w:r>
                </w:p>
                <w:p>
                  <w:pPr>
                    <w:pStyle w:val="BodyText"/>
                    <w:spacing w:line="182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color w:val="404040"/>
                      <w:position w:val="3"/>
                      <w:sz w:val="16"/>
                      <w:szCs w:val="16"/>
                    </w:rPr>
                    <w:drawing>
                      <wp:inline distT="0" distB="0" distL="0" distR="0">
                        <wp:extent cx="272415" cy="28575"/>
                        <wp:effectExtent l="0" t="0" r="0" b="0"/>
                        <wp:docPr id="180" name="IM 1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0" name="IM 180"/>
                                <pic:cNvPicPr/>
                              </pic:nvPicPr>
                              <pic:blipFill>
                                <a:blip xmlns:r="http://schemas.openxmlformats.org/officeDocument/2006/relationships" r:embed="rId1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415" cy="28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404040"/>
                      <w:spacing w:val="-51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2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Puma</w:t>
                  </w:r>
                  <w:r>
                    <w:rPr>
                      <w:color w:val="404040"/>
                      <w:spacing w:val="6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404040"/>
                      <w:spacing w:val="-2"/>
                      <w:sz w:val="16"/>
                      <w:szCs w:val="16"/>
                      <w14:textOutline w14:w="2917" w14:cap="rnd">
                        <w14:solidFill>
                          <w14:srgbClr w14:val="404040"/>
                        </w14:solidFill>
                        <w14:prstDash w14:val="solid"/>
                        <w14:round/>
                      </w14:textOutline>
                    </w:rPr>
                    <w:t>SE</w:t>
                  </w:r>
                </w:p>
              </w:txbxContent>
            </v:textbox>
          </v:shape>
        </w:pict>
      </w:r>
      <w:r>
        <w:rPr>
          <w:color w:val="404040"/>
          <w:position w:val="3"/>
          <w:sz w:val="16"/>
          <w:szCs w:val="16"/>
        </w:rPr>
        <w:drawing>
          <wp:inline distT="0" distB="0" distL="0" distR="0">
            <wp:extent cx="272414" cy="28575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55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Nike</w:t>
      </w:r>
      <w:r>
        <w:rPr>
          <w:color w:val="404040"/>
          <w:spacing w:val="32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Inc</w:t>
      </w:r>
    </w:p>
    <w:p>
      <w:pPr>
        <w:pStyle w:val="BodyText"/>
        <w:spacing w:before="95" w:line="225" w:lineRule="auto"/>
        <w:ind w:left="147"/>
        <w:rPr>
          <w:sz w:val="16"/>
          <w:szCs w:val="16"/>
        </w:rPr>
      </w:pPr>
      <w:r>
        <w:rPr>
          <w:color w:val="404040"/>
          <w:position w:val="3"/>
          <w:sz w:val="16"/>
          <w:szCs w:val="16"/>
        </w:rPr>
        <w:drawing>
          <wp:inline distT="0" distB="0" distL="0" distR="0">
            <wp:extent cx="272414" cy="28575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6"/>
          <w:sz w:val="16"/>
          <w:szCs w:val="16"/>
        </w:rPr>
        <w:t xml:space="preserve"> </w:t>
      </w:r>
      <w:r>
        <w:rPr>
          <w:color w:val="404040"/>
          <w:spacing w:val="-3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Anta</w:t>
      </w:r>
      <w:r>
        <w:rPr>
          <w:color w:val="404040"/>
          <w:spacing w:val="37"/>
          <w:sz w:val="16"/>
          <w:szCs w:val="16"/>
        </w:rPr>
        <w:t xml:space="preserve"> </w:t>
      </w:r>
      <w:r>
        <w:rPr>
          <w:color w:val="404040"/>
          <w:spacing w:val="-3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(China)</w:t>
      </w:r>
      <w:r>
        <w:rPr>
          <w:color w:val="404040"/>
          <w:spacing w:val="-3"/>
          <w:sz w:val="16"/>
          <w:szCs w:val="16"/>
        </w:rPr>
        <w:t xml:space="preserve"> </w:t>
      </w:r>
      <w:r>
        <w:rPr>
          <w:color w:val="404040"/>
          <w:spacing w:val="-3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Co</w:t>
      </w:r>
      <w:r>
        <w:rPr>
          <w:color w:val="404040"/>
          <w:spacing w:val="8"/>
          <w:sz w:val="16"/>
          <w:szCs w:val="16"/>
        </w:rPr>
        <w:t xml:space="preserve"> </w:t>
      </w:r>
      <w:r>
        <w:rPr>
          <w:color w:val="404040"/>
          <w:spacing w:val="-3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Ltd</w:t>
      </w:r>
    </w:p>
    <w:p>
      <w:pPr>
        <w:pStyle w:val="BodyText"/>
        <w:spacing w:before="83" w:line="216" w:lineRule="auto"/>
        <w:ind w:left="147"/>
        <w:rPr>
          <w:sz w:val="16"/>
          <w:szCs w:val="16"/>
        </w:rPr>
      </w:pPr>
      <w:r>
        <w:rPr>
          <w:color w:val="404040"/>
          <w:position w:val="3"/>
          <w:sz w:val="16"/>
          <w:szCs w:val="16"/>
        </w:rPr>
        <w:drawing>
          <wp:inline distT="0" distB="0" distL="0" distR="0">
            <wp:extent cx="272414" cy="28575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8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Under</w:t>
      </w:r>
      <w:r>
        <w:rPr>
          <w:color w:val="404040"/>
          <w:spacing w:val="-2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Armour</w:t>
      </w:r>
      <w:r>
        <w:rPr>
          <w:color w:val="404040"/>
          <w:spacing w:val="34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Inc</w:t>
      </w:r>
      <w:r>
        <w:rPr>
          <w:color w:val="404040"/>
          <w:spacing w:val="5"/>
          <w:sz w:val="16"/>
          <w:szCs w:val="16"/>
        </w:rPr>
        <w:t xml:space="preserve">       </w:t>
      </w:r>
      <w:r>
        <w:rPr>
          <w:position w:val="3"/>
          <w:sz w:val="16"/>
          <w:szCs w:val="16"/>
        </w:rPr>
        <w:drawing>
          <wp:inline distT="0" distB="0" distL="0" distR="0">
            <wp:extent cx="272414" cy="28575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7241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5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lululemon</w:t>
      </w:r>
      <w:r>
        <w:rPr>
          <w:color w:val="404040"/>
          <w:spacing w:val="-2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athletica</w:t>
      </w:r>
      <w:r>
        <w:rPr>
          <w:color w:val="404040"/>
          <w:spacing w:val="31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inc</w:t>
      </w:r>
      <w:r>
        <w:rPr>
          <w:color w:val="404040"/>
          <w:spacing w:val="-47"/>
          <w:sz w:val="16"/>
          <w:szCs w:val="16"/>
        </w:rPr>
        <w:t xml:space="preserve"> </w:t>
      </w:r>
      <w:r>
        <w:rPr>
          <w:strike/>
          <w:color w:val="404040"/>
          <w:spacing w:val="5"/>
          <w:sz w:val="16"/>
          <w:szCs w:val="16"/>
        </w:rPr>
        <w:t xml:space="preserve">     </w:t>
      </w:r>
      <w:r>
        <w:rPr>
          <w:color w:val="404040"/>
          <w:spacing w:val="-48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Li</w:t>
      </w:r>
      <w:r>
        <w:rPr>
          <w:color w:val="404040"/>
          <w:spacing w:val="-2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Ning</w:t>
      </w:r>
      <w:r>
        <w:rPr>
          <w:color w:val="404040"/>
          <w:spacing w:val="-2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Co</w:t>
      </w:r>
      <w:r>
        <w:rPr>
          <w:color w:val="404040"/>
          <w:spacing w:val="7"/>
          <w:sz w:val="16"/>
          <w:szCs w:val="16"/>
        </w:rPr>
        <w:t xml:space="preserve"> </w:t>
      </w:r>
      <w:r>
        <w:rPr>
          <w:color w:val="404040"/>
          <w:spacing w:val="-2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Ltd</w:t>
      </w:r>
    </w:p>
    <w:p>
      <w:pPr>
        <w:spacing w:line="407" w:lineRule="auto"/>
        <w:rPr>
          <w:rFonts w:ascii="Arial"/>
          <w:sz w:val="21"/>
        </w:rPr>
      </w:pPr>
    </w:p>
    <w:p>
      <w:pPr>
        <w:spacing w:before="1" w:line="472" w:lineRule="exact"/>
        <w:ind w:firstLine="403"/>
      </w:pPr>
      <w:r>
        <w:rPr>
          <w:position w:val="-9"/>
        </w:rPr>
        <w:pict>
          <v:shape id="_x0000_i1178" style="width:338.95pt;height:23.65pt;mso-position-horizontal-relative:char;mso-position-vertical-relative:line" coordorigin="0,0" coordsize="6779,472" path="m22,450l770,306l1519,133l2265,102l3014,181l3763,213l4512,165l5258,22l6007,85l6755,102e" filled="f" strokecolor="#2f5597" strokeweight="2.25pt">
            <v:stroke endcap="round"/>
            <w10:wrap type="none"/>
          </v:shape>
        </w:pic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1" w:line="362" w:lineRule="exact"/>
        <w:ind w:firstLine="4144"/>
      </w:pPr>
      <w:r>
        <w:rPr>
          <w:position w:val="-7"/>
        </w:rPr>
        <w:pict>
          <v:shape id="_x0000_i1179" style="width:151.9pt;height:18.1pt;mso-position-horizontal-relative:char;mso-position-vertical-relative:line" coordorigin="0,0" coordsize="3037,362" path="m22,22l771,69l1517,100l2266,165l3014,339e" filled="f" strokecolor="#ffc000" strokeweight="2.25pt">
            <v:stroke endcap="round"/>
            <w10:wrap type="none"/>
          </v:shape>
        </w:pic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108" w:lineRule="exact"/>
        <w:ind w:firstLine="403"/>
      </w:pPr>
      <w:r>
        <w:rPr>
          <w:position w:val="-2"/>
        </w:rPr>
        <w:pict>
          <v:shape id="_x0000_i1180" style="width:338.95pt;height:5.45pt;mso-position-horizontal-relative:char;mso-position-vertical-relative:line" coordorigin="0,0" coordsize="6779,108" path="m22,70l770,39l1519,22l2265,53l3014,70l3763,53l4512,39l5258,70l6007,85l6755,70e" filled="f" strokecolor="#026fb4" strokeweight="2.25pt">
            <v:stroke endcap="round"/>
            <w10:wrap type="none"/>
          </v:shape>
        </w:pict>
      </w:r>
    </w:p>
    <w:p>
      <w:pPr>
        <w:spacing w:before="35" w:line="527" w:lineRule="exact"/>
        <w:ind w:firstLine="403"/>
      </w:pPr>
      <w:r>
        <w:rPr>
          <w:position w:val="-10"/>
        </w:rPr>
        <w:drawing>
          <wp:inline distT="0" distB="0" distL="0" distR="0">
            <wp:extent cx="4304156" cy="335216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4304156" cy="33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8" w:line="127" w:lineRule="exact"/>
        <w:ind w:left="250"/>
        <w:rPr>
          <w:sz w:val="18"/>
          <w:szCs w:val="18"/>
        </w:rPr>
      </w:pP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2013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2014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2015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2016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2017</w:t>
      </w:r>
      <w:r>
        <w:rPr>
          <w:color w:val="404040"/>
          <w:spacing w:val="9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2020</w:t>
      </w:r>
      <w:r>
        <w:rPr>
          <w:color w:val="404040"/>
          <w:spacing w:val="8"/>
          <w:position w:val="-2"/>
          <w:sz w:val="18"/>
          <w:szCs w:val="18"/>
        </w:rPr>
        <w:t xml:space="preserve">    </w:t>
      </w:r>
      <w:r>
        <w:rPr>
          <w:color w:val="404040"/>
          <w:spacing w:val="-1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</w:t>
      </w:r>
      <w:r>
        <w:rPr>
          <w:color w:val="404040"/>
          <w:spacing w:val="-2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021</w:t>
      </w:r>
      <w:r>
        <w:rPr>
          <w:color w:val="404040"/>
          <w:spacing w:val="9"/>
          <w:position w:val="-2"/>
          <w:sz w:val="18"/>
          <w:szCs w:val="18"/>
        </w:rPr>
        <w:t xml:space="preserve">    </w:t>
      </w:r>
      <w:r>
        <w:rPr>
          <w:color w:val="404040"/>
          <w:spacing w:val="-2"/>
          <w:position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spacing w:line="127" w:lineRule="exact"/>
        <w:rPr>
          <w:sz w:val="18"/>
          <w:szCs w:val="18"/>
        </w:rPr>
        <w:sectPr>
          <w:headerReference w:type="default" r:id="rId146"/>
          <w:footerReference w:type="default" r:id="rId147"/>
          <w:type w:val="nextPage"/>
          <w:pgSz w:w="11907" w:h="16839"/>
          <w:pgMar w:top="1064" w:right="599" w:bottom="803" w:left="680" w:header="884" w:footer="567" w:gutter="0"/>
          <w:pgNumType w:start="30"/>
          <w:cols w:num="2" w:space="708" w:equalWidth="0">
            <w:col w:w="2643" w:space="100"/>
            <w:col w:w="7885" w:space="0"/>
          </w:cols>
          <w:titlePg w:val="0"/>
        </w:sectPr>
      </w:pPr>
    </w:p>
    <w:p>
      <w:pPr>
        <w:pStyle w:val="BodyText"/>
        <w:spacing w:before="245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3"/>
          <w:sz w:val="16"/>
          <w:szCs w:val="16"/>
        </w:rPr>
        <w:t>资料来源：</w:t>
      </w:r>
      <w:r>
        <w:rPr>
          <w:i/>
          <w:iCs/>
          <w:color w:val="404040"/>
          <w:sz w:val="16"/>
          <w:szCs w:val="16"/>
        </w:rPr>
        <w:t>Euromonitor</w:t>
      </w:r>
      <w:r>
        <w:rPr>
          <w:i/>
          <w:iCs/>
          <w:color w:val="404040"/>
          <w:spacing w:val="3"/>
          <w:sz w:val="16"/>
          <w:szCs w:val="16"/>
        </w:rPr>
        <w:t>，国投证券研究中心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9" w:line="212" w:lineRule="auto"/>
        <w:ind w:left="2168"/>
        <w:outlineLvl w:val="6"/>
      </w:pPr>
      <w:bookmarkStart w:id="34" w:name="bookmark10"/>
      <w:bookmarkEnd w:id="34"/>
      <w:r>
        <w:rPr>
          <w:color w:val="404040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3.2.主流运动品牌库存表现仍有承压，头部企业去库存节奏更优</w:t>
      </w:r>
    </w:p>
    <w:p>
      <w:pPr>
        <w:pStyle w:val="BodyText"/>
        <w:spacing w:before="72" w:line="230" w:lineRule="auto"/>
        <w:ind w:left="2162" w:firstLine="19"/>
        <w:rPr>
          <w:sz w:val="21"/>
          <w:szCs w:val="21"/>
        </w:rPr>
      </w:pP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美国鞋店零售表现呈平稳震荡，主流运动品牌库存压力有望缓解。</w:t>
      </w:r>
      <w:r>
        <w:rPr>
          <w:color w:val="404040"/>
          <w:spacing w:val="-1"/>
          <w:sz w:val="21"/>
          <w:szCs w:val="21"/>
        </w:rPr>
        <w:t>根据美国商务部普查局的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数据，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美国鞋店零售额表现自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2022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年保持震荡，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全年零售额同比基本持平，呈现上半年</w:t>
      </w:r>
      <w:r>
        <w:rPr>
          <w:color w:val="404040"/>
          <w:spacing w:val="-6"/>
          <w:sz w:val="21"/>
          <w:szCs w:val="21"/>
        </w:rPr>
        <w:t>收</w:t>
      </w:r>
      <w:r>
        <w:rPr>
          <w:color w:val="404040"/>
          <w:spacing w:val="-6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缩，下半年扩张的形态。鞋店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2022H2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零售</w:t>
      </w:r>
      <w:r>
        <w:rPr>
          <w:color w:val="404040"/>
          <w:spacing w:val="-1"/>
          <w:sz w:val="21"/>
          <w:szCs w:val="21"/>
        </w:rPr>
        <w:t>额按月快速回暖的背景下给予品牌方积极备货的</w:t>
      </w:r>
      <w:r>
        <w:rPr>
          <w:color w:val="404040"/>
          <w:spacing w:val="-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预期，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然而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2023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年上半年鞋店总零售额同比增长仅录得持平，使得主流运动品牌库存水平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处于高位。值得注意的是，鞋店零售额在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2023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3-5</w:t>
      </w:r>
      <w:r>
        <w:rPr>
          <w:color w:val="404040"/>
          <w:spacing w:val="-2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月连续负增长后</w:t>
      </w:r>
      <w:r>
        <w:rPr>
          <w:color w:val="404040"/>
          <w:spacing w:val="-3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6-8</w:t>
      </w:r>
      <w:r>
        <w:rPr>
          <w:color w:val="404040"/>
          <w:spacing w:val="-2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月回归正增长，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9-11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月因高基数影响略有下滑，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整体而言呈现成熟市场平稳震荡，</w:t>
      </w:r>
      <w:r>
        <w:rPr>
          <w:color w:val="404040"/>
          <w:spacing w:val="-29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使去库存节奏较为</w:t>
      </w:r>
      <w:r>
        <w:rPr>
          <w:color w:val="404040"/>
          <w:spacing w:val="-6"/>
          <w:sz w:val="21"/>
          <w:szCs w:val="21"/>
        </w:rPr>
        <w:t>缓慢。</w:t>
      </w:r>
    </w:p>
    <w:p>
      <w:pPr>
        <w:spacing w:line="230" w:lineRule="auto"/>
        <w:rPr>
          <w:sz w:val="21"/>
          <w:szCs w:val="21"/>
        </w:rPr>
        <w:sectPr>
          <w:headerReference w:type="default" r:id="rId148"/>
          <w:footerReference w:type="default" r:id="rId149"/>
          <w:type w:val="continuous"/>
          <w:pgSz w:w="11907" w:h="16839"/>
          <w:pgMar w:top="1064" w:right="599" w:bottom="803" w:left="680" w:header="884" w:footer="567" w:gutter="0"/>
          <w:pgNumType w:start="31"/>
          <w:cols w:num="1" w:space="708" w:equalWidth="0">
            <w:col w:w="10627" w:space="0"/>
          </w:cols>
        </w:sectPr>
      </w:pPr>
    </w:p>
    <w:p>
      <w:pPr>
        <w:spacing w:before="126" w:line="436" w:lineRule="exact"/>
      </w:pPr>
      <w:r>
        <w:pict>
          <v:shape id="_x0000_s1181" style="width:419.35pt;height:0.75pt;margin-top:95.78pt;margin-left:141.98pt;mso-position-horizontal-relative:page;mso-position-vertical-relative:page;position:absolute;z-index:251770880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0" allowOverlap="1">
            <wp:simplePos x="0" y="0"/>
            <wp:positionH relativeFrom="page">
              <wp:posOffset>2268347</wp:posOffset>
            </wp:positionH>
            <wp:positionV relativeFrom="page">
              <wp:posOffset>7736713</wp:posOffset>
            </wp:positionV>
            <wp:extent cx="4409567" cy="287400"/>
            <wp:effectExtent l="0" t="0" r="0" b="0"/>
            <wp:wrapNone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4409567" cy="2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7" w:line="218" w:lineRule="auto"/>
        <w:ind w:left="2193"/>
        <w:rPr>
          <w:sz w:val="21"/>
          <w:szCs w:val="21"/>
        </w:rPr>
      </w:pPr>
      <w:bookmarkStart w:id="35" w:name="bookmark41"/>
      <w:bookmarkEnd w:id="35"/>
      <w:bookmarkStart w:id="36" w:name="bookmark91"/>
      <w:bookmarkEnd w:id="36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图16.美国鞋店销售额情况</w:t>
      </w:r>
    </w:p>
    <w:p>
      <w:pPr>
        <w:pStyle w:val="BodyText"/>
        <w:spacing w:before="187" w:line="213" w:lineRule="auto"/>
        <w:ind w:left="4271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243840" cy="45719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13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美国鞋店销售额（亿美元）</w:t>
      </w:r>
      <w:r>
        <w:rPr>
          <w:color w:val="404040"/>
          <w:spacing w:val="-5"/>
          <w:sz w:val="16"/>
          <w:szCs w:val="16"/>
        </w:rPr>
        <w:t xml:space="preserve">     </w:t>
      </w:r>
      <w:r>
        <w:rPr>
          <w:strike/>
          <w:color w:val="404040"/>
          <w:spacing w:val="5"/>
          <w:sz w:val="16"/>
          <w:szCs w:val="16"/>
        </w:rPr>
        <w:t xml:space="preserve">     </w:t>
      </w:r>
      <w:r>
        <w:rPr>
          <w:color w:val="404040"/>
          <w:spacing w:val="-54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 w14:cap="rnd">
            <w14:solidFill>
              <w14:srgbClr w14:val="404040"/>
            </w14:solidFill>
            <w14:prstDash w14:val="solid"/>
            <w14:round/>
          </w14:textOutline>
        </w:rPr>
        <w:t>YoY（%，右轴）</w:t>
      </w:r>
    </w:p>
    <w:p>
      <w:pPr>
        <w:spacing w:line="192" w:lineRule="exact"/>
      </w:pPr>
    </w:p>
    <w:p>
      <w:pPr>
        <w:spacing w:line="192" w:lineRule="exact"/>
        <w:sectPr>
          <w:headerReference w:type="default" r:id="rId152"/>
          <w:footerReference w:type="default" r:id="rId153"/>
          <w:pgSz w:w="11907" w:h="16839"/>
          <w:pgMar w:top="1064" w:right="666" w:bottom="803" w:left="680" w:header="884" w:footer="567" w:gutter="0"/>
          <w:pgNumType w:start="32"/>
          <w:cols w:num="1" w:space="708" w:equalWidth="0">
            <w:col w:w="10560" w:space="0"/>
          </w:cols>
        </w:sectPr>
      </w:pPr>
    </w:p>
    <w:p>
      <w:pPr>
        <w:pStyle w:val="BodyText"/>
        <w:spacing w:line="183" w:lineRule="auto"/>
        <w:ind w:left="2721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50</w:t>
      </w:r>
    </w:p>
    <w:p>
      <w:pPr>
        <w:pStyle w:val="BodyText"/>
        <w:spacing w:before="239" w:line="182" w:lineRule="auto"/>
        <w:ind w:left="2720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45</w:t>
      </w:r>
    </w:p>
    <w:p>
      <w:pPr>
        <w:pStyle w:val="BodyText"/>
        <w:spacing w:before="237" w:line="183" w:lineRule="auto"/>
        <w:ind w:left="2720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40</w:t>
      </w:r>
    </w:p>
    <w:p>
      <w:pPr>
        <w:pStyle w:val="BodyText"/>
        <w:spacing w:before="237" w:line="183" w:lineRule="auto"/>
        <w:ind w:left="2725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35</w:t>
      </w:r>
    </w:p>
    <w:p>
      <w:pPr>
        <w:pStyle w:val="BodyText"/>
        <w:spacing w:before="238" w:line="183" w:lineRule="auto"/>
        <w:ind w:left="2725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30</w:t>
      </w:r>
    </w:p>
    <w:p>
      <w:pPr>
        <w:pStyle w:val="BodyText"/>
        <w:spacing w:before="237" w:line="183" w:lineRule="auto"/>
        <w:ind w:left="2723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25</w:t>
      </w:r>
    </w:p>
    <w:p>
      <w:pPr>
        <w:pStyle w:val="BodyText"/>
        <w:spacing w:before="237" w:line="183" w:lineRule="auto"/>
        <w:ind w:left="2723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</w:t>
      </w:r>
    </w:p>
    <w:p>
      <w:pPr>
        <w:pStyle w:val="BodyText"/>
        <w:spacing w:before="239" w:line="124" w:lineRule="exact"/>
        <w:ind w:left="2734"/>
        <w:rPr>
          <w:sz w:val="18"/>
          <w:szCs w:val="18"/>
        </w:rPr>
      </w:pPr>
      <w:r>
        <w:rPr>
          <w:color w:val="404040"/>
          <w:spacing w:val="-4"/>
          <w:position w:val="-3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2965" w:lineRule="exact"/>
      </w:pPr>
      <w:r>
        <w:rPr>
          <w:position w:val="-59"/>
        </w:rPr>
        <w:drawing>
          <wp:inline distT="0" distB="0" distL="0" distR="0">
            <wp:extent cx="4093209" cy="1882457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4093209" cy="1882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181" w:lineRule="auto"/>
        <w:ind w:left="2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20%</w:t>
      </w:r>
    </w:p>
    <w:p>
      <w:pPr>
        <w:pStyle w:val="BodyText"/>
        <w:spacing w:before="239" w:line="182" w:lineRule="auto"/>
        <w:ind w:left="13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15%</w:t>
      </w:r>
    </w:p>
    <w:p>
      <w:pPr>
        <w:pStyle w:val="BodyText"/>
        <w:spacing w:before="237" w:line="183" w:lineRule="auto"/>
        <w:ind w:left="13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10%</w:t>
      </w:r>
    </w:p>
    <w:p>
      <w:pPr>
        <w:pStyle w:val="BodyText"/>
        <w:spacing w:before="239" w:line="182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5%</w:t>
      </w:r>
    </w:p>
    <w:p>
      <w:pPr>
        <w:pStyle w:val="BodyText"/>
        <w:spacing w:before="237" w:line="183" w:lineRule="auto"/>
        <w:ind w:left="2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0%</w:t>
      </w:r>
    </w:p>
    <w:p>
      <w:pPr>
        <w:pStyle w:val="BodyText"/>
        <w:spacing w:before="239" w:line="182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-5%</w:t>
      </w:r>
    </w:p>
    <w:p>
      <w:pPr>
        <w:pStyle w:val="BodyText"/>
        <w:spacing w:before="237" w:line="183" w:lineRule="auto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-10%</w:t>
      </w:r>
    </w:p>
    <w:p>
      <w:pPr>
        <w:pStyle w:val="BodyText"/>
        <w:spacing w:before="239" w:line="123" w:lineRule="exact"/>
        <w:rPr>
          <w:sz w:val="18"/>
          <w:szCs w:val="18"/>
        </w:rPr>
      </w:pPr>
      <w:r>
        <w:rPr>
          <w:color w:val="404040"/>
          <w:spacing w:val="-1"/>
          <w:position w:val="-3"/>
          <w:sz w:val="18"/>
          <w:szCs w:val="18"/>
          <w14:textOutline w14:w="3265" w14:cap="rnd">
            <w14:solidFill>
              <w14:srgbClr w14:val="404040"/>
            </w14:solidFill>
            <w14:prstDash w14:val="solid"/>
            <w14:round/>
          </w14:textOutline>
        </w:rPr>
        <w:t>-15%</w:t>
      </w:r>
    </w:p>
    <w:p>
      <w:pPr>
        <w:spacing w:line="123" w:lineRule="exact"/>
        <w:rPr>
          <w:sz w:val="18"/>
          <w:szCs w:val="18"/>
        </w:rPr>
        <w:sectPr>
          <w:headerReference w:type="default" r:id="rId155"/>
          <w:footerReference w:type="default" r:id="rId156"/>
          <w:type w:val="continuous"/>
          <w:pgSz w:w="11907" w:h="16839"/>
          <w:pgMar w:top="1064" w:right="666" w:bottom="803" w:left="680" w:header="884" w:footer="567" w:gutter="0"/>
          <w:pgNumType w:start="33"/>
          <w:cols w:num="3" w:space="708" w:equalWidth="0">
            <w:col w:w="2981" w:space="100"/>
            <w:col w:w="6446" w:space="94"/>
            <w:col w:w="940" w:space="0"/>
          </w:cols>
        </w:sectPr>
      </w:pPr>
    </w:p>
    <w:p>
      <w:pPr>
        <w:spacing w:line="41" w:lineRule="exact"/>
      </w:pPr>
    </w:p>
    <w:tbl>
      <w:tblPr>
        <w:tblStyle w:val="TableNormal6"/>
        <w:tblW w:w="6195" w:type="dxa"/>
        <w:tblInd w:w="3207" w:type="dxa"/>
        <w:tblLayout w:type="fixed"/>
      </w:tblPr>
      <w:tblGrid>
        <w:gridCol w:w="201"/>
        <w:gridCol w:w="276"/>
        <w:gridCol w:w="275"/>
        <w:gridCol w:w="276"/>
        <w:gridCol w:w="276"/>
        <w:gridCol w:w="276"/>
        <w:gridCol w:w="276"/>
        <w:gridCol w:w="275"/>
        <w:gridCol w:w="276"/>
        <w:gridCol w:w="276"/>
        <w:gridCol w:w="275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76"/>
        <w:gridCol w:w="201"/>
      </w:tblGrid>
      <w:tr>
        <w:tblPrEx>
          <w:tblW w:w="6195" w:type="dxa"/>
          <w:tblInd w:w="3207" w:type="dxa"/>
          <w:tblLayout w:type="fixed"/>
        </w:tblPrEx>
        <w:trPr>
          <w:trHeight w:val="628"/>
        </w:trPr>
        <w:tc>
          <w:tcPr>
            <w:tcW w:w="201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09792" behindDoc="0" locked="0" layoutInCell="1" allowOverlap="1">
                      <wp:simplePos x="0" y="0"/>
                      <wp:positionH relativeFrom="rightMargin">
                        <wp:posOffset>-299554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02" name="TextBox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554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2" o:spid="_x0000_s1182" type="#_x0000_t202" style="width:33.45pt;height:13.55pt;margin-top:8.96pt;margin-left:-23.59pt;mso-position-horizontal-relative:right-margin-area;mso-position-vertical-relative:top-margin-area;mso-wrap-distance-bottom:0;mso-wrap-distance-left:0;mso-wrap-distance-right:0;mso-wrap-distance-top:0;position:absolute;rotation:270;v-text-anchor:top;z-index:25180876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13888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04" name="TextBox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4" o:spid="_x0000_s1183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81286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11840" behindDoc="0" locked="0" layoutInCell="1" allowOverlap="1">
                      <wp:simplePos x="0" y="0"/>
                      <wp:positionH relativeFrom="rightMargin">
                        <wp:posOffset>-299262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06" name="TextBox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262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6" o:spid="_x0000_s1184" type="#_x0000_t202" style="width:33.45pt;height:13.55pt;margin-top:8.96pt;margin-left:-23.56pt;mso-position-horizontal-relative:right-margin-area;mso-position-vertical-relative:top-margin-area;mso-wrap-distance-bottom:0;mso-wrap-distance-left:0;mso-wrap-distance-right:0;mso-wrap-distance-top:0;position:absolute;rotation:270;v-text-anchor:top;z-index:25181081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17984" behindDoc="0" locked="0" layoutInCell="1" allowOverlap="1">
                      <wp:simplePos x="0" y="0"/>
                      <wp:positionH relativeFrom="rightMargin">
                        <wp:posOffset>-300088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08" name="TextBox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88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08" o:spid="_x0000_s1185" type="#_x0000_t202" style="width:33.45pt;height:13.55pt;margin-top:8.96pt;margin-left:-23.63pt;mso-position-horizontal-relative:right-margin-area;mso-position-vertical-relative:top-margin-area;mso-wrap-distance-bottom:0;mso-wrap-distance-left:0;mso-wrap-distance-right:0;mso-wrap-distance-top:0;position:absolute;rotation:270;v-text-anchor:top;z-index:25181696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15936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10" name="TextBox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0" o:spid="_x0000_s1186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81491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77024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12" name="TextBox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2" o:spid="_x0000_s1187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7600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74976" behindDoc="0" locked="0" layoutInCell="1" allowOverlap="1">
                      <wp:simplePos x="0" y="0"/>
                      <wp:positionH relativeFrom="rightMargin">
                        <wp:posOffset>-300024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14" name="TextBox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24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4" o:spid="_x0000_s1188" type="#_x0000_t202" style="width:33.45pt;height:13.55pt;margin-top:8.96pt;margin-left:-23.62pt;mso-position-horizontal-relative:right-margin-area;mso-position-vertical-relative:top-margin-area;mso-wrap-distance-bottom:0;mso-wrap-distance-left:0;mso-wrap-distance-right:0;mso-wrap-distance-top:0;position:absolute;rotation:270;v-text-anchor:top;z-index:25177395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79072" behindDoc="0" locked="0" layoutInCell="1" allowOverlap="1">
                      <wp:simplePos x="0" y="0"/>
                      <wp:positionH relativeFrom="rightMargin">
                        <wp:posOffset>-299262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16" name="TextBox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262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6" o:spid="_x0000_s1189" type="#_x0000_t202" style="width:33.45pt;height:13.55pt;margin-top:8.96pt;margin-left:-23.56pt;mso-position-horizontal-relative:right-margin-area;mso-position-vertical-relative:top-margin-area;mso-wrap-distance-bottom:0;mso-wrap-distance-left:0;mso-wrap-distance-right:0;mso-wrap-distance-top:0;position:absolute;rotation:270;v-text-anchor:top;z-index:25177804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72928" behindDoc="0" locked="0" layoutInCell="1" allowOverlap="1">
                      <wp:simplePos x="0" y="0"/>
                      <wp:positionH relativeFrom="rightMargin">
                        <wp:posOffset>-299926</wp:posOffset>
                      </wp:positionH>
                      <wp:positionV relativeFrom="topMargin">
                        <wp:posOffset>113729</wp:posOffset>
                      </wp:positionV>
                      <wp:extent cx="424815" cy="172085"/>
                      <wp:effectExtent l="0" t="0" r="0" b="0"/>
                      <wp:wrapNone/>
                      <wp:docPr id="218" name="TextBox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926" y="113729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4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74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18" o:spid="_x0000_s1190" type="#_x0000_t202" style="width:33.45pt;height:13.55pt;margin-top:8.96pt;margin-left:-23.62pt;mso-position-horizontal-relative:right-margin-area;mso-position-vertical-relative:top-margin-area;mso-wrap-distance-bottom:0;mso-wrap-distance-left:0;mso-wrap-distance-right:0;mso-wrap-distance-top:0;position:absolute;rotation:270;v-text-anchor:top;z-index:25177190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4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7264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20" name="TextBox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0" o:spid="_x0000_s1191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8624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1120" behindDoc="0" locked="0" layoutInCell="1" allowOverlap="1">
                      <wp:simplePos x="0" y="0"/>
                      <wp:positionH relativeFrom="rightMargin">
                        <wp:posOffset>-299262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22" name="TextBox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262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2" o:spid="_x0000_s1192" type="#_x0000_t202" style="width:33.45pt;height:13.55pt;margin-top:8.96pt;margin-left:-23.56pt;mso-position-horizontal-relative:right-margin-area;mso-position-vertical-relative:top-margin-area;mso-wrap-distance-bottom:0;mso-wrap-distance-left:0;mso-wrap-distance-right:0;mso-wrap-distance-top:0;position:absolute;rotation:270;v-text-anchor:top;z-index:25178009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5216" behindDoc="0" locked="0" layoutInCell="1" allowOverlap="1">
                      <wp:simplePos x="0" y="0"/>
                      <wp:positionH relativeFrom="rightMargin">
                        <wp:posOffset>-300087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24" name="TextBox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8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2022-12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4" o:spid="_x0000_s1193" type="#_x0000_t202" style="width:33.45pt;height:13.55pt;margin-top:8.96pt;margin-left:-23.63pt;mso-position-horizontal-relative:right-margin-area;mso-position-vertical-relative:top-margin-area;mso-wrap-distance-bottom:0;mso-wrap-distance-left:0;mso-wrap-distance-right:0;mso-wrap-distance-top:0;position:absolute;rotation:270;v-text-anchor:top;z-index:25178419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2022-12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9312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26" name="TextBox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6" o:spid="_x0000_s1194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8828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3168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28" name="TextBox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28" o:spid="_x0000_s1195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8214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91360" behindDoc="0" locked="0" layoutInCell="1" allowOverlap="1">
                      <wp:simplePos x="0" y="0"/>
                      <wp:positionH relativeFrom="rightMargin">
                        <wp:posOffset>-300024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30" name="TextBox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24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0" o:spid="_x0000_s1196" type="#_x0000_t202" style="width:33.45pt;height:13.55pt;margin-top:8.96pt;margin-left:-23.62pt;mso-position-horizontal-relative:right-margin-area;mso-position-vertical-relative:top-margin-area;mso-wrap-distance-bottom:0;mso-wrap-distance-left:0;mso-wrap-distance-right:0;mso-wrap-distance-top:0;position:absolute;rotation:270;v-text-anchor:top;z-index:25179033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99552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32" name="TextBox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2" o:spid="_x0000_s1197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98528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95456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34" name="TextBox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4" o:spid="_x0000_s1198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9443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97504" behindDoc="0" locked="0" layoutInCell="1" allowOverlap="1">
                      <wp:simplePos x="0" y="0"/>
                      <wp:positionH relativeFrom="rightMargin">
                        <wp:posOffset>-300087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36" name="TextBox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8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6" o:spid="_x0000_s1199" type="#_x0000_t202" style="width:33.45pt;height:13.55pt;margin-top:8.96pt;margin-left:-23.63pt;mso-position-horizontal-relative:right-margin-area;mso-position-vertical-relative:top-margin-area;mso-wrap-distance-bottom:0;mso-wrap-distance-left:0;mso-wrap-distance-right:0;mso-wrap-distance-top:0;position:absolute;rotation:270;v-text-anchor:top;z-index:25179648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93408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38" name="TextBox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38" o:spid="_x0000_s1200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79238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01600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40" name="TextBox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0" o:spid="_x0000_s1201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80057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07744" behindDoc="0" locked="0" layoutInCell="1" allowOverlap="1">
                      <wp:simplePos x="0" y="0"/>
                      <wp:positionH relativeFrom="rightMargin">
                        <wp:posOffset>-300024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42" name="TextBox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00024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2" o:spid="_x0000_s1202" type="#_x0000_t202" style="width:33.45pt;height:13.55pt;margin-top:8.96pt;margin-left:-23.62pt;mso-position-horizontal-relative:right-margin-area;mso-position-vertical-relative:top-margin-area;mso-wrap-distance-bottom:0;mso-wrap-distance-left:0;mso-wrap-distance-right:0;mso-wrap-distance-top:0;position:absolute;rotation:270;v-text-anchor:top;z-index:251806720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76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05696" behindDoc="0" locked="0" layoutInCell="1" allowOverlap="1">
                      <wp:simplePos x="0" y="0"/>
                      <wp:positionH relativeFrom="rightMargin">
                        <wp:posOffset>-299897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44" name="TextBox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99897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4" o:spid="_x0000_s1203" type="#_x0000_t202" style="width:33.45pt;height:13.55pt;margin-top:8.96pt;margin-left:-23.61pt;mso-position-horizontal-relative:right-margin-area;mso-position-vertical-relative:top-margin-area;mso-wrap-distance-bottom:0;mso-wrap-distance-left:0;mso-wrap-distance-right:0;mso-wrap-distance-top:0;position:absolute;rotation:270;v-text-anchor:top;z-index:251804672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1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803648" behindDoc="0" locked="0" layoutInCell="1" allowOverlap="1">
                      <wp:simplePos x="0" y="0"/>
                      <wp:positionH relativeFrom="rightMargin">
                        <wp:posOffset>-252272</wp:posOffset>
                      </wp:positionH>
                      <wp:positionV relativeFrom="topMargin">
                        <wp:posOffset>113748</wp:posOffset>
                      </wp:positionV>
                      <wp:extent cx="424815" cy="172085"/>
                      <wp:effectExtent l="0" t="0" r="0" b="0"/>
                      <wp:wrapNone/>
                      <wp:docPr id="246" name="TextBox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2272" y="113748"/>
                                <a:ext cx="424815" cy="17208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1" w:line="183" w:lineRule="auto"/>
                                    <w:ind w:left="20"/>
                                  </w:pPr>
                                  <w:r>
                                    <w:rPr>
                                      <w:color w:val="404040"/>
                                      <w:spacing w:val="-1"/>
                                      <w14:textOutline w14:w="3265" w14:cap="rnd">
                                        <w14:solidFill>
                                          <w14:srgbClr w14:val="404040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2023-11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46" o:spid="_x0000_s1204" type="#_x0000_t202" style="width:33.45pt;height:13.55pt;margin-top:8.96pt;margin-left:-19.86pt;mso-position-horizontal-relative:right-margin-area;mso-position-vertical-relative:top-margin-area;mso-wrap-distance-bottom:0;mso-wrap-distance-left:0;mso-wrap-distance-right:0;mso-wrap-distance-top:0;position:absolute;rotation:270;v-text-anchor:top;z-index:251802624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1" w:line="183" w:lineRule="auto"/>
                              <w:ind w:left="20"/>
                            </w:pPr>
                            <w:r>
                              <w:rPr>
                                <w:color w:val="404040"/>
                                <w:spacing w:val="-1"/>
                              </w:rPr>
                              <w:t>2023-11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spacing w:line="149" w:lineRule="exact"/>
      </w:pPr>
    </w:p>
    <w:tbl>
      <w:tblPr>
        <w:tblStyle w:val="TableNormal6"/>
        <w:tblW w:w="8391" w:type="dxa"/>
        <w:tblInd w:w="21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91"/>
        <w:gridCol w:w="7500"/>
      </w:tblGrid>
      <w:tr>
        <w:tblPrEx>
          <w:tblW w:w="8391" w:type="dxa"/>
          <w:tblInd w:w="21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00"/>
        </w:trPr>
        <w:tc>
          <w:tcPr>
            <w:tcW w:w="8391" w:type="dxa"/>
            <w:gridSpan w:val="2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pStyle w:val="TableText"/>
              <w:spacing w:before="27" w:line="213" w:lineRule="auto"/>
              <w:ind w:left="5"/>
              <w:rPr>
                <w:sz w:val="16"/>
                <w:szCs w:val="16"/>
              </w:rPr>
            </w:pPr>
            <w:r>
              <w:rPr>
                <w:i/>
                <w:iCs/>
                <w:color w:val="404040"/>
                <w:spacing w:val="2"/>
                <w:sz w:val="16"/>
                <w:szCs w:val="16"/>
              </w:rPr>
              <w:t>资料来源：美国商务部普查局，国投证券研究中心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5" w:lineRule="auto"/>
              <w:ind w:left="3" w:firstLine="9"/>
              <w:jc w:val="both"/>
              <w:rPr>
                <w:sz w:val="21"/>
                <w:szCs w:val="21"/>
              </w:rPr>
            </w:pPr>
            <w:r>
              <w:rPr>
                <w:color w:val="404040"/>
                <w:spacing w:val="-7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耐克库存控制良好，</w:t>
            </w:r>
            <w:r>
              <w:rPr>
                <w:color w:val="404040"/>
                <w:spacing w:val="3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鞋类销售表现更优。</w:t>
            </w:r>
            <w:r>
              <w:rPr>
                <w:color w:val="404040"/>
                <w:spacing w:val="3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我们统计了</w:t>
            </w:r>
            <w:r>
              <w:rPr>
                <w:color w:val="404040"/>
                <w:spacing w:val="-46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2018-2023</w:t>
            </w:r>
            <w:r>
              <w:rPr>
                <w:color w:val="404040"/>
                <w:spacing w:val="-4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</w:rPr>
              <w:t>年主流运动</w:t>
            </w:r>
            <w:r>
              <w:rPr>
                <w:color w:val="404040"/>
                <w:spacing w:val="-8"/>
                <w:sz w:val="21"/>
                <w:szCs w:val="21"/>
              </w:rPr>
              <w:t>品牌季度库销比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情况，发现耐克的库销比波动最小且保持相对低位，体现更优秀的库存控制水平。2022</w:t>
            </w:r>
            <w:r>
              <w:rPr>
                <w:color w:val="404040"/>
                <w:spacing w:val="-3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年耐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克库销比同样也有所提高，但显著低于同行，</w:t>
            </w:r>
            <w:r>
              <w:rPr>
                <w:color w:val="404040"/>
                <w:spacing w:val="-3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且今年以来并未跟随其他主流品</w:t>
            </w:r>
            <w:r>
              <w:rPr>
                <w:color w:val="404040"/>
                <w:spacing w:val="-3"/>
                <w:sz w:val="21"/>
                <w:szCs w:val="21"/>
              </w:rPr>
              <w:t>牌一样出现库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10"/>
                <w:sz w:val="21"/>
                <w:szCs w:val="21"/>
              </w:rPr>
              <w:t>销比上升的情况。值得注意的是，库销比情况是统计品牌整体，耐克鞋类销售今年以来</w:t>
            </w:r>
            <w:r>
              <w:rPr>
                <w:color w:val="404040"/>
                <w:spacing w:val="14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YoY+9.6%,而服装</w:t>
            </w:r>
            <w:r>
              <w:rPr>
                <w:color w:val="404040"/>
                <w:spacing w:val="-4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YoY+1.0%,鞋类销售表现明显优于服装，</w:t>
            </w:r>
            <w:r>
              <w:rPr>
                <w:color w:val="404040"/>
                <w:spacing w:val="-38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</w:rPr>
              <w:t>因此我们判断当前耐克运动鞋的库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存压力会更小，</w:t>
            </w:r>
            <w:r>
              <w:rPr>
                <w:color w:val="404040"/>
                <w:spacing w:val="-2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上游鞋类制造商有望更快获得订单修复。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08" w:lineRule="auto"/>
              <w:ind w:left="33"/>
              <w:rPr>
                <w:sz w:val="21"/>
                <w:szCs w:val="21"/>
              </w:rPr>
            </w:pPr>
            <w:bookmarkStart w:id="37" w:name="bookmark42"/>
            <w:bookmarkEnd w:id="37"/>
            <w:r>
              <w:rPr>
                <w:color w:val="404040"/>
                <w:spacing w:val="-2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图17.主要运动品牌季度库销比</w:t>
            </w:r>
          </w:p>
        </w:tc>
      </w:tr>
      <w:tr>
        <w:tblPrEx>
          <w:tblW w:w="8391" w:type="dxa"/>
          <w:tblInd w:w="2159" w:type="dxa"/>
          <w:tblLayout w:type="fixed"/>
        </w:tblPrEx>
        <w:trPr>
          <w:trHeight w:val="3599"/>
        </w:trPr>
        <w:tc>
          <w:tcPr>
            <w:tcW w:w="891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183" w:lineRule="auto"/>
              <w:ind w:left="489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200%</w:t>
            </w:r>
          </w:p>
          <w:p>
            <w:pPr>
              <w:pStyle w:val="TableText"/>
              <w:spacing w:before="298" w:line="183" w:lineRule="auto"/>
              <w:ind w:left="500"/>
            </w:pPr>
            <w:r>
              <w:rPr>
                <w:color w:val="404040"/>
                <w:spacing w:val="-4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150%</w:t>
            </w:r>
          </w:p>
          <w:p>
            <w:pPr>
              <w:pStyle w:val="TableText"/>
              <w:spacing w:before="298" w:line="183" w:lineRule="auto"/>
              <w:ind w:left="500"/>
            </w:pPr>
            <w:r>
              <w:rPr>
                <w:color w:val="404040"/>
                <w:spacing w:val="-4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100%</w:t>
            </w:r>
          </w:p>
          <w:p>
            <w:pPr>
              <w:pStyle w:val="TableText"/>
              <w:spacing w:before="298" w:line="183" w:lineRule="auto"/>
              <w:ind w:left="577"/>
            </w:pPr>
            <w:r>
              <w:rPr>
                <w:color w:val="404040"/>
                <w:spacing w:val="-1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50%</w:t>
            </w:r>
          </w:p>
          <w:p>
            <w:pPr>
              <w:pStyle w:val="TableText"/>
              <w:spacing w:before="298" w:line="183" w:lineRule="auto"/>
              <w:ind w:left="670"/>
            </w:pPr>
            <w:r>
              <w:rPr>
                <w:color w:val="404040"/>
                <w:spacing w:val="-2"/>
                <w14:textOutline w14:w="3265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0%</w:t>
            </w:r>
          </w:p>
        </w:tc>
        <w:tc>
          <w:tcPr>
            <w:tcW w:w="7500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3" w:lineRule="auto"/>
              <w:ind w:left="309"/>
              <w:rPr>
                <w:sz w:val="16"/>
                <w:szCs w:val="16"/>
              </w:rPr>
            </w:pPr>
            <w:r>
              <w:rPr>
                <w:color w:val="404040"/>
                <w:position w:val="3"/>
                <w:sz w:val="16"/>
                <w:szCs w:val="16"/>
              </w:rPr>
              <w:drawing>
                <wp:inline distT="0" distB="0" distL="0" distR="0">
                  <wp:extent cx="272414" cy="28575"/>
                  <wp:effectExtent l="0" t="0" r="0" b="0"/>
                  <wp:docPr id="248" name="IM 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IM 248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4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4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NIKE</w:t>
            </w:r>
            <w:r>
              <w:rPr>
                <w:color w:val="404040"/>
                <w:spacing w:val="11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415" cy="28575"/>
                  <wp:effectExtent l="0" t="0" r="0" b="0"/>
                  <wp:docPr id="250" name="IM 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IM 250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8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Adidas</w:t>
            </w:r>
            <w:r>
              <w:rPr>
                <w:color w:val="404040"/>
                <w:spacing w:val="12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415" cy="28575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4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Lululemon</w:t>
            </w:r>
            <w:r>
              <w:rPr>
                <w:color w:val="404040"/>
                <w:spacing w:val="12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415" cy="28575"/>
                  <wp:effectExtent l="0" t="0" r="0" b="0"/>
                  <wp:docPr id="254" name="IM 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IM 254"/>
                          <pic:cNvPicPr/>
                        </pic:nvPicPr>
                        <pic:blipFill>
                          <a:blip xmlns:r="http://schemas.openxmlformats.org/officeDocument/2006/relationships" r:embed="rId1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9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VF</w:t>
            </w:r>
            <w:r>
              <w:rPr>
                <w:color w:val="404040"/>
                <w:spacing w:val="4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415" cy="28575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1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3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UA</w:t>
            </w:r>
            <w:r>
              <w:rPr>
                <w:color w:val="404040"/>
                <w:spacing w:val="11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414" cy="28575"/>
                  <wp:effectExtent l="0" t="0" r="0" b="0"/>
                  <wp:docPr id="258" name="IM 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IM 258"/>
                          <pic:cNvPicPr/>
                        </pic:nvPicPr>
                        <pic:blipFill>
                          <a:blip xmlns:r="http://schemas.openxmlformats.org/officeDocument/2006/relationships" r:embed="rId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4" cy="2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404040"/>
                <w:spacing w:val="-53"/>
                <w:sz w:val="16"/>
                <w:szCs w:val="16"/>
              </w:rPr>
              <w:t xml:space="preserve"> </w:t>
            </w:r>
            <w:r>
              <w:rPr>
                <w:color w:val="404040"/>
                <w:sz w:val="16"/>
                <w:szCs w:val="16"/>
                <w14:textOutline w14:w="2917" w14:cap="rnd">
                  <w14:solidFill>
                    <w14:srgbClr w14:val="404040"/>
                  </w14:solidFill>
                  <w14:prstDash w14:val="solid"/>
                  <w14:round/>
                </w14:textOutline>
              </w:rPr>
              <w:t>Deckers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1961" w:lineRule="exact"/>
              <w:ind w:firstLine="45"/>
            </w:pPr>
            <w:r>
              <w:rPr>
                <w:position w:val="-39"/>
              </w:rPr>
              <w:pict>
                <v:group id="_x0000_i1205" style="width:343.45pt;height:98.05pt;mso-position-horizontal-relative:char;mso-position-vertical-relative:line" coordorigin="0,0" coordsize="6869,1961" filled="f" stroked="f">
                  <v:shape id="_x0000_s1206" style="width:6869;height:1961;position:absolute" coordorigin="0,0" coordsize="6869,1961" path="m51,1908l51,2m,1908l51,1908m,1433l51,1433m,955l51,955m,477l51,477m,2l51,2m51,1908l6866,1908m51,1908l51,1960m361,1908l361,1960m671,1908l671,1960m981,1908l981,1960m1290,1908l1290,1960m1600,1908l1600,1960m1909,1908l1909,1960m2219,1908l2219,1960m2529,1908l2529,1960m2838,1908l2838,1960m3148,1908l3148,1960m3457,1908l3457,1960m3769,1908l3769,1960m4079,1908l4079,1960m4389,1908l4389,1960m4698,1908l4698,1960m5008,1908l5008,1960m5317,1908l5317,1960m5627,1908l5627,1960m5937,1908l5937,1960m6246,1908l6246,1960m6556,1908l6556,1960m6866,1908l6866,1960e" filled="f" strokecolor="#404040" strokeweight="0.25pt"/>
                  <v:shape id="_x0000_s1207" style="width:6550;height:656;left:183;position:absolute;top:773" coordorigin="0,0" coordsize="6550,656" path="m22,634l331,587l641,596l950,608l1262,613l1572,563l1881,587l2191,22l2501,531l2810,618l3120,519l3429,606l3739,613l4049,589l4358,459l4668,479l4977,409l5287,467l5597,450l5909,505l6218,493l6527,567e" filled="f" strokecolor="#203864" strokeweight="2.25pt">
                    <v:stroke endcap="round"/>
                  </v:shape>
                  <v:shape id="_x0000_s1208" style="width:6240;height:911;left:183;position:absolute;top:497" coordorigin="0,0" coordsize="6240,911" path="m22,888l331,783l641,877l950,791l1262,863l1572,743l1881,541l2191,22l2501,663l2810,654l3120,697l3429,649l3739,803l4049,666l4358,594l4668,476l4977,471l5287,315l5597,385l5909,421l6217,639e" filled="f" strokecolor="#ed7d31" strokeweight="2.25pt">
                    <v:stroke endcap="round"/>
                  </v:shape>
                  <v:shape id="_x0000_s1209" style="width:6240;height:630;left:183;position:absolute;top:971" coordorigin="0,0" coordsize="6240,630" path="m22,305l331,606l641,396l950,404l1262,284l1572,584l1881,22l2191,226l2501,279l2810,581l3120,368l3429,418l3739,317l4049,504l4358,183l4668,190l4977,44l5287,440l5597,185l5909,221l6217,216e" filled="f" strokecolor="#026fb4" strokeweight="2.25pt">
                    <v:stroke endcap="round"/>
                  </v:shape>
                  <v:shape id="_x0000_s1210" style="width:6240;height:980;left:183;position:absolute;top:612" coordorigin="0,0" coordsize="6240,980" path="m22,748l331,844l641,719l950,596l1262,764l1572,856l1881,709l2191,54l2501,772l2810,949l3120,904l3429,767l3739,858l4049,957l4358,817l4668,308l4977,445l5287,596l5597,498l5909,22l6217,515e" filled="f" strokecolor="#517efd" strokeweight="2.25pt">
                    <v:stroke endcap="round"/>
                  </v:shape>
                  <v:shape id="_x0000_s1211" style="width:6240;height:1154;left:183;position:absolute;top:272" coordorigin="0,0" coordsize="6240,1154" path="m22,860l331,937l641,944l950,863l1262,1031l1572,1045l1881,673l2191,22l2501,932l2810,1028l3120,990l3429,1014l3739,1120l4049,1131m4668,961l4977,983l5287,901l5597,824l5909,680l6217,940e" filled="f" strokecolor="#c00000" strokeweight="2.25pt">
                    <v:stroke endcap="round"/>
                  </v:shape>
                  <v:shape id="_x0000_s1212" style="width:6240;height:1403;left:183;position:absolute;top:258" coordorigin="0,0" coordsize="6240,1403" path="m22,672l331,1277l641,975l950,22l1262,667l1572,1277l1881,857l2191,185l2501,910l2810,1380l3120,1179l3429,785l3739,809l4049,1207l4358,994l4668,346l4977,643l5287,1138l5597,1008l5909,605l6217,1015e" filled="f" strokecolor="#ffc000" strokeweight="2.25pt">
                    <v:stroke endcap="round"/>
                  </v:shape>
                  <w10:wrap type="none"/>
                </v:group>
              </w:pict>
            </w:r>
          </w:p>
        </w:tc>
      </w:tr>
    </w:tbl>
    <w:p>
      <w:pPr>
        <w:pStyle w:val="BodyText"/>
        <w:spacing w:before="22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-1"/>
          <w:sz w:val="16"/>
          <w:szCs w:val="16"/>
        </w:rPr>
        <w:t>资料来源：各品牌季度报告，</w:t>
      </w:r>
      <w:r>
        <w:rPr>
          <w:color w:val="404040"/>
          <w:spacing w:val="-17"/>
          <w:sz w:val="16"/>
          <w:szCs w:val="16"/>
        </w:rPr>
        <w:t xml:space="preserve"> </w:t>
      </w:r>
      <w:r>
        <w:rPr>
          <w:i/>
          <w:iCs/>
          <w:color w:val="404040"/>
          <w:spacing w:val="-1"/>
          <w:sz w:val="16"/>
          <w:szCs w:val="16"/>
        </w:rPr>
        <w:t>国投证券研究中心</w:t>
      </w:r>
    </w:p>
    <w:p>
      <w:pPr>
        <w:spacing w:line="280" w:lineRule="auto"/>
        <w:rPr>
          <w:rFonts w:ascii="Arial"/>
          <w:sz w:val="21"/>
        </w:rPr>
        <w:sectPr>
          <w:headerReference w:type="default" r:id="rId163"/>
          <w:footerReference w:type="default" r:id="rId164"/>
          <w:type w:val="continuous"/>
          <w:pgSz w:w="11907" w:h="16839"/>
          <w:pgMar w:top="1064" w:right="666" w:bottom="803" w:left="680" w:header="884" w:footer="567" w:gutter="0"/>
          <w:pgNumType w:start="34"/>
          <w:cols w:num="1" w:space="708" w:equalWidth="0">
            <w:col w:w="10560" w:space="0"/>
          </w:cols>
        </w:sectPr>
      </w:pPr>
    </w:p>
    <w:p>
      <w:pPr>
        <w:pStyle w:val="BodyText"/>
        <w:spacing w:before="79" w:line="215" w:lineRule="auto"/>
        <w:ind w:left="2168"/>
        <w:outlineLvl w:val="6"/>
      </w:pPr>
      <w:bookmarkStart w:id="38" w:name="bookmark11"/>
      <w:bookmarkEnd w:id="38"/>
      <w:r>
        <w:rPr>
          <w:color w:val="404040"/>
          <w:spacing w:val="-5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3.3.运动鞋制造产业：</w:t>
      </w:r>
      <w:r>
        <w:rPr>
          <w:color w:val="404040"/>
          <w:spacing w:val="-5"/>
        </w:rPr>
        <w:t xml:space="preserve"> </w:t>
      </w:r>
      <w:r>
        <w:rPr>
          <w:color w:val="404040"/>
          <w:spacing w:val="-5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一个追求效率和成本的产业</w:t>
      </w:r>
    </w:p>
    <w:p>
      <w:pPr>
        <w:pStyle w:val="BodyText"/>
        <w:spacing w:before="65" w:line="229" w:lineRule="auto"/>
        <w:ind w:left="2162" w:right="8" w:firstLine="6"/>
        <w:rPr>
          <w:sz w:val="21"/>
          <w:szCs w:val="21"/>
        </w:rPr>
      </w:pPr>
      <w:r>
        <w:rPr>
          <w:color w:val="404040"/>
          <w:spacing w:val="-9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运动鞋看似普通，</w:t>
      </w:r>
      <w:r>
        <w:rPr>
          <w:color w:val="404040"/>
          <w:spacing w:val="-9"/>
          <w:sz w:val="21"/>
          <w:szCs w:val="21"/>
        </w:rPr>
        <w:t xml:space="preserve"> </w:t>
      </w:r>
      <w:r>
        <w:rPr>
          <w:color w:val="404040"/>
          <w:spacing w:val="-9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生产流程绝不简单。</w:t>
      </w:r>
      <w:r>
        <w:rPr>
          <w:color w:val="404040"/>
          <w:spacing w:val="-9"/>
          <w:sz w:val="21"/>
          <w:szCs w:val="21"/>
        </w:rPr>
        <w:t>运动鞋虽然样式众多，但拆解起来大体可以分为鞋面、</w:t>
      </w:r>
      <w:r>
        <w:rPr>
          <w:color w:val="404040"/>
          <w:spacing w:val="1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鞋垫、中底和大底四个部分。生产运动鞋四个部分涉及大量流程，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以华利集团所披露的生产</w:t>
      </w:r>
      <w:r>
        <w:rPr>
          <w:color w:val="404040"/>
          <w:spacing w:val="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工序为例，运动鞋生产工序超过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180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道。其中，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因运</w:t>
      </w:r>
      <w:r>
        <w:rPr>
          <w:color w:val="404040"/>
          <w:spacing w:val="-4"/>
          <w:sz w:val="21"/>
          <w:szCs w:val="21"/>
        </w:rPr>
        <w:t>动鞋款式及码数众多，鞋型的弧度、长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度、高度变化较多，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因此在生产过程中仍需要较多人工操作，</w:t>
      </w:r>
      <w:r>
        <w:rPr>
          <w:color w:val="404040"/>
          <w:spacing w:val="-5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自动化程度的提升更多</w:t>
      </w:r>
      <w:r>
        <w:rPr>
          <w:color w:val="404040"/>
          <w:spacing w:val="-5"/>
          <w:sz w:val="21"/>
          <w:szCs w:val="21"/>
        </w:rPr>
        <w:t>是为了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提高工人的生产效率和提升产品品质稳定性。</w:t>
      </w:r>
    </w:p>
    <w:p>
      <w:pPr>
        <w:spacing w:line="229" w:lineRule="auto"/>
        <w:rPr>
          <w:sz w:val="21"/>
          <w:szCs w:val="21"/>
        </w:rPr>
        <w:sectPr>
          <w:headerReference w:type="default" r:id="rId165"/>
          <w:footerReference w:type="default" r:id="rId166"/>
          <w:type w:val="nextPage"/>
          <w:pgSz w:w="11907" w:h="16839"/>
          <w:pgMar w:top="1064" w:right="666" w:bottom="803" w:left="680" w:header="884" w:footer="567" w:gutter="0"/>
          <w:pgNumType w:start="35"/>
          <w:cols w:num="1" w:space="708" w:equalWidth="0">
            <w:col w:w="10560" w:space="0"/>
          </w:cols>
          <w:titlePg w:val="0"/>
        </w:sectPr>
      </w:pPr>
    </w:p>
    <w:p>
      <w:pPr>
        <w:spacing w:before="126" w:line="436" w:lineRule="exact"/>
      </w:pPr>
      <w:r>
        <w:drawing>
          <wp:anchor distT="0" distB="0" distL="0" distR="0" simplePos="0" relativeHeight="251819008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6" w:line="213" w:lineRule="auto"/>
        <w:ind w:left="2193"/>
        <w:rPr>
          <w:sz w:val="21"/>
          <w:szCs w:val="21"/>
        </w:rPr>
      </w:pPr>
      <w:bookmarkStart w:id="39" w:name="bookmark43"/>
      <w:bookmarkEnd w:id="39"/>
      <w:bookmarkStart w:id="40" w:name="bookmark92"/>
      <w:bookmarkEnd w:id="40"/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图18.运动鞋生产工艺流程</w:t>
      </w:r>
    </w:p>
    <w:tbl>
      <w:tblPr>
        <w:tblStyle w:val="TableNormal7"/>
        <w:tblW w:w="8392" w:type="dxa"/>
        <w:tblInd w:w="21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92"/>
      </w:tblGrid>
      <w:tr>
        <w:tblPrEx>
          <w:tblW w:w="8392" w:type="dxa"/>
          <w:tblInd w:w="21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346"/>
        </w:trPr>
        <w:tc>
          <w:tcPr>
            <w:tcW w:w="8392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before="6" w:line="6255" w:lineRule="exact"/>
              <w:ind w:firstLine="141"/>
            </w:pPr>
            <w:r>
              <w:rPr>
                <w:position w:val="-125"/>
              </w:rPr>
              <w:drawing>
                <wp:inline distT="0" distB="0" distL="0" distR="0">
                  <wp:extent cx="5146040" cy="3971873"/>
                  <wp:effectExtent l="0" t="0" r="0" b="0"/>
                  <wp:docPr id="264" name="IM 2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IM 264"/>
                          <pic:cNvPicPr/>
                        </pic:nvPicPr>
                        <pic:blipFill>
                          <a:blip xmlns:r="http://schemas.openxmlformats.org/officeDocument/2006/relationships" r:embed="rId1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6040" cy="3971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92" w:type="dxa"/>
          <w:tblInd w:w="2159" w:type="dxa"/>
          <w:tblLayout w:type="fixed"/>
        </w:tblPrEx>
        <w:trPr>
          <w:trHeight w:val="3798"/>
        </w:trPr>
        <w:tc>
          <w:tcPr>
            <w:tcW w:w="8392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pStyle w:val="TableText"/>
              <w:spacing w:before="24" w:line="213" w:lineRule="auto"/>
              <w:ind w:left="5"/>
              <w:rPr>
                <w:sz w:val="16"/>
                <w:szCs w:val="16"/>
              </w:rPr>
            </w:pPr>
            <w:r>
              <w:rPr>
                <w:i/>
                <w:iCs/>
                <w:color w:val="404040"/>
                <w:spacing w:val="2"/>
                <w:sz w:val="16"/>
                <w:szCs w:val="16"/>
              </w:rPr>
              <w:t>资料来源：华利集团招股说明书，国投证券研</w:t>
            </w:r>
            <w:r>
              <w:rPr>
                <w:i/>
                <w:iCs/>
                <w:color w:val="404040"/>
                <w:spacing w:val="1"/>
                <w:sz w:val="16"/>
                <w:szCs w:val="16"/>
              </w:rPr>
              <w:t>究中心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8" w:lineRule="auto"/>
              <w:ind w:left="4" w:firstLine="5"/>
              <w:jc w:val="both"/>
              <w:rPr>
                <w:sz w:val="21"/>
                <w:szCs w:val="21"/>
              </w:rPr>
            </w:pPr>
            <w:r>
              <w:rPr>
                <w:color w:val="404040"/>
                <w:spacing w:val="-7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运动鞋制造是毛利率最低的板块，</w:t>
            </w:r>
            <w:r>
              <w:rPr>
                <w:color w:val="404040"/>
                <w:spacing w:val="-47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7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但净利率却比较可观。</w:t>
            </w:r>
            <w:r>
              <w:rPr>
                <w:color w:val="404040"/>
                <w:spacing w:val="-7"/>
                <w:sz w:val="21"/>
                <w:szCs w:val="21"/>
              </w:rPr>
              <w:t>我们把运动鞋产业链分为三大板块：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制造、品牌、零售。通过比较三大板块中各大有代表性企业的毛利率情况，我们发现，制造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板块的毛利率是最低的。不同于品牌端小众高端品牌有机会突围实现高毛利率，</w:t>
            </w:r>
            <w:r>
              <w:rPr>
                <w:color w:val="404040"/>
                <w:spacing w:val="-2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制造端大集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团往往已经代表了行业内毛利率的最高水平，主要因</w:t>
            </w:r>
            <w:r>
              <w:rPr>
                <w:color w:val="404040"/>
                <w:spacing w:val="-5"/>
                <w:sz w:val="21"/>
                <w:szCs w:val="21"/>
              </w:rPr>
              <w:t>为：1）大集团拥有更全的产业链，能自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主生产各项工序；2）大集团更有机会对接优质的品牌客户，有更好的价格空间；</w:t>
            </w:r>
            <w:r>
              <w:rPr>
                <w:color w:val="404040"/>
                <w:spacing w:val="-2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3）大集团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规模化生产有效摊薄生产设备和厂房的固定成本。相较于产业链内其他环节，运动鞋制造端</w:t>
            </w:r>
            <w:r>
              <w:rPr>
                <w:color w:val="404040"/>
                <w:spacing w:val="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毛利率虽然较低，但在净利润率上运动鞋制造代表企业却能和其他产业链持平。因此，</w:t>
            </w:r>
            <w:r>
              <w:rPr>
                <w:color w:val="404040"/>
                <w:spacing w:val="-22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4"/>
                <w:sz w:val="21"/>
                <w:szCs w:val="21"/>
              </w:rPr>
              <w:t>我们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2"/>
                <w:sz w:val="21"/>
                <w:szCs w:val="21"/>
              </w:rPr>
              <w:t>认为，由于费用更少，在毛利率有所保证的情况下净利润率却不低。同时，运动鞋制造业进</w:t>
            </w:r>
            <w:r>
              <w:rPr>
                <w:color w:val="404040"/>
                <w:spacing w:val="3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9"/>
                <w:sz w:val="21"/>
                <w:szCs w:val="21"/>
              </w:rPr>
              <w:t>入壁垒高，</w:t>
            </w:r>
            <w:r>
              <w:rPr>
                <w:color w:val="404040"/>
                <w:spacing w:val="-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9"/>
                <w:sz w:val="21"/>
                <w:szCs w:val="21"/>
              </w:rPr>
              <w:t>小工厂竞争力不足，</w:t>
            </w:r>
            <w:r>
              <w:rPr>
                <w:color w:val="404040"/>
                <w:spacing w:val="-9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9"/>
                <w:sz w:val="21"/>
                <w:szCs w:val="21"/>
              </w:rPr>
              <w:t>大集团在生产效率和成本控制上更具优势，</w:t>
            </w:r>
            <w:r>
              <w:rPr>
                <w:color w:val="404040"/>
                <w:spacing w:val="-15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9"/>
                <w:sz w:val="21"/>
                <w:szCs w:val="21"/>
              </w:rPr>
              <w:t>有强者恒强的趋</w:t>
            </w:r>
            <w:r>
              <w:rPr>
                <w:color w:val="404040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9"/>
                <w:sz w:val="21"/>
                <w:szCs w:val="21"/>
              </w:rPr>
              <w:t>势。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05" w:lineRule="auto"/>
              <w:ind w:left="33"/>
              <w:rPr>
                <w:sz w:val="21"/>
                <w:szCs w:val="21"/>
              </w:rPr>
            </w:pPr>
            <w:bookmarkStart w:id="41" w:name="bookmark44"/>
            <w:bookmarkEnd w:id="41"/>
            <w:r>
              <w:rPr>
                <w:color w:val="404040"/>
                <w:spacing w:val="-3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图19.运动鞋产业链</w:t>
            </w:r>
          </w:p>
        </w:tc>
      </w:tr>
    </w:tbl>
    <w:p>
      <w:pPr>
        <w:sectPr>
          <w:headerReference w:type="default" r:id="rId168"/>
          <w:footerReference w:type="default" r:id="rId169"/>
          <w:pgSz w:w="11907" w:h="16839"/>
          <w:pgMar w:top="1064" w:right="666" w:bottom="803" w:left="680" w:header="884" w:footer="567" w:gutter="0"/>
          <w:pgNumType w:start="36"/>
          <w:cols w:space="708"/>
        </w:sectPr>
      </w:pPr>
    </w:p>
    <w:tbl>
      <w:tblPr>
        <w:tblStyle w:val="TableNormal8"/>
        <w:tblW w:w="8392" w:type="dxa"/>
        <w:tblInd w:w="21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92"/>
      </w:tblGrid>
      <w:tr>
        <w:tblPrEx>
          <w:tblW w:w="8392" w:type="dxa"/>
          <w:tblInd w:w="21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23"/>
        </w:trPr>
        <w:tc>
          <w:tcPr>
            <w:tcW w:w="8392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before="185" w:line="2551" w:lineRule="exact"/>
              <w:ind w:firstLine="108"/>
            </w:pPr>
            <w:r>
              <w:rPr>
                <w:position w:val="-51"/>
              </w:rPr>
              <w:drawing>
                <wp:inline distT="0" distB="0" distL="0" distR="0">
                  <wp:extent cx="5248275" cy="1619884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8275" cy="1619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5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2"/>
          <w:sz w:val="16"/>
          <w:szCs w:val="16"/>
        </w:rPr>
        <w:t>资料来源：各公司年报，国投证券研究中心</w:t>
      </w:r>
    </w:p>
    <w:p>
      <w:pPr>
        <w:spacing w:line="213" w:lineRule="auto"/>
        <w:rPr>
          <w:sz w:val="16"/>
          <w:szCs w:val="16"/>
        </w:rPr>
        <w:sectPr>
          <w:headerReference w:type="default" r:id="rId171"/>
          <w:footerReference w:type="default" r:id="rId172"/>
          <w:type w:val="nextPage"/>
          <w:pgSz w:w="11907" w:h="16839"/>
          <w:pgMar w:top="1064" w:right="666" w:bottom="803" w:left="680" w:header="884" w:footer="567" w:gutter="0"/>
          <w:pgNumType w:start="37"/>
          <w:cols w:space="708"/>
          <w:titlePg w:val="0"/>
        </w:sectPr>
      </w:pPr>
    </w:p>
    <w:p>
      <w:pPr>
        <w:spacing w:before="126" w:line="436" w:lineRule="exact"/>
      </w:pPr>
      <w:r>
        <w:pict>
          <v:shape id="_x0000_s1213" style="width:419.35pt;height:0.75pt;margin-top:643.39pt;margin-left:141.98pt;mso-position-horizontal-relative:page;mso-position-vertical-relative:page;position:absolute;z-index:251821056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820032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5" w:line="236" w:lineRule="auto"/>
        <w:ind w:left="2159" w:right="8" w:firstLine="10"/>
        <w:jc w:val="both"/>
        <w:rPr>
          <w:sz w:val="21"/>
          <w:szCs w:val="21"/>
        </w:rPr>
      </w:pP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原材料和人工是成本大头，但原材料采购无自主权。</w:t>
      </w:r>
      <w:r>
        <w:rPr>
          <w:color w:val="404040"/>
          <w:spacing w:val="-1"/>
          <w:sz w:val="21"/>
          <w:szCs w:val="21"/>
        </w:rPr>
        <w:t>运动鞋制造产业从成本而言主要有原材</w:t>
      </w:r>
      <w:r>
        <w:rPr>
          <w:color w:val="404040"/>
          <w:spacing w:val="1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料成本、劳动力成本、设备折旧、电费以及其他成本。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以华利集团为例，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原材料成本为主要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成本，</w:t>
      </w:r>
      <w:r>
        <w:rPr>
          <w:color w:val="404040"/>
          <w:spacing w:val="-8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占比在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60%以上，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其次是劳动力成本，占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30%左右。一般而言，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8"/>
          <w:sz w:val="21"/>
          <w:szCs w:val="21"/>
        </w:rPr>
        <w:t>制造业企</w:t>
      </w:r>
      <w:r>
        <w:rPr>
          <w:color w:val="404040"/>
          <w:spacing w:val="-9"/>
          <w:sz w:val="21"/>
          <w:szCs w:val="21"/>
        </w:rPr>
        <w:t>业可通过多家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供应商竞争等方式管控原材料价格，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以及通过迁址去低劳动力成本的地方优化人员成本。然</w:t>
      </w:r>
      <w:r>
        <w:rPr>
          <w:color w:val="404040"/>
          <w:spacing w:val="8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而对于运动鞋制造商而言，由于各大品牌商在其产品的材料上或有独</w:t>
      </w:r>
      <w:r>
        <w:rPr>
          <w:color w:val="404040"/>
          <w:spacing w:val="-1"/>
          <w:sz w:val="21"/>
          <w:szCs w:val="21"/>
        </w:rPr>
        <w:t>家工艺或领先技术，品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牌商会指定原材料供应商，商定价格后让制造商采购。因此，在原材</w:t>
      </w:r>
      <w:r>
        <w:rPr>
          <w:color w:val="404040"/>
          <w:spacing w:val="-1"/>
          <w:sz w:val="21"/>
          <w:szCs w:val="21"/>
        </w:rPr>
        <w:t>料端，运动鞋制造商在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原材料采购上不具备主动权，成本管控空间小。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69" w:line="238" w:lineRule="auto"/>
        <w:ind w:left="2163" w:right="8" w:firstLine="17"/>
        <w:jc w:val="both"/>
        <w:rPr>
          <w:sz w:val="21"/>
          <w:szCs w:val="21"/>
        </w:rPr>
      </w:pP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劳动力成本管控有自主权，产线迁往东南亚趋势明显。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制鞋业中心的变迁史是一部追逐高劳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动力资源且低成本的历史，从上世纪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70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</w:t>
      </w:r>
      <w:r>
        <w:rPr>
          <w:color w:val="404040"/>
          <w:spacing w:val="-4"/>
          <w:sz w:val="21"/>
          <w:szCs w:val="21"/>
        </w:rPr>
        <w:t>代开始在日本、韩国、中国台湾，到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80-90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年代开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始转移至中国，</w:t>
      </w:r>
      <w:r>
        <w:rPr>
          <w:color w:val="404040"/>
          <w:spacing w:val="-21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再到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21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世纪开始向东南亚地区转移，均是</w:t>
      </w:r>
      <w:r>
        <w:rPr>
          <w:color w:val="404040"/>
          <w:spacing w:val="-3"/>
          <w:sz w:val="21"/>
          <w:szCs w:val="21"/>
        </w:rPr>
        <w:t>在高劳动力成本地区向低劳动力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成本地区转移的过程。当前亚洲是制鞋产业的绝对中心仍未改变，</w:t>
      </w:r>
      <w:r>
        <w:rPr>
          <w:color w:val="404040"/>
          <w:spacing w:val="-36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根据葡萄牙制鞋业</w:t>
      </w:r>
      <w:r>
        <w:rPr>
          <w:color w:val="404040"/>
          <w:spacing w:val="-3"/>
          <w:sz w:val="21"/>
          <w:szCs w:val="21"/>
        </w:rPr>
        <w:t>协会的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数据，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2022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年全球接近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90%的鞋履在亚洲生产且过去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1</w:t>
      </w:r>
      <w:r>
        <w:rPr>
          <w:color w:val="404040"/>
          <w:spacing w:val="-4"/>
          <w:sz w:val="21"/>
          <w:szCs w:val="21"/>
        </w:rPr>
        <w:t>0</w:t>
      </w:r>
      <w:r>
        <w:rPr>
          <w:color w:val="404040"/>
          <w:spacing w:val="-22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年一直保持这个高水平。从国家出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口鞋履量来看，中国目前仍是出口量最大的国家，但是占比逐年减少，2013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年市场份额达到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74%，2022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年此数字降至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60%，份额减少的部分主要被越南和印度尼西亚吸收。越南和印尼的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市场份额分别从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2013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年的</w:t>
      </w:r>
      <w:r>
        <w:rPr>
          <w:color w:val="404040"/>
          <w:spacing w:val="-3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4%和</w:t>
      </w:r>
      <w:r>
        <w:rPr>
          <w:color w:val="404040"/>
          <w:spacing w:val="-2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1%提升至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</w:t>
      </w:r>
      <w:r>
        <w:rPr>
          <w:color w:val="404040"/>
          <w:spacing w:val="-4"/>
          <w:sz w:val="21"/>
          <w:szCs w:val="21"/>
        </w:rPr>
        <w:t>2</w:t>
      </w:r>
      <w:r>
        <w:rPr>
          <w:color w:val="404040"/>
          <w:spacing w:val="-31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年的</w:t>
      </w:r>
      <w:r>
        <w:rPr>
          <w:color w:val="404040"/>
          <w:spacing w:val="-21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10%和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3%且占比逐年增加。</w:t>
      </w:r>
      <w:r>
        <w:rPr>
          <w:color w:val="404040"/>
          <w:spacing w:val="-29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运动鞋产业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更是率先完成在东南亚的产业链布局。以行业龙头耐克为例</w:t>
      </w:r>
      <w:r>
        <w:rPr>
          <w:color w:val="404040"/>
          <w:spacing w:val="-1"/>
          <w:sz w:val="21"/>
          <w:szCs w:val="21"/>
        </w:rPr>
        <w:t>，其鞋类生产工厂在越南和印尼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合计的比例从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2012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财年的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66%提升至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2023</w:t>
      </w:r>
      <w:r>
        <w:rPr>
          <w:color w:val="404040"/>
          <w:spacing w:val="-4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财年的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77%，而中国工厂的数量占比则从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32%降低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至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18%。中国产业链占比萎缩以及东南亚产业链占比提升，</w:t>
      </w:r>
      <w:r>
        <w:rPr>
          <w:color w:val="404040"/>
          <w:spacing w:val="-1"/>
          <w:sz w:val="21"/>
          <w:szCs w:val="21"/>
        </w:rPr>
        <w:t>并非因为东南亚本土代工企业竞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争力提升而取代中国代工企业，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而是中国企业加大在东南亚的布局。仍从耐克供应链进行观</w:t>
      </w:r>
      <w:r>
        <w:rPr>
          <w:color w:val="404040"/>
          <w:spacing w:val="4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察，</w:t>
      </w:r>
      <w:r>
        <w:rPr>
          <w:color w:val="404040"/>
          <w:spacing w:val="-7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我们发现无论是越南还是印尼，</w:t>
      </w:r>
      <w:r>
        <w:rPr>
          <w:color w:val="404040"/>
          <w:spacing w:val="-17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耐克的鞋类供应商按工人总数量排名，</w:t>
      </w:r>
      <w:r>
        <w:rPr>
          <w:color w:val="404040"/>
          <w:spacing w:val="-25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前十位的均为中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国或韩国的集团，其中以中国企业为主，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无越南或印尼本土企业</w:t>
      </w:r>
      <w:r>
        <w:rPr>
          <w:color w:val="404040"/>
          <w:spacing w:val="-3"/>
          <w:sz w:val="21"/>
          <w:szCs w:val="21"/>
        </w:rPr>
        <w:t>出现。由此可以看出东南亚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运动鞋产业链的兴起，主要因为企业在越南或印尼进行产业链布局。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2193"/>
        <w:rPr>
          <w:sz w:val="21"/>
          <w:szCs w:val="21"/>
        </w:rPr>
      </w:pPr>
      <w:bookmarkStart w:id="42" w:name="bookmark45"/>
      <w:bookmarkEnd w:id="42"/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图20.各国鞋履出口量占全球总出口量占比</w:t>
      </w:r>
    </w:p>
    <w:p>
      <w:pPr>
        <w:spacing w:line="155" w:lineRule="exact"/>
      </w:pPr>
    </w:p>
    <w:p>
      <w:pPr>
        <w:spacing w:line="155" w:lineRule="exact"/>
        <w:sectPr>
          <w:headerReference w:type="default" r:id="rId173"/>
          <w:footerReference w:type="default" r:id="rId174"/>
          <w:pgSz w:w="11907" w:h="16839"/>
          <w:pgMar w:top="1064" w:right="666" w:bottom="803" w:left="680" w:header="884" w:footer="567" w:gutter="0"/>
          <w:pgNumType w:start="38"/>
          <w:cols w:num="1" w:space="708" w:equalWidth="0">
            <w:col w:w="10560" w:space="0"/>
          </w:cols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58" w:line="340" w:lineRule="auto"/>
        <w:ind w:left="2795" w:hanging="76"/>
        <w:jc w:val="right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90%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80%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70%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60%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50%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40%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30%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20%</w:t>
      </w:r>
      <w:r>
        <w:rPr>
          <w:color w:val="404040"/>
          <w:sz w:val="18"/>
          <w:szCs w:val="18"/>
        </w:rPr>
        <w:t xml:space="preserve">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10%</w:t>
      </w:r>
    </w:p>
    <w:p>
      <w:pPr>
        <w:pStyle w:val="BodyText"/>
        <w:spacing w:before="1" w:line="182" w:lineRule="auto"/>
        <w:jc w:val="right"/>
        <w:rPr>
          <w:sz w:val="18"/>
          <w:szCs w:val="18"/>
        </w:rPr>
      </w:pP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0" w:line="215" w:lineRule="auto"/>
        <w:ind w:left="1923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20" cy="45720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25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中国</w:t>
      </w:r>
      <w:r>
        <w:rPr>
          <w:color w:val="404040"/>
          <w:spacing w:val="5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20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8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越南</w:t>
      </w:r>
      <w:r>
        <w:rPr>
          <w:color w:val="404040"/>
          <w:spacing w:val="56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20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1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印度尼西亚</w:t>
      </w:r>
      <w:r>
        <w:rPr>
          <w:color w:val="404040"/>
          <w:spacing w:val="5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20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2"/>
          <w:sz w:val="16"/>
          <w:szCs w:val="16"/>
        </w:rPr>
        <w:t xml:space="preserve"> </w:t>
      </w:r>
      <w:r>
        <w:rPr>
          <w:color w:val="404040"/>
          <w:spacing w:val="-4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其他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3367" w:lineRule="exact"/>
      </w:pPr>
      <w:r>
        <w:rPr>
          <w:position w:val="-67"/>
        </w:rPr>
        <w:drawing>
          <wp:inline distT="0" distB="0" distL="0" distR="0">
            <wp:extent cx="4275899" cy="2138362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4275899" cy="2138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0" w:line="128" w:lineRule="exact"/>
        <w:ind w:left="210"/>
        <w:rPr>
          <w:sz w:val="18"/>
          <w:szCs w:val="18"/>
        </w:rPr>
      </w:pP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2013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2014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2015</w:t>
      </w:r>
      <w:r>
        <w:rPr>
          <w:color w:val="404040"/>
          <w:spacing w:val="15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2016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2017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2018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2019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2020</w:t>
      </w:r>
      <w:r>
        <w:rPr>
          <w:color w:val="404040"/>
          <w:spacing w:val="15"/>
          <w:position w:val="-2"/>
          <w:sz w:val="18"/>
          <w:szCs w:val="18"/>
        </w:rPr>
        <w:t xml:space="preserve">   </w:t>
      </w:r>
      <w:r>
        <w:rPr>
          <w:color w:val="404040"/>
          <w:spacing w:val="-1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021</w:t>
      </w:r>
      <w:r>
        <w:rPr>
          <w:color w:val="404040"/>
          <w:spacing w:val="14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2022</w:t>
      </w:r>
    </w:p>
    <w:p>
      <w:pPr>
        <w:spacing w:line="128" w:lineRule="exact"/>
        <w:rPr>
          <w:sz w:val="18"/>
          <w:szCs w:val="18"/>
        </w:rPr>
        <w:sectPr>
          <w:headerReference w:type="default" r:id="rId179"/>
          <w:footerReference w:type="default" r:id="rId180"/>
          <w:type w:val="continuous"/>
          <w:pgSz w:w="11907" w:h="16839"/>
          <w:pgMar w:top="1064" w:right="666" w:bottom="803" w:left="680" w:header="884" w:footer="567" w:gutter="0"/>
          <w:pgNumType w:start="39"/>
          <w:cols w:num="2" w:space="708" w:equalWidth="0">
            <w:col w:w="3067" w:space="89"/>
            <w:col w:w="7405" w:space="0"/>
          </w:cols>
        </w:sectPr>
      </w:pPr>
    </w:p>
    <w:p>
      <w:pPr>
        <w:pStyle w:val="BodyText"/>
        <w:spacing w:before="198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2"/>
          <w:sz w:val="16"/>
          <w:szCs w:val="16"/>
        </w:rPr>
        <w:t>资料来源：葡萄牙制鞋业协会，国投证券研究中心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9" w:line="232" w:lineRule="auto"/>
        <w:ind w:left="2175" w:right="8" w:hanging="6"/>
        <w:jc w:val="both"/>
        <w:rPr>
          <w:sz w:val="21"/>
          <w:szCs w:val="21"/>
        </w:rPr>
        <w:sectPr>
          <w:headerReference w:type="default" r:id="rId181"/>
          <w:footerReference w:type="default" r:id="rId182"/>
          <w:type w:val="continuous"/>
          <w:pgSz w:w="11907" w:h="16839"/>
          <w:pgMar w:top="1064" w:right="666" w:bottom="803" w:left="680" w:header="884" w:footer="567" w:gutter="0"/>
          <w:pgNumType w:start="40"/>
          <w:cols w:num="1" w:space="708" w:equalWidth="0">
            <w:col w:w="10560" w:space="0"/>
          </w:cols>
        </w:sectPr>
      </w:pPr>
      <w:r>
        <w:rPr>
          <w:color w:val="404040"/>
          <w:spacing w:val="-4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运动鞋不断追求环保。</w:t>
      </w:r>
      <w:r>
        <w:rPr>
          <w:color w:val="404040"/>
          <w:spacing w:val="38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消费者在生活各方面更加注重环保低碳，各国也呼吁其企业在</w:t>
      </w:r>
      <w:r>
        <w:rPr>
          <w:color w:val="404040"/>
          <w:spacing w:val="-5"/>
          <w:sz w:val="21"/>
          <w:szCs w:val="21"/>
        </w:rPr>
        <w:t>可持续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发展方面更有建树。因此，消费者在选购商品时开始逐步注重产品的环保性。运动鞋，作为</w:t>
      </w:r>
      <w:r>
        <w:rPr>
          <w:color w:val="404040"/>
          <w:spacing w:val="14"/>
          <w:sz w:val="21"/>
          <w:szCs w:val="21"/>
        </w:rPr>
        <w:t xml:space="preserve"> </w:t>
      </w:r>
    </w:p>
    <w:p>
      <w:pPr>
        <w:pStyle w:val="BodyText"/>
        <w:spacing w:before="69" w:line="232" w:lineRule="auto"/>
        <w:ind w:left="2175" w:right="8" w:hanging="6"/>
        <w:jc w:val="both"/>
        <w:rPr>
          <w:sz w:val="21"/>
          <w:szCs w:val="21"/>
        </w:rPr>
      </w:pPr>
      <w:r>
        <w:rPr>
          <w:color w:val="404040"/>
          <w:spacing w:val="-1"/>
          <w:sz w:val="21"/>
          <w:szCs w:val="21"/>
        </w:rPr>
        <w:t>用料种类多，生产环节长的鞋服品类，在产品可回收性和生产废料控制上挑战较大，对运动</w:t>
      </w:r>
      <w:r>
        <w:rPr>
          <w:color w:val="404040"/>
          <w:spacing w:val="14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品牌以及上游制造商的要求更高。各大运动品牌近年来在其鞋品上不断创新，运用更为环保</w:t>
      </w:r>
      <w:r>
        <w:rPr>
          <w:color w:val="404040"/>
          <w:spacing w:val="14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的材料，在可回收性上不断进步，例如</w:t>
      </w:r>
      <w:r>
        <w:rPr>
          <w:color w:val="404040"/>
          <w:spacing w:val="-15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PUMA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的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Running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系列无论鞋面还是鞋底均大量采用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可回收材料，按重量算回收成分比重达到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21%；又如耐克</w:t>
      </w:r>
      <w:r>
        <w:rPr>
          <w:color w:val="404040"/>
          <w:spacing w:val="-5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W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BLAZER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MID</w:t>
      </w:r>
      <w:r>
        <w:rPr>
          <w:color w:val="404040"/>
          <w:spacing w:val="3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'77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SE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为例，</w:t>
      </w:r>
      <w:r>
        <w:rPr>
          <w:color w:val="404040"/>
          <w:spacing w:val="-2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运用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了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11</w:t>
      </w:r>
      <w:r>
        <w:rPr>
          <w:color w:val="404040"/>
          <w:spacing w:val="-49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种环保材料，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材料比重达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21%。</w:t>
      </w:r>
    </w:p>
    <w:p>
      <w:pPr>
        <w:spacing w:line="232" w:lineRule="auto"/>
        <w:rPr>
          <w:sz w:val="21"/>
          <w:szCs w:val="21"/>
        </w:rPr>
        <w:sectPr>
          <w:headerReference w:type="default" r:id="rId183"/>
          <w:footerReference w:type="default" r:id="rId184"/>
          <w:type w:val="nextPage"/>
          <w:pgSz w:w="11907" w:h="16839"/>
          <w:pgMar w:top="1064" w:right="666" w:bottom="803" w:left="680" w:header="884" w:footer="567" w:gutter="0"/>
          <w:pgNumType w:start="41"/>
          <w:cols w:num="1" w:space="708" w:equalWidth="0">
            <w:col w:w="10560" w:space="0"/>
          </w:cols>
          <w:titlePg w:val="0"/>
        </w:sectPr>
      </w:pPr>
    </w:p>
    <w:p>
      <w:pPr>
        <w:spacing w:before="126" w:line="436" w:lineRule="exact"/>
      </w:pPr>
      <w:r>
        <w:drawing>
          <wp:anchor distT="0" distB="0" distL="0" distR="0" simplePos="0" relativeHeight="251822080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2193"/>
        <w:rPr>
          <w:sz w:val="21"/>
          <w:szCs w:val="21"/>
        </w:rPr>
      </w:pPr>
      <w:bookmarkStart w:id="43" w:name="bookmark47"/>
      <w:bookmarkEnd w:id="43"/>
      <w:bookmarkStart w:id="44" w:name="bookmark48"/>
      <w:bookmarkEnd w:id="44"/>
      <w:bookmarkStart w:id="45" w:name="bookmark94"/>
      <w:bookmarkEnd w:id="45"/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图21.</w:t>
      </w:r>
      <w:r>
        <w:rPr>
          <w:rFonts w:ascii="Arial" w:eastAsia="Arial" w:hAnsi="Arial" w:cs="Arial"/>
          <w:b/>
          <w:bCs/>
          <w:color w:val="404040"/>
          <w:spacing w:val="-3"/>
          <w:sz w:val="21"/>
          <w:szCs w:val="21"/>
        </w:rPr>
        <w:t>PUMA Running</w:t>
      </w:r>
      <w:r>
        <w:rPr>
          <w:rFonts w:ascii="Arial" w:eastAsia="Arial" w:hAnsi="Arial" w:cs="Arial"/>
          <w:b/>
          <w:bCs/>
          <w:color w:val="404040"/>
          <w:spacing w:val="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系列跑鞋环保材料一览</w:t>
      </w:r>
    </w:p>
    <w:tbl>
      <w:tblPr>
        <w:tblStyle w:val="TableNormal9"/>
        <w:tblW w:w="8386" w:type="dxa"/>
        <w:tblInd w:w="21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86"/>
      </w:tblGrid>
      <w:tr>
        <w:tblPrEx>
          <w:tblW w:w="8386" w:type="dxa"/>
          <w:tblInd w:w="215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34"/>
        </w:trPr>
        <w:tc>
          <w:tcPr>
            <w:tcW w:w="8386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before="6" w:line="4118" w:lineRule="exact"/>
              <w:ind w:firstLine="498"/>
            </w:pPr>
            <w:r>
              <w:rPr>
                <w:position w:val="-82"/>
              </w:rPr>
              <w:drawing>
                <wp:inline distT="0" distB="0" distL="0" distR="0">
                  <wp:extent cx="4692650" cy="2614676"/>
                  <wp:effectExtent l="0" t="0" r="0" b="0"/>
                  <wp:docPr id="286" name="IM 2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 286"/>
                          <pic:cNvPicPr/>
                        </pic:nvPicPr>
                        <pic:blipFill>
                          <a:blip xmlns:r="http://schemas.openxmlformats.org/officeDocument/2006/relationships"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2650" cy="2614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386" w:type="dxa"/>
          <w:tblInd w:w="2159" w:type="dxa"/>
          <w:tblLayout w:type="fixed"/>
        </w:tblPrEx>
        <w:trPr>
          <w:trHeight w:val="781"/>
        </w:trPr>
        <w:tc>
          <w:tcPr>
            <w:tcW w:w="8386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pStyle w:val="TableText"/>
              <w:spacing w:before="23" w:line="213" w:lineRule="auto"/>
              <w:ind w:left="5"/>
              <w:rPr>
                <w:sz w:val="16"/>
                <w:szCs w:val="16"/>
              </w:rPr>
            </w:pPr>
            <w:r>
              <w:rPr>
                <w:i/>
                <w:iCs/>
                <w:color w:val="404040"/>
                <w:spacing w:val="1"/>
                <w:sz w:val="16"/>
                <w:szCs w:val="16"/>
              </w:rPr>
              <w:t>资料来源：华利集团社会责任报告，国投证券研究中心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08" w:lineRule="auto"/>
              <w:ind w:left="33"/>
              <w:rPr>
                <w:sz w:val="21"/>
                <w:szCs w:val="21"/>
              </w:rPr>
            </w:pPr>
            <w:r>
              <w:rPr>
                <w:color w:val="404040"/>
                <w:spacing w:val="-3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图22.耐克</w:t>
            </w:r>
            <w:r>
              <w:rPr>
                <w:color w:val="404040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404040"/>
                <w:spacing w:val="-3"/>
                <w:sz w:val="21"/>
                <w:szCs w:val="21"/>
              </w:rPr>
              <w:t>Blazer</w:t>
            </w:r>
            <w:r>
              <w:rPr>
                <w:rFonts w:ascii="Arial" w:eastAsia="Arial" w:hAnsi="Arial" w:cs="Arial"/>
                <w:b/>
                <w:bCs/>
                <w:color w:val="404040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color w:val="404040"/>
                <w:spacing w:val="-3"/>
                <w:sz w:val="21"/>
                <w:szCs w:val="21"/>
                <w14:textOutline w14:w="3831">
                  <w14:solidFill>
                    <w14:srgbClr w14:val="404040"/>
                  </w14:solidFill>
                  <w14:prstDash w14:val="solid"/>
                  <w14:miter w14:lim="10"/>
                </w14:textOutline>
              </w:rPr>
              <w:t>系列运动鞋环保材料一览</w:t>
            </w:r>
          </w:p>
        </w:tc>
      </w:tr>
      <w:tr>
        <w:tblPrEx>
          <w:tblW w:w="8386" w:type="dxa"/>
          <w:tblInd w:w="2159" w:type="dxa"/>
          <w:tblLayout w:type="fixed"/>
        </w:tblPrEx>
        <w:trPr>
          <w:trHeight w:val="5169"/>
        </w:trPr>
        <w:tc>
          <w:tcPr>
            <w:tcW w:w="8386" w:type="dxa"/>
            <w:tcBorders>
              <w:top w:val="single" w:sz="4" w:space="0" w:color="595959"/>
              <w:bottom w:val="single" w:sz="4" w:space="0" w:color="595959"/>
            </w:tcBorders>
            <w:vAlign w:val="top"/>
          </w:tcPr>
          <w:p>
            <w:pPr>
              <w:spacing w:before="1" w:line="5158" w:lineRule="exact"/>
              <w:ind w:firstLine="273"/>
            </w:pPr>
            <w:r>
              <w:rPr>
                <w:position w:val="-103"/>
              </w:rPr>
              <w:drawing>
                <wp:inline distT="0" distB="0" distL="0" distR="0">
                  <wp:extent cx="4979034" cy="3275329"/>
                  <wp:effectExtent l="0" t="0" r="0" b="0"/>
                  <wp:docPr id="288" name="IM 2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IM 288"/>
                          <pic:cNvPicPr/>
                        </pic:nvPicPr>
                        <pic:blipFill>
                          <a:blip xmlns:r="http://schemas.openxmlformats.org/officeDocument/2006/relationships" r:embed="rId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034" cy="3275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2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1"/>
          <w:sz w:val="16"/>
          <w:szCs w:val="16"/>
        </w:rPr>
        <w:t>资料来源：华利集团社会责任报告，国投证券研究中心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9" w:line="237" w:lineRule="auto"/>
        <w:ind w:left="2163" w:firstLine="6"/>
        <w:rPr>
          <w:sz w:val="21"/>
          <w:szCs w:val="21"/>
        </w:rPr>
        <w:sectPr>
          <w:headerReference w:type="default" r:id="rId187"/>
          <w:footerReference w:type="default" r:id="rId188"/>
          <w:pgSz w:w="11907" w:h="16839"/>
          <w:pgMar w:top="1064" w:right="624" w:bottom="803" w:left="680" w:header="884" w:footer="567" w:gutter="0"/>
          <w:pgNumType w:start="42"/>
          <w:cols w:space="708"/>
        </w:sectPr>
      </w:pP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代工企业生产要求提高，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护城河有望不断加深。</w:t>
      </w:r>
      <w:r>
        <w:rPr>
          <w:color w:val="404040"/>
          <w:spacing w:val="-2"/>
          <w:sz w:val="21"/>
          <w:szCs w:val="21"/>
        </w:rPr>
        <w:t>上文提及，运</w:t>
      </w:r>
      <w:r>
        <w:rPr>
          <w:color w:val="404040"/>
          <w:spacing w:val="-3"/>
          <w:sz w:val="21"/>
          <w:szCs w:val="21"/>
        </w:rPr>
        <w:t>动鞋生产企业在原材料采购方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面无自主权，由品牌方指定，因此从材料运用角度看，运用环保材料似对生产环</w:t>
      </w:r>
      <w:r>
        <w:rPr>
          <w:color w:val="404040"/>
          <w:spacing w:val="-7"/>
          <w:sz w:val="21"/>
          <w:szCs w:val="21"/>
        </w:rPr>
        <w:t>节影响不大。</w:t>
      </w:r>
      <w:r>
        <w:rPr>
          <w:color w:val="404040"/>
          <w:spacing w:val="-7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然而，除了积极运用环保材料外，品牌方对于运动鞋生产环</w:t>
      </w:r>
      <w:r>
        <w:rPr>
          <w:color w:val="404040"/>
          <w:spacing w:val="-1"/>
          <w:sz w:val="21"/>
          <w:szCs w:val="21"/>
        </w:rPr>
        <w:t>节中的污染处理、余料控制、用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水量等要求也在逐年严格，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主要因为大部分生产环节的废料来源于鞋品生产。以耐克为例，</w:t>
      </w:r>
      <w:r>
        <w:rPr>
          <w:color w:val="404040"/>
          <w:spacing w:val="13"/>
          <w:sz w:val="21"/>
          <w:szCs w:val="21"/>
        </w:rPr>
        <w:t xml:space="preserve"> </w:t>
      </w:r>
    </w:p>
    <w:p>
      <w:pPr>
        <w:pStyle w:val="BodyText"/>
        <w:spacing w:before="69" w:line="237" w:lineRule="auto"/>
        <w:ind w:left="2163" w:firstLine="6"/>
        <w:rPr>
          <w:sz w:val="21"/>
          <w:szCs w:val="21"/>
        </w:rPr>
      </w:pPr>
      <w:r>
        <w:rPr>
          <w:color w:val="404040"/>
          <w:spacing w:val="-4"/>
          <w:sz w:val="21"/>
          <w:szCs w:val="21"/>
        </w:rPr>
        <w:t>82%的生产废料来自于鞋品生产，</w:t>
      </w:r>
      <w:r>
        <w:rPr>
          <w:color w:val="404040"/>
          <w:spacing w:val="-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对于生产环节的环</w:t>
      </w:r>
      <w:r>
        <w:rPr>
          <w:color w:val="404040"/>
          <w:spacing w:val="-5"/>
          <w:sz w:val="21"/>
          <w:szCs w:val="21"/>
        </w:rPr>
        <w:t>保要求，运动鞋生产企业首当其冲。耐克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在其社会责任报告中提出了可量化的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2025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年目标，包括减</w:t>
      </w:r>
      <w:r>
        <w:rPr>
          <w:color w:val="404040"/>
          <w:spacing w:val="-1"/>
          <w:sz w:val="21"/>
          <w:szCs w:val="21"/>
        </w:rPr>
        <w:t>少单位产品产生的废料、增加废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料回收比率、减少印染过程的用水量等。品牌方对生产环节</w:t>
      </w:r>
      <w:r>
        <w:rPr>
          <w:color w:val="404040"/>
          <w:spacing w:val="-1"/>
          <w:sz w:val="21"/>
          <w:szCs w:val="21"/>
        </w:rPr>
        <w:t>的高要求对代工企业不断带来挑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战，</w:t>
      </w:r>
      <w:r>
        <w:rPr>
          <w:color w:val="404040"/>
          <w:spacing w:val="-49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主要体现在：1）大量投入和改进设备以提高用料效率和降低污染，</w:t>
      </w:r>
      <w:r>
        <w:rPr>
          <w:color w:val="404040"/>
          <w:spacing w:val="-5"/>
          <w:sz w:val="21"/>
          <w:szCs w:val="21"/>
        </w:rPr>
        <w:t>这需要有充裕的现金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流进行支撑；2）需要有多年的制鞋经验积累，才可总结出可改进的生产环节。以上挑战将使</w:t>
      </w:r>
    </w:p>
    <w:p>
      <w:pPr>
        <w:spacing w:line="237" w:lineRule="auto"/>
        <w:rPr>
          <w:sz w:val="21"/>
          <w:szCs w:val="21"/>
        </w:rPr>
        <w:sectPr>
          <w:headerReference w:type="default" r:id="rId189"/>
          <w:footerReference w:type="default" r:id="rId190"/>
          <w:type w:val="nextPage"/>
          <w:pgSz w:w="11907" w:h="16839"/>
          <w:pgMar w:top="1064" w:right="624" w:bottom="803" w:left="680" w:header="884" w:footer="567" w:gutter="0"/>
          <w:pgNumType w:start="43"/>
          <w:cols w:space="708"/>
          <w:titlePg w:val="0"/>
        </w:sectPr>
      </w:pPr>
    </w:p>
    <w:p>
      <w:pPr>
        <w:spacing w:before="126" w:line="436" w:lineRule="exact"/>
      </w:pPr>
      <w:r>
        <w:drawing>
          <wp:anchor distT="0" distB="0" distL="0" distR="0" simplePos="0" relativeHeight="251824128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3104" behindDoc="1" locked="0" layoutInCell="0" allowOverlap="1">
            <wp:simplePos x="0" y="0"/>
            <wp:positionH relativeFrom="page">
              <wp:posOffset>1871979</wp:posOffset>
            </wp:positionH>
            <wp:positionV relativeFrom="page">
              <wp:posOffset>1949322</wp:posOffset>
            </wp:positionV>
            <wp:extent cx="5223255" cy="1834515"/>
            <wp:effectExtent l="0" t="0" r="0" b="0"/>
            <wp:wrapNone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5223255" cy="1834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5" w:line="229" w:lineRule="auto"/>
        <w:ind w:left="2170" w:right="77" w:firstLine="1"/>
        <w:rPr>
          <w:sz w:val="21"/>
          <w:szCs w:val="21"/>
        </w:rPr>
      </w:pPr>
      <w:r>
        <w:rPr>
          <w:color w:val="404040"/>
          <w:spacing w:val="-5"/>
          <w:sz w:val="21"/>
          <w:szCs w:val="21"/>
        </w:rPr>
        <w:t>行业内代工巨头的护城河更深，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新企业在资本投入和经验积累上难以竞争，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运动鞋生产行业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集中度有望不断提高。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2193"/>
        <w:rPr>
          <w:sz w:val="21"/>
          <w:szCs w:val="21"/>
        </w:rPr>
      </w:pP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图23.耐克对生产环节的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404040"/>
          <w:spacing w:val="-2"/>
          <w:sz w:val="21"/>
          <w:szCs w:val="21"/>
        </w:rPr>
        <w:t xml:space="preserve">2025 </w:t>
      </w: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年环保目标</w:t>
      </w:r>
    </w:p>
    <w:p>
      <w:pPr>
        <w:spacing w:line="2945" w:lineRule="exact"/>
        <w:ind w:firstLine="2159"/>
      </w:pPr>
      <w:r>
        <w:rPr>
          <w:position w:val="-58"/>
        </w:rPr>
        <w:pict>
          <v:group id="_x0000_i1214" style="width:419.35pt;height:147.3pt;mso-position-horizontal-relative:char;mso-position-vertical-relative:line" coordorigin="0,0" coordsize="8387,2946" filled="f" stroked="f">
            <v:rect id="_x0000_s1215" style="width:8387;height:15;position:absolute" filled="t" fillcolor="#595959" stroked="f"/>
            <v:rect id="_x0000_s1216" style="width:8387;height:15;position:absolute;top:2930" filled="t" fillcolor="#595959" stroked="f"/>
            <w10:wrap type="none"/>
          </v:group>
        </w:pict>
      </w:r>
    </w:p>
    <w:p>
      <w:pPr>
        <w:pStyle w:val="BodyText"/>
        <w:spacing w:before="23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2"/>
          <w:sz w:val="16"/>
          <w:szCs w:val="16"/>
        </w:rPr>
        <w:t>资料来源：耐克社会责任报告，国投证券研究中心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2162"/>
        <w:outlineLvl w:val="6"/>
        <w:rPr>
          <w:sz w:val="28"/>
          <w:szCs w:val="28"/>
        </w:rPr>
      </w:pPr>
      <w:bookmarkStart w:id="46" w:name="bookmark12"/>
      <w:bookmarkEnd w:id="46"/>
      <w:bookmarkStart w:id="47" w:name="bookmark49"/>
      <w:bookmarkEnd w:id="47"/>
      <w:bookmarkStart w:id="48" w:name="bookmark95"/>
      <w:bookmarkEnd w:id="48"/>
      <w:r>
        <w:rPr>
          <w:color w:val="404040"/>
          <w:spacing w:val="1"/>
          <w:sz w:val="28"/>
          <w:szCs w:val="28"/>
          <w14:textOutline w14:w="5094">
            <w14:solidFill>
              <w14:srgbClr w14:val="404040"/>
            </w14:solidFill>
            <w14:prstDash w14:val="solid"/>
            <w14:miter w14:lim="10"/>
          </w14:textOutline>
        </w:rPr>
        <w:t>4.华利集团：成本把控更具优势，客户深耕外拓两</w:t>
      </w:r>
      <w:r>
        <w:rPr>
          <w:color w:val="404040"/>
          <w:sz w:val="28"/>
          <w:szCs w:val="28"/>
          <w14:textOutline w14:w="5094">
            <w14:solidFill>
              <w14:srgbClr w14:val="404040"/>
            </w14:solidFill>
            <w14:prstDash w14:val="solid"/>
            <w14:miter w14:lim="10"/>
          </w14:textOutline>
        </w:rPr>
        <w:t>不误</w:t>
      </w:r>
    </w:p>
    <w:p>
      <w:pPr>
        <w:pStyle w:val="BodyText"/>
        <w:spacing w:before="94" w:line="235" w:lineRule="auto"/>
        <w:ind w:left="2169" w:firstLine="6"/>
        <w:jc w:val="both"/>
        <w:rPr>
          <w:sz w:val="21"/>
          <w:szCs w:val="21"/>
        </w:rPr>
      </w:pPr>
      <w:r>
        <w:rPr>
          <w:color w:val="404040"/>
          <w:spacing w:val="-5"/>
          <w:sz w:val="21"/>
          <w:szCs w:val="21"/>
        </w:rPr>
        <w:t>华利集团所处的运动鞋制造业属于传统行业，</w:t>
      </w:r>
      <w:r>
        <w:rPr>
          <w:color w:val="404040"/>
          <w:spacing w:val="-11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竞争对手众多，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议价能力不强，产品大部分的</w:t>
      </w:r>
      <w:r>
        <w:rPr>
          <w:color w:val="404040"/>
          <w:spacing w:val="-5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利润被品牌方和渠道商瓜分。因此，制造商的利润需要建立在优秀的成本把控和管理效率上。</w:t>
      </w:r>
      <w:r>
        <w:rPr>
          <w:color w:val="404040"/>
          <w:spacing w:val="1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通过回溯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2019-2022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年行业内主要运动鞋制造商的收入和利润增速，从结果而</w:t>
      </w:r>
      <w:r>
        <w:rPr>
          <w:color w:val="404040"/>
          <w:spacing w:val="-4"/>
          <w:sz w:val="21"/>
          <w:szCs w:val="21"/>
        </w:rPr>
        <w:t>言，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华利集团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无论在收入还是利润增速方面相较同行均更快且更稳。我们总结，</w:t>
      </w:r>
      <w:r>
        <w:rPr>
          <w:color w:val="404040"/>
          <w:spacing w:val="-9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华利集团相较同行具备三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大竞争优势：</w:t>
      </w:r>
    </w:p>
    <w:p>
      <w:pPr>
        <w:pStyle w:val="BodyText"/>
        <w:spacing w:before="35" w:line="213" w:lineRule="auto"/>
        <w:ind w:left="2537"/>
        <w:rPr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-6"/>
          <w:sz w:val="21"/>
          <w:szCs w:val="21"/>
        </w:rPr>
        <w:t>.</w:t>
      </w:r>
      <w:r>
        <w:rPr>
          <w:rFonts w:ascii="Wingdings" w:eastAsia="Wingdings" w:hAnsi="Wingdings" w:cs="Wingdings"/>
          <w:color w:val="404040"/>
          <w:spacing w:val="75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产地集中在越南清化，劳动力成本在越南属低廉且劳动力非常充足</w:t>
      </w:r>
    </w:p>
    <w:p>
      <w:pPr>
        <w:pStyle w:val="BodyText"/>
        <w:spacing w:before="43" w:line="213" w:lineRule="auto"/>
        <w:ind w:left="2537"/>
        <w:rPr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-12"/>
          <w:sz w:val="21"/>
          <w:szCs w:val="21"/>
        </w:rPr>
        <w:t>.</w:t>
      </w:r>
      <w:r>
        <w:rPr>
          <w:rFonts w:ascii="Wingdings" w:eastAsia="Wingdings" w:hAnsi="Wingdings" w:cs="Wingdings"/>
          <w:color w:val="404040"/>
          <w:spacing w:val="65"/>
          <w:sz w:val="21"/>
          <w:szCs w:val="21"/>
        </w:rPr>
        <w:t xml:space="preserve"> </w:t>
      </w:r>
      <w:r>
        <w:rPr>
          <w:color w:val="404040"/>
          <w:spacing w:val="-12"/>
          <w:sz w:val="21"/>
          <w:szCs w:val="21"/>
        </w:rPr>
        <w:t>客户结构合理，</w:t>
      </w:r>
      <w:r>
        <w:rPr>
          <w:color w:val="404040"/>
          <w:spacing w:val="-12"/>
          <w:sz w:val="21"/>
          <w:szCs w:val="21"/>
        </w:rPr>
        <w:t xml:space="preserve"> </w:t>
      </w:r>
      <w:r>
        <w:rPr>
          <w:color w:val="404040"/>
          <w:spacing w:val="-12"/>
          <w:sz w:val="21"/>
          <w:szCs w:val="21"/>
        </w:rPr>
        <w:t>深耕耐克同时促成新兴客户合作</w:t>
      </w:r>
    </w:p>
    <w:p>
      <w:pPr>
        <w:pStyle w:val="BodyText"/>
        <w:spacing w:before="41" w:line="216" w:lineRule="auto"/>
        <w:ind w:left="2537"/>
        <w:rPr>
          <w:sz w:val="21"/>
          <w:szCs w:val="21"/>
        </w:rPr>
      </w:pPr>
      <w:r>
        <w:rPr>
          <w:rFonts w:ascii="Wingdings" w:eastAsia="Wingdings" w:hAnsi="Wingdings" w:cs="Wingdings"/>
          <w:color w:val="404040"/>
          <w:spacing w:val="-9"/>
          <w:sz w:val="21"/>
          <w:szCs w:val="21"/>
        </w:rPr>
        <w:t>.</w:t>
      </w:r>
      <w:r>
        <w:rPr>
          <w:rFonts w:ascii="Wingdings" w:eastAsia="Wingdings" w:hAnsi="Wingdings" w:cs="Wingdings"/>
          <w:color w:val="404040"/>
          <w:spacing w:val="74"/>
          <w:sz w:val="21"/>
          <w:szCs w:val="21"/>
        </w:rPr>
        <w:t xml:space="preserve"> </w:t>
      </w:r>
      <w:r>
        <w:rPr>
          <w:color w:val="404040"/>
          <w:spacing w:val="-9"/>
          <w:sz w:val="21"/>
          <w:szCs w:val="21"/>
        </w:rPr>
        <w:t>人均生产效率及订单交付反应能力更胜一筹</w:t>
      </w:r>
    </w:p>
    <w:p>
      <w:pPr>
        <w:pStyle w:val="BodyText"/>
        <w:spacing w:before="73" w:line="212" w:lineRule="auto"/>
        <w:ind w:left="2162"/>
        <w:outlineLvl w:val="6"/>
      </w:pPr>
      <w:bookmarkStart w:id="49" w:name="bookmark13"/>
      <w:bookmarkEnd w:id="49"/>
      <w:r>
        <w:rPr>
          <w:color w:val="404040"/>
          <w14:textOutline w14:w="4354">
            <w14:solidFill>
              <w14:srgbClr w14:val="404040"/>
            </w14:solidFill>
            <w14:prstDash w14:val="solid"/>
            <w14:miter w14:lim="10"/>
          </w14:textOutline>
        </w:rPr>
        <w:t>4.1.立足越南清化，劳动力充足且成本更具优势</w:t>
      </w:r>
    </w:p>
    <w:p>
      <w:pPr>
        <w:pStyle w:val="BodyText"/>
        <w:spacing w:before="73" w:line="237" w:lineRule="auto"/>
        <w:ind w:left="2162" w:right="74" w:firstLine="13"/>
        <w:rPr>
          <w:sz w:val="21"/>
          <w:szCs w:val="21"/>
        </w:rPr>
      </w:pPr>
      <w:r>
        <w:rPr>
          <w:color w:val="404040"/>
          <w:spacing w:val="-2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华利集团拥有深厚制鞋历史。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早在华利集团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2004</w:t>
      </w:r>
      <w:r>
        <w:rPr>
          <w:color w:val="404040"/>
          <w:spacing w:val="-2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年成立之前，董事长</w:t>
      </w:r>
      <w:r>
        <w:rPr>
          <w:color w:val="404040"/>
          <w:spacing w:val="-3"/>
          <w:sz w:val="21"/>
          <w:szCs w:val="21"/>
        </w:rPr>
        <w:t>张聪渊先生已有超过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30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年的制鞋经验。伴随着全球鞋履生产产业链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</w:t>
      </w:r>
      <w:r>
        <w:rPr>
          <w:color w:val="404040"/>
          <w:spacing w:val="-3"/>
          <w:sz w:val="21"/>
          <w:szCs w:val="21"/>
        </w:rPr>
        <w:t>0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世纪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70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年代起从日本向中国台湾和中国内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地转移，张聪渊先生成为较早接触鞋业的参与者，</w:t>
      </w:r>
      <w:r>
        <w:rPr>
          <w:color w:val="404040"/>
          <w:spacing w:val="-11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先是在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70-80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年代与合作伙伴在中国台湾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投资鞋业工厂，再在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90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年代成立新沣集团在内地设厂，</w:t>
      </w:r>
      <w:r>
        <w:rPr>
          <w:color w:val="404040"/>
          <w:spacing w:val="-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并于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2004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年成立华利有限。21</w:t>
      </w:r>
      <w:r>
        <w:rPr>
          <w:color w:val="404040"/>
          <w:spacing w:val="-49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世纪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初新沣集团已将部分产能转移至越南，同时已实现和数个海外品牌如</w:t>
      </w:r>
      <w:r>
        <w:rPr>
          <w:color w:val="404040"/>
          <w:spacing w:val="-28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Columbia、UGG、Teva、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HOKA</w:t>
      </w:r>
      <w:r>
        <w:rPr>
          <w:color w:val="404040"/>
          <w:spacing w:val="5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One</w:t>
      </w:r>
      <w:r>
        <w:rPr>
          <w:color w:val="404040"/>
          <w:spacing w:val="49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One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等的合作，并于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2012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年进入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Nike</w:t>
      </w:r>
      <w:r>
        <w:rPr>
          <w:color w:val="404040"/>
          <w:spacing w:val="-52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供应链。</w:t>
      </w:r>
      <w:r>
        <w:rPr>
          <w:color w:val="404040"/>
          <w:spacing w:val="-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2013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年，张聪</w:t>
      </w:r>
      <w:r>
        <w:rPr>
          <w:color w:val="404040"/>
          <w:spacing w:val="-4"/>
          <w:sz w:val="21"/>
          <w:szCs w:val="21"/>
        </w:rPr>
        <w:t>渊先生收购新沣集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团鞋履制造业务，专注运动鞋代工业务并不断在东南亚投资产线</w:t>
      </w:r>
      <w:r>
        <w:rPr>
          <w:color w:val="404040"/>
          <w:spacing w:val="-1"/>
          <w:sz w:val="21"/>
          <w:szCs w:val="21"/>
        </w:rPr>
        <w:t>。目前已形成管理总部和设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计中心在广东中山、生产制造集中在以越南为主的东南亚等地</w:t>
      </w:r>
      <w:r>
        <w:rPr>
          <w:color w:val="404040"/>
          <w:spacing w:val="-1"/>
          <w:sz w:val="21"/>
          <w:szCs w:val="21"/>
        </w:rPr>
        <w:t>、贸易中心在香港和中山的商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业布局。根据华利集团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2022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年年报披露，公</w:t>
      </w:r>
      <w:r>
        <w:rPr>
          <w:color w:val="404040"/>
          <w:spacing w:val="-2"/>
          <w:sz w:val="21"/>
          <w:szCs w:val="21"/>
        </w:rPr>
        <w:t>司旗下涉及鞋类加工的子公司有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25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2"/>
          <w:sz w:val="21"/>
          <w:szCs w:val="21"/>
        </w:rPr>
        <w:t>家，分布在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越南、印尼、缅甸、多米尼加，其中越南有</w:t>
      </w:r>
      <w:r>
        <w:rPr>
          <w:color w:val="404040"/>
          <w:spacing w:val="-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20</w:t>
      </w:r>
      <w:r>
        <w:rPr>
          <w:color w:val="404040"/>
          <w:spacing w:val="-23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家、印尼</w:t>
      </w:r>
      <w:r>
        <w:rPr>
          <w:color w:val="404040"/>
          <w:spacing w:val="-44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3</w:t>
      </w:r>
      <w:r>
        <w:rPr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家、多米尼加和缅甸各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1</w:t>
      </w:r>
      <w:r>
        <w:rPr>
          <w:color w:val="404040"/>
          <w:spacing w:val="-26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家，可见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华利集团的主要生产基地仍集中在越南。</w:t>
      </w:r>
    </w:p>
    <w:p>
      <w:pPr>
        <w:spacing w:line="237" w:lineRule="auto"/>
        <w:rPr>
          <w:sz w:val="21"/>
          <w:szCs w:val="21"/>
        </w:rPr>
        <w:sectPr>
          <w:headerReference w:type="default" r:id="rId192"/>
          <w:footerReference w:type="default" r:id="rId193"/>
          <w:pgSz w:w="11907" w:h="16839"/>
          <w:pgMar w:top="1064" w:right="597" w:bottom="803" w:left="680" w:header="884" w:footer="567" w:gutter="0"/>
          <w:pgNumType w:start="44"/>
          <w:cols w:space="708"/>
        </w:sectPr>
      </w:pPr>
    </w:p>
    <w:p>
      <w:pPr>
        <w:spacing w:before="126" w:line="436" w:lineRule="exact"/>
      </w:pPr>
      <w:r>
        <w:pict>
          <v:shape id="_x0000_s1217" style="width:419.35pt;height:0.75pt;margin-top:95.78pt;margin-left:141.98pt;mso-position-horizontal-relative:page;mso-position-vertical-relative:page;position:absolute;z-index:251827200" coordorigin="0,0" coordsize="8387,15" o:allowincell="f" path="m,14l8386,14l8386,l,l,14xe" filled="t" fillcolor="#595959" stroked="f"/>
        </w:pict>
      </w:r>
      <w:r>
        <w:pict>
          <v:shape id="_x0000_s1218" style="width:2.75pt;height:135.75pt;margin-top:127.36pt;margin-left:211.29pt;mso-position-horizontal-relative:page;mso-position-vertical-relative:page;position:absolute;z-index:251830272" coordorigin="0,0" coordsize="55,2715" o:allowincell="f" path="m51,2714l51,2m,1811l51,1811m,906l51,906m,2l51,2e" filled="f" strokecolor="#404040" strokeweight="0.25pt"/>
        </w:pict>
      </w:r>
      <w:r>
        <w:pict>
          <v:shape id="_x0000_s1219" style="width:419.35pt;height:0.75pt;margin-top:284.09pt;margin-left:141.98pt;mso-position-horizontal-relative:page;mso-position-vertical-relative:page;position:absolute;z-index:251828224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825152" behindDoc="1" locked="0" layoutInCell="0" allowOverlap="1">
            <wp:simplePos x="0" y="0"/>
            <wp:positionH relativeFrom="page">
              <wp:posOffset>2822447</wp:posOffset>
            </wp:positionH>
            <wp:positionV relativeFrom="page">
              <wp:posOffset>5736336</wp:posOffset>
            </wp:positionV>
            <wp:extent cx="3602735" cy="1471168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3602735" cy="1471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20" style="width:419.35pt;height:0.75pt;margin-top:590.95pt;margin-left:141.98pt;mso-position-horizontal-relative:page;mso-position-vertical-relative:page;position:absolute;z-index:251829248" coordorigin="0,0" coordsize="8387,15" o:allowincell="f" path="m,14l8386,14l8386,l,l,14xe" filled="t" fillcolor="#595959" stroked="f"/>
        </w:pict>
      </w:r>
      <w:r>
        <w:drawing>
          <wp:anchor distT="0" distB="0" distL="0" distR="0" simplePos="0" relativeHeight="251826176" behindDoc="0" locked="0" layoutInCell="0" allowOverlap="1">
            <wp:simplePos x="0" y="0"/>
            <wp:positionH relativeFrom="page">
              <wp:posOffset>431800</wp:posOffset>
            </wp:positionH>
            <wp:positionV relativeFrom="page">
              <wp:posOffset>288290</wp:posOffset>
            </wp:positionV>
            <wp:extent cx="2012822" cy="381000"/>
            <wp:effectExtent l="0" t="0" r="0" b="0"/>
            <wp:wrapNone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2822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6698615" cy="276859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98615" cy="27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7" w:line="216" w:lineRule="auto"/>
        <w:ind w:left="2193"/>
        <w:rPr>
          <w:sz w:val="21"/>
          <w:szCs w:val="21"/>
        </w:rPr>
      </w:pPr>
      <w:bookmarkStart w:id="50" w:name="bookmark50"/>
      <w:bookmarkEnd w:id="50"/>
      <w:bookmarkStart w:id="51" w:name="bookmark96"/>
      <w:bookmarkEnd w:id="51"/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图24.主要运动鞋生产企业产能分布（以生产基地数量分）</w:t>
      </w:r>
    </w:p>
    <w:p>
      <w:pPr>
        <w:spacing w:line="153" w:lineRule="exact"/>
      </w:pPr>
    </w:p>
    <w:p>
      <w:pPr>
        <w:spacing w:line="153" w:lineRule="exact"/>
        <w:sectPr>
          <w:headerReference w:type="default" r:id="rId195"/>
          <w:footerReference w:type="default" r:id="rId196"/>
          <w:pgSz w:w="11907" w:h="16839"/>
          <w:pgMar w:top="1064" w:right="666" w:bottom="803" w:left="680" w:header="884" w:footer="567" w:gutter="0"/>
          <w:pgNumType w:start="45"/>
          <w:cols w:num="1" w:space="708" w:equalWidth="0">
            <w:col w:w="10560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58" w:line="218" w:lineRule="auto"/>
        <w:jc w:val="right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裕元集团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59" w:line="215" w:lineRule="auto"/>
        <w:jc w:val="right"/>
        <w:rPr>
          <w:sz w:val="18"/>
          <w:szCs w:val="18"/>
        </w:rPr>
      </w:pPr>
      <w:r>
        <w:rPr>
          <w:color w:val="404040"/>
          <w:spacing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丰泰企业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jc w:val="right"/>
        <w:rPr>
          <w:sz w:val="18"/>
          <w:szCs w:val="18"/>
        </w:rPr>
      </w:pP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华利集团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5" w:lineRule="auto"/>
        <w:ind w:left="1481"/>
        <w:rPr>
          <w:sz w:val="16"/>
          <w:szCs w:val="16"/>
        </w:rPr>
      </w:pPr>
      <w:r>
        <w:rPr>
          <w:color w:val="404040"/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9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越南</w:t>
      </w:r>
      <w:r>
        <w:rPr>
          <w:color w:val="404040"/>
          <w:spacing w:val="4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3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柬埔寨</w:t>
      </w:r>
      <w:r>
        <w:rPr>
          <w:color w:val="404040"/>
          <w:spacing w:val="45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1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印尼</w:t>
      </w:r>
      <w:r>
        <w:rPr>
          <w:color w:val="404040"/>
          <w:spacing w:val="44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30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大陆</w:t>
      </w:r>
      <w:r>
        <w:rPr>
          <w:color w:val="404040"/>
          <w:spacing w:val="44"/>
          <w:sz w:val="16"/>
          <w:szCs w:val="16"/>
        </w:rPr>
        <w:t xml:space="preserve"> </w:t>
      </w:r>
      <w:r>
        <w:rPr>
          <w:position w:val="2"/>
          <w:sz w:val="16"/>
          <w:szCs w:val="16"/>
        </w:rPr>
        <w:drawing>
          <wp:inline distT="0" distB="0" distL="0" distR="0">
            <wp:extent cx="45720" cy="45719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04040"/>
          <w:spacing w:val="-42"/>
          <w:sz w:val="16"/>
          <w:szCs w:val="16"/>
        </w:rPr>
        <w:t xml:space="preserve"> </w:t>
      </w:r>
      <w:r>
        <w:rPr>
          <w:color w:val="404040"/>
          <w:spacing w:val="-5"/>
          <w:sz w:val="16"/>
          <w:szCs w:val="16"/>
          <w14:textOutline w14:w="2917">
            <w14:solidFill>
              <w14:srgbClr w14:val="404040"/>
            </w14:solidFill>
            <w14:prstDash w14:val="solid"/>
            <w14:round/>
          </w14:textOutline>
        </w:rPr>
        <w:t>其他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172" w:lineRule="exact"/>
        <w:ind w:firstLine="84"/>
      </w:pPr>
      <w:r>
        <w:rPr>
          <w:position w:val="-43"/>
        </w:rPr>
        <w:pict>
          <v:group id="_x0000_i1221" style="width:305.15pt;height:108.65pt;mso-position-horizontal-relative:char;mso-position-vertical-relative:line" coordorigin="0,0" coordsize="6102,2173" filled="f" stroked="f">
            <v:shape id="_x0000_s1222" type="#_x0000_t75" style="width:4883;height:2173;position:absolute" filled="f" stroked="f">
              <v:imagedata r:id="rId201" o:title=""/>
            </v:shape>
            <v:shape id="_x0000_s1223" type="#_x0000_t75" style="width:4067;height:2173;left:2034;position:absolute" filled="f" stroked="f">
              <v:imagedata r:id="rId202" o:title=""/>
            </v:shape>
            <v:shape id="_x0000_s1224" type="#_x0000_t202" style="width:3683;height:1976;left:2288;position:absolute;top:94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460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404040"/>
                        <w:spacing w:val="-1"/>
                        <w:sz w:val="18"/>
                        <w:szCs w:val="18"/>
                      </w:rPr>
                      <w:t>7%                  27%</w:t>
                    </w:r>
                    <w:r>
                      <w:rPr>
                        <w:rFonts w:ascii="DengXian" w:eastAsia="DengXian" w:hAnsi="DengXian" w:cs="DengXian"/>
                        <w:color w:val="404040"/>
                        <w:spacing w:val="-2"/>
                        <w:sz w:val="18"/>
                        <w:szCs w:val="18"/>
                      </w:rPr>
                      <w:t xml:space="preserve">                  </w:t>
                    </w:r>
                    <w:r>
                      <w:rPr>
                        <w:rFonts w:ascii="DengXian" w:eastAsia="DengXian" w:hAnsi="DengXian" w:cs="DengXian"/>
                        <w:color w:val="FFFFFF"/>
                        <w:spacing w:val="-2"/>
                        <w:sz w:val="18"/>
                        <w:szCs w:val="18"/>
                      </w:rPr>
                      <w:t xml:space="preserve">7%         </w:t>
                    </w:r>
                    <w:r>
                      <w:rPr>
                        <w:rFonts w:ascii="DengXian" w:eastAsia="DengXian" w:hAnsi="DengXian" w:cs="DengXian"/>
                        <w:color w:val="404040"/>
                        <w:spacing w:val="-2"/>
                        <w:sz w:val="18"/>
                        <w:szCs w:val="18"/>
                      </w:rPr>
                      <w:t>12%</w:t>
                    </w:r>
                  </w:p>
                  <w:p>
                    <w:pPr>
                      <w:spacing w:line="32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85" w:lineRule="auto"/>
                      <w:ind w:left="24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404040"/>
                        <w:spacing w:val="-1"/>
                        <w:sz w:val="18"/>
                        <w:szCs w:val="18"/>
                      </w:rPr>
                      <w:t>14%</w:t>
                    </w:r>
                    <w:r>
                      <w:rPr>
                        <w:rFonts w:ascii="DengXian" w:eastAsia="DengXian" w:hAnsi="DengXian" w:cs="DengXian"/>
                        <w:color w:val="404040"/>
                        <w:sz w:val="18"/>
                        <w:szCs w:val="18"/>
                      </w:rPr>
                      <w:t xml:space="preserve">                   </w:t>
                    </w:r>
                    <w:r>
                      <w:rPr>
                        <w:rFonts w:ascii="DengXian" w:eastAsia="DengXian" w:hAnsi="DengXian" w:cs="DengXian"/>
                        <w:color w:val="FFFFFF"/>
                        <w:spacing w:val="-1"/>
                        <w:sz w:val="18"/>
                        <w:szCs w:val="18"/>
                      </w:rPr>
                      <w:t xml:space="preserve">29%                  </w:t>
                    </w:r>
                    <w:r>
                      <w:rPr>
                        <w:rFonts w:ascii="DengXian" w:eastAsia="DengXian" w:hAnsi="DengXian" w:cs="DengXian"/>
                        <w:color w:val="FFFFFF"/>
                        <w:spacing w:val="-2"/>
                        <w:sz w:val="18"/>
                        <w:szCs w:val="18"/>
                      </w:rPr>
                      <w:t xml:space="preserve">          </w:t>
                    </w:r>
                    <w:r>
                      <w:rPr>
                        <w:rFonts w:ascii="DengXian" w:eastAsia="DengXian" w:hAnsi="DengXian" w:cs="DengXian"/>
                        <w:color w:val="404040"/>
                        <w:spacing w:val="-2"/>
                        <w:sz w:val="18"/>
                        <w:szCs w:val="18"/>
                      </w:rPr>
                      <w:t>21%</w:t>
                    </w:r>
                  </w:p>
                  <w:p>
                    <w:pPr>
                      <w:spacing w:line="32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85" w:lineRule="auto"/>
                      <w:ind w:left="20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FFFFFF"/>
                        <w:spacing w:val="-1"/>
                        <w:sz w:val="18"/>
                        <w:szCs w:val="18"/>
                      </w:rPr>
                      <w:t xml:space="preserve">80%                             </w:t>
                    </w:r>
                    <w:r>
                      <w:rPr>
                        <w:rFonts w:ascii="DengXian" w:eastAsia="DengXian" w:hAnsi="DengXian" w:cs="DengXian"/>
                        <w:color w:val="FFFFFF"/>
                        <w:spacing w:val="-2"/>
                        <w:sz w:val="18"/>
                        <w:szCs w:val="18"/>
                      </w:rPr>
                      <w:t xml:space="preserve">                        </w:t>
                    </w:r>
                    <w:r>
                      <w:rPr>
                        <w:rFonts w:ascii="DengXian" w:eastAsia="DengXian" w:hAnsi="DengXian" w:cs="DengXian"/>
                        <w:color w:val="404040"/>
                        <w:spacing w:val="-2"/>
                        <w:sz w:val="18"/>
                        <w:szCs w:val="18"/>
                      </w:rPr>
                      <w:t>12%        8%</w:t>
                    </w:r>
                  </w:p>
                </w:txbxContent>
              </v:textbox>
            </v:shape>
            <v:shape id="_x0000_s1225" type="#_x0000_t202" style="width:318;height:166;left:1150;position:absolute;top:95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FFFFFF"/>
                        <w:spacing w:val="-1"/>
                        <w:sz w:val="18"/>
                        <w:szCs w:val="18"/>
                      </w:rPr>
                      <w:t>47%</w:t>
                    </w:r>
                  </w:p>
                </w:txbxContent>
              </v:textbox>
            </v:shape>
            <v:shape id="_x0000_s1226" type="#_x0000_t202" style="width:315;height:167;left:862;position:absolute;top:998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/>
                      <w:rPr>
                        <w:rFonts w:ascii="DengXian" w:eastAsia="DengXian" w:hAnsi="DengXian" w:cs="DengXian"/>
                        <w:sz w:val="18"/>
                        <w:szCs w:val="18"/>
                      </w:rPr>
                    </w:pPr>
                    <w:r>
                      <w:rPr>
                        <w:rFonts w:ascii="DengXian" w:eastAsia="DengXian" w:hAnsi="DengXian" w:cs="DengXian"/>
                        <w:color w:val="FFFFFF"/>
                        <w:spacing w:val="-2"/>
                        <w:sz w:val="18"/>
                        <w:szCs w:val="18"/>
                      </w:rPr>
                      <w:t>36%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54" w:lineRule="exact"/>
        <w:ind w:firstLine="32"/>
      </w:pPr>
      <w:r>
        <w:rPr>
          <w:position w:val="-1"/>
        </w:rPr>
        <w:pict>
          <v:shape id="_x0000_i1227" style="width:307.9pt;height:2.75pt;mso-position-horizontal-relative:char;mso-position-vertical-relative:line" coordorigin="0,0" coordsize="6157,55" path="m51,2l6154,2m51,2l51,54m662,2l662,54m1272,2l1272,54m1882,2l1882,54m2491,2l2491,54m3103,2l3103,54m3713,2l3713,54m4323,2l4323,54m4935,2l4935,54m5544,2l5544,54m6154,2l6154,54m,2l51,2e" filled="f" strokecolor="#404040" strokeweight="0.25pt">
            <w10:wrap type="none"/>
          </v:shape>
        </w:pict>
      </w:r>
    </w:p>
    <w:p>
      <w:pPr>
        <w:pStyle w:val="BodyText"/>
        <w:spacing w:before="79" w:line="127" w:lineRule="exact"/>
        <w:rPr>
          <w:sz w:val="18"/>
          <w:szCs w:val="18"/>
        </w:rPr>
      </w:pP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0%</w:t>
      </w:r>
      <w:r>
        <w:rPr>
          <w:color w:val="404040"/>
          <w:spacing w:val="13"/>
          <w:position w:val="-2"/>
          <w:sz w:val="18"/>
          <w:szCs w:val="18"/>
        </w:rPr>
        <w:t xml:space="preserve"> 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10%</w:t>
      </w:r>
      <w:r>
        <w:rPr>
          <w:color w:val="404040"/>
          <w:spacing w:val="24"/>
          <w:w w:val="101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20%</w:t>
      </w:r>
      <w:r>
        <w:rPr>
          <w:color w:val="404040"/>
          <w:spacing w:val="25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30%</w:t>
      </w:r>
      <w:r>
        <w:rPr>
          <w:color w:val="404040"/>
          <w:spacing w:val="23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40%</w:t>
      </w:r>
      <w:r>
        <w:rPr>
          <w:color w:val="404040"/>
          <w:spacing w:val="24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50%</w:t>
      </w:r>
      <w:r>
        <w:rPr>
          <w:color w:val="404040"/>
          <w:spacing w:val="24"/>
          <w:w w:val="101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60%</w:t>
      </w:r>
      <w:r>
        <w:rPr>
          <w:color w:val="404040"/>
          <w:spacing w:val="25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70%</w:t>
      </w:r>
      <w:r>
        <w:rPr>
          <w:color w:val="404040"/>
          <w:spacing w:val="24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80%</w:t>
      </w:r>
      <w:r>
        <w:rPr>
          <w:color w:val="404040"/>
          <w:spacing w:val="23"/>
          <w:w w:val="101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90%</w:t>
      </w:r>
      <w:r>
        <w:rPr>
          <w:color w:val="404040"/>
          <w:spacing w:val="12"/>
          <w:position w:val="-2"/>
          <w:sz w:val="18"/>
          <w:szCs w:val="18"/>
        </w:rPr>
        <w:t xml:space="preserve">   </w:t>
      </w:r>
      <w:r>
        <w:rPr>
          <w:color w:val="404040"/>
          <w:spacing w:val="-2"/>
          <w:position w:val="-2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100%</w:t>
      </w:r>
    </w:p>
    <w:p>
      <w:pPr>
        <w:spacing w:line="127" w:lineRule="exact"/>
        <w:rPr>
          <w:sz w:val="18"/>
          <w:szCs w:val="18"/>
        </w:rPr>
        <w:sectPr>
          <w:headerReference w:type="default" r:id="rId203"/>
          <w:footerReference w:type="default" r:id="rId204"/>
          <w:type w:val="continuous"/>
          <w:pgSz w:w="11907" w:h="16839"/>
          <w:pgMar w:top="1064" w:right="666" w:bottom="803" w:left="680" w:header="884" w:footer="567" w:gutter="0"/>
          <w:pgNumType w:start="46"/>
          <w:cols w:num="2" w:space="708" w:equalWidth="0">
            <w:col w:w="3455" w:space="58"/>
            <w:col w:w="7047" w:space="0"/>
          </w:cols>
        </w:sectPr>
      </w:pPr>
    </w:p>
    <w:p>
      <w:pPr>
        <w:pStyle w:val="BodyText"/>
        <w:spacing w:before="199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2"/>
          <w:sz w:val="16"/>
          <w:szCs w:val="16"/>
        </w:rPr>
        <w:t>资料来源：各公司年报，国投证券研究中心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9" w:line="234" w:lineRule="auto"/>
        <w:ind w:left="2166" w:right="8" w:firstLine="9"/>
        <w:jc w:val="both"/>
        <w:rPr>
          <w:sz w:val="21"/>
          <w:szCs w:val="21"/>
        </w:rPr>
      </w:pPr>
      <w:r>
        <w:rPr>
          <w:color w:val="404040"/>
          <w:spacing w:val="-4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华利集团越南基地劳动力成本更具优势。</w:t>
      </w:r>
      <w:r>
        <w:rPr>
          <w:color w:val="404040"/>
          <w:spacing w:val="29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我们对华利集团、裕元集团和丰泰集团所披露的工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厂基本信息进行汇总，发现华利集团的生产基地基本</w:t>
      </w:r>
      <w:r>
        <w:rPr>
          <w:color w:val="404040"/>
          <w:spacing w:val="-1"/>
          <w:sz w:val="21"/>
          <w:szCs w:val="21"/>
        </w:rPr>
        <w:t>在清化省、而竞争对手多在同奈省以及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胡志明市。根据越南统计局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2022</w:t>
      </w:r>
      <w:r>
        <w:rPr>
          <w:color w:val="404040"/>
          <w:spacing w:val="-43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年的数据，</w:t>
      </w:r>
      <w:r>
        <w:rPr>
          <w:color w:val="404040"/>
          <w:spacing w:val="-51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清化省人均月收入为</w:t>
      </w:r>
      <w:r>
        <w:rPr>
          <w:color w:val="404040"/>
          <w:spacing w:val="-49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431</w:t>
      </w:r>
      <w:r>
        <w:rPr>
          <w:color w:val="404040"/>
          <w:spacing w:val="-37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万越</w:t>
      </w:r>
      <w:r>
        <w:rPr>
          <w:color w:val="404040"/>
          <w:spacing w:val="-7"/>
          <w:sz w:val="21"/>
          <w:szCs w:val="21"/>
        </w:rPr>
        <w:t>南盾，</w:t>
      </w:r>
      <w:r>
        <w:rPr>
          <w:color w:val="404040"/>
          <w:spacing w:val="-50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约合人民币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1301</w:t>
      </w:r>
      <w:r>
        <w:rPr>
          <w:color w:val="404040"/>
          <w:spacing w:val="-18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元，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而胡志明市、同奈省人均月收入分别为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639</w:t>
      </w:r>
      <w:r>
        <w:rPr>
          <w:color w:val="404040"/>
          <w:spacing w:val="-36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万和</w:t>
      </w:r>
      <w:r>
        <w:rPr>
          <w:color w:val="404040"/>
          <w:spacing w:val="-48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635</w:t>
      </w:r>
      <w:r>
        <w:rPr>
          <w:color w:val="404040"/>
          <w:spacing w:val="-39"/>
          <w:sz w:val="21"/>
          <w:szCs w:val="21"/>
        </w:rPr>
        <w:t xml:space="preserve"> </w:t>
      </w:r>
      <w:r>
        <w:rPr>
          <w:color w:val="404040"/>
          <w:spacing w:val="-5"/>
          <w:sz w:val="21"/>
          <w:szCs w:val="21"/>
        </w:rPr>
        <w:t>万越南盾、约合人民币分别为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1930</w:t>
      </w:r>
      <w:r>
        <w:rPr>
          <w:color w:val="404040"/>
          <w:spacing w:val="-3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元和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1917</w:t>
      </w:r>
      <w:r>
        <w:rPr>
          <w:color w:val="404040"/>
          <w:spacing w:val="-35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元，</w:t>
      </w:r>
      <w:r>
        <w:rPr>
          <w:color w:val="404040"/>
          <w:spacing w:val="-2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华利集团生产基地扎根清化省从薪资上相较同行更具备优势。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9" w:line="231" w:lineRule="auto"/>
        <w:ind w:left="2193"/>
        <w:rPr>
          <w:sz w:val="21"/>
          <w:szCs w:val="21"/>
        </w:rPr>
      </w:pPr>
      <w:bookmarkStart w:id="52" w:name="bookmark51"/>
      <w:bookmarkEnd w:id="52"/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图25.</w:t>
      </w:r>
      <w:r>
        <w:rPr>
          <w:rFonts w:ascii="Arial" w:eastAsia="Arial" w:hAnsi="Arial" w:cs="Arial"/>
          <w:b/>
          <w:bCs/>
          <w:color w:val="404040"/>
          <w:spacing w:val="-1"/>
          <w:sz w:val="21"/>
          <w:szCs w:val="21"/>
        </w:rPr>
        <w:t xml:space="preserve">2022 </w:t>
      </w: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年越南主要省份人均月收入（元</w:t>
      </w:r>
      <w:r>
        <w:rPr>
          <w:rFonts w:ascii="Arial" w:eastAsia="Arial" w:hAnsi="Arial" w:cs="Arial"/>
          <w:b/>
          <w:bCs/>
          <w:color w:val="404040"/>
          <w:spacing w:val="-1"/>
          <w:sz w:val="21"/>
          <w:szCs w:val="21"/>
        </w:rPr>
        <w:t>/</w:t>
      </w:r>
      <w:r>
        <w:rPr>
          <w:color w:val="404040"/>
          <w:spacing w:val="-1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月）</w:t>
      </w:r>
    </w:p>
    <w:p>
      <w:pPr>
        <w:spacing w:line="152" w:lineRule="exact"/>
      </w:pPr>
    </w:p>
    <w:p>
      <w:pPr>
        <w:spacing w:line="152" w:lineRule="exact"/>
        <w:sectPr>
          <w:headerReference w:type="default" r:id="rId205"/>
          <w:footerReference w:type="default" r:id="rId206"/>
          <w:type w:val="continuous"/>
          <w:pgSz w:w="11907" w:h="16839"/>
          <w:pgMar w:top="1064" w:right="666" w:bottom="803" w:left="680" w:header="884" w:footer="567" w:gutter="0"/>
          <w:pgNumType w:start="47"/>
          <w:cols w:num="1" w:space="708" w:equalWidth="0">
            <w:col w:w="10560" w:space="0"/>
          </w:cols>
        </w:sectPr>
      </w:pPr>
    </w:p>
    <w:p>
      <w:pPr>
        <w:pStyle w:val="BodyText"/>
        <w:spacing w:line="183" w:lineRule="auto"/>
        <w:ind w:left="2723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2500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2723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2000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2734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1500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2734"/>
        <w:rPr>
          <w:sz w:val="18"/>
          <w:szCs w:val="18"/>
        </w:rPr>
      </w:pP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1000</w:t>
      </w: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58" w:line="183" w:lineRule="auto"/>
        <w:ind w:left="2812"/>
        <w:rPr>
          <w:sz w:val="18"/>
          <w:szCs w:val="18"/>
        </w:rPr>
      </w:pPr>
      <w:r>
        <w:rPr>
          <w:color w:val="404040"/>
          <w:spacing w:val="-1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500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59" w:line="183" w:lineRule="auto"/>
        <w:ind w:left="2996"/>
        <w:rPr>
          <w:sz w:val="18"/>
          <w:szCs w:val="18"/>
        </w:rPr>
      </w:pPr>
      <w:r>
        <w:rPr>
          <w:color w:val="404040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3039" w:lineRule="exact"/>
      </w:pPr>
      <w:r>
        <w:rPr>
          <w:position w:val="-60"/>
        </w:rPr>
        <w:pict>
          <v:group id="_x0000_i1228" style="width:331.5pt;height:151.95pt;mso-position-horizontal-relative:char;mso-position-vertical-relative:line" coordorigin="0,0" coordsize="6630,3038" filled="f" stroked="f">
            <v:rect id="_x0000_s1229" style="width:412;height:1553;left:3133;position:absolute;top:1433" filled="t" fillcolor="#2f5597" stroked="f"/>
            <v:shape id="_x0000_s1230" style="width:6630;height:3038;position:absolute" coordorigin="0,0" coordsize="6630,3038" path="m51,2987l51,2m,2987l51,2987m,2391l51,2391m,1793l51,1793m,1196l51,1196m,598l51,598m,2l51,2m51,2987l6627,2987m51,2987l51,3038m1367,2987l1367,3038m2682,2987l2682,3038m3997,2987l3997,3038m5312,2987l5312,3038m6627,2987l6627,3038e" filled="f" strokecolor="#404040" strokeweight="0.25pt"/>
            <w10:wrap type="none"/>
          </v:group>
        </w:pict>
      </w:r>
    </w:p>
    <w:p>
      <w:pPr>
        <w:pStyle w:val="BodyText"/>
        <w:spacing w:before="80" w:line="185" w:lineRule="auto"/>
        <w:ind w:left="370"/>
        <w:rPr>
          <w:sz w:val="18"/>
          <w:szCs w:val="18"/>
        </w:rPr>
      </w:pP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胡志明市</w:t>
      </w:r>
      <w:r>
        <w:rPr>
          <w:color w:val="404040"/>
          <w:spacing w:val="-3"/>
          <w:sz w:val="18"/>
          <w:szCs w:val="18"/>
        </w:rPr>
        <w:t xml:space="preserve">         </w:t>
      </w: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河内</w:t>
      </w:r>
      <w:r>
        <w:rPr>
          <w:color w:val="404040"/>
          <w:spacing w:val="-3"/>
          <w:sz w:val="18"/>
          <w:szCs w:val="18"/>
        </w:rPr>
        <w:t xml:space="preserve">           </w:t>
      </w:r>
      <w:r>
        <w:rPr>
          <w:color w:val="404040"/>
          <w:spacing w:val="-3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清化</w:t>
      </w:r>
      <w:r>
        <w:rPr>
          <w:color w:val="404040"/>
          <w:spacing w:val="-3"/>
          <w:sz w:val="18"/>
          <w:szCs w:val="18"/>
        </w:rPr>
        <w:t xml:space="preserve">      </w:t>
      </w:r>
      <w:r>
        <w:rPr>
          <w:color w:val="404040"/>
          <w:spacing w:val="-4"/>
          <w:sz w:val="18"/>
          <w:szCs w:val="18"/>
        </w:rPr>
        <w:t xml:space="preserve">    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义安</w:t>
      </w:r>
      <w:r>
        <w:rPr>
          <w:color w:val="404040"/>
          <w:spacing w:val="8"/>
          <w:sz w:val="18"/>
          <w:szCs w:val="18"/>
        </w:rPr>
        <w:t xml:space="preserve">          </w:t>
      </w:r>
      <w:r>
        <w:rPr>
          <w:color w:val="404040"/>
          <w:spacing w:val="-4"/>
          <w:sz w:val="18"/>
          <w:szCs w:val="18"/>
          <w14:textOutline w14:w="3265">
            <w14:solidFill>
              <w14:srgbClr w14:val="404040"/>
            </w14:solidFill>
            <w14:prstDash w14:val="solid"/>
            <w14:round/>
          </w14:textOutline>
        </w:rPr>
        <w:t>同奈</w:t>
      </w:r>
    </w:p>
    <w:p>
      <w:pPr>
        <w:spacing w:line="185" w:lineRule="auto"/>
        <w:rPr>
          <w:sz w:val="18"/>
          <w:szCs w:val="18"/>
        </w:rPr>
        <w:sectPr>
          <w:headerReference w:type="default" r:id="rId207"/>
          <w:footerReference w:type="default" r:id="rId208"/>
          <w:type w:val="continuous"/>
          <w:pgSz w:w="11907" w:h="16839"/>
          <w:pgMar w:top="1064" w:right="666" w:bottom="803" w:left="680" w:header="884" w:footer="567" w:gutter="0"/>
          <w:pgNumType w:start="48"/>
          <w:cols w:num="2" w:space="708" w:equalWidth="0">
            <w:col w:w="3162" w:space="100"/>
            <w:col w:w="7299" w:space="0"/>
          </w:cols>
        </w:sectPr>
      </w:pPr>
    </w:p>
    <w:p>
      <w:pPr>
        <w:pStyle w:val="BodyText"/>
        <w:spacing w:before="194" w:line="213" w:lineRule="auto"/>
        <w:ind w:left="2165"/>
        <w:rPr>
          <w:sz w:val="16"/>
          <w:szCs w:val="16"/>
        </w:rPr>
      </w:pPr>
      <w:r>
        <w:rPr>
          <w:i/>
          <w:iCs/>
          <w:color w:val="404040"/>
          <w:spacing w:val="2"/>
          <w:sz w:val="16"/>
          <w:szCs w:val="16"/>
        </w:rPr>
        <w:t>资料来源：越南统计局，国投证券研究中心</w:t>
      </w:r>
    </w:p>
    <w:p>
      <w:pPr>
        <w:spacing w:line="254" w:lineRule="auto"/>
        <w:rPr>
          <w:rFonts w:ascii="Arial"/>
          <w:sz w:val="21"/>
        </w:rPr>
        <w:sectPr>
          <w:headerReference w:type="default" r:id="rId209"/>
          <w:footerReference w:type="default" r:id="rId210"/>
          <w:type w:val="continuous"/>
          <w:pgSz w:w="11907" w:h="16839"/>
          <w:pgMar w:top="1064" w:right="666" w:bottom="803" w:left="680" w:header="884" w:footer="567" w:gutter="0"/>
          <w:pgNumType w:start="49"/>
          <w:cols w:num="1" w:space="708" w:equalWidth="0">
            <w:col w:w="10560" w:space="0"/>
          </w:cols>
        </w:sectPr>
      </w:pPr>
    </w:p>
    <w:p>
      <w:pPr>
        <w:pStyle w:val="BodyText"/>
        <w:spacing w:before="69" w:line="231" w:lineRule="auto"/>
        <w:ind w:left="2162" w:right="8" w:firstLine="13"/>
        <w:jc w:val="both"/>
        <w:rPr>
          <w:sz w:val="21"/>
          <w:szCs w:val="21"/>
        </w:rPr>
      </w:pPr>
      <w:r>
        <w:rPr>
          <w:color w:val="404040"/>
          <w:spacing w:val="-3"/>
          <w:sz w:val="21"/>
          <w:szCs w:val="21"/>
          <w14:textOutline w14:w="3831">
            <w14:solidFill>
              <w14:srgbClr w14:val="404040"/>
            </w14:solidFill>
            <w14:prstDash w14:val="solid"/>
            <w14:miter w14:lim="10"/>
          </w14:textOutline>
        </w:rPr>
        <w:t>华利集团越南基地劳动力供给更充足。</w:t>
      </w:r>
      <w:r>
        <w:rPr>
          <w:color w:val="404040"/>
          <w:spacing w:val="-3"/>
          <w:sz w:val="21"/>
          <w:szCs w:val="21"/>
        </w:rPr>
        <w:t>单纯的薪酬优势仅是劳动力优势的一</w:t>
      </w:r>
      <w:r>
        <w:rPr>
          <w:color w:val="404040"/>
          <w:spacing w:val="-4"/>
          <w:sz w:val="21"/>
          <w:szCs w:val="21"/>
        </w:rPr>
        <w:t>方面，</w:t>
      </w:r>
      <w:r>
        <w:rPr>
          <w:color w:val="404040"/>
          <w:spacing w:val="-4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作为劳动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密集型企业，</w:t>
      </w:r>
      <w:r>
        <w:rPr>
          <w:color w:val="404040"/>
          <w:spacing w:val="-30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充足的劳动力供应也是至关重要的一环。根据越南统计局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6"/>
          <w:sz w:val="21"/>
          <w:szCs w:val="21"/>
        </w:rPr>
        <w:t>20</w:t>
      </w:r>
      <w:r>
        <w:rPr>
          <w:color w:val="404040"/>
          <w:spacing w:val="-7"/>
          <w:sz w:val="21"/>
          <w:szCs w:val="21"/>
        </w:rPr>
        <w:t>22</w:t>
      </w:r>
      <w:r>
        <w:rPr>
          <w:color w:val="404040"/>
          <w:spacing w:val="-45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年的数据，</w:t>
      </w:r>
      <w:r>
        <w:rPr>
          <w:color w:val="404040"/>
          <w:spacing w:val="-51"/>
          <w:sz w:val="21"/>
          <w:szCs w:val="21"/>
        </w:rPr>
        <w:t xml:space="preserve"> </w:t>
      </w:r>
      <w:r>
        <w:rPr>
          <w:color w:val="404040"/>
          <w:spacing w:val="-7"/>
          <w:sz w:val="21"/>
          <w:szCs w:val="21"/>
        </w:rPr>
        <w:t>清化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省人口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372</w:t>
      </w:r>
      <w:r>
        <w:rPr>
          <w:color w:val="404040"/>
          <w:spacing w:val="-39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万人，</w:t>
      </w:r>
      <w:r>
        <w:rPr>
          <w:color w:val="404040"/>
          <w:spacing w:val="-46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仅次于胡志明市和河内，</w:t>
      </w:r>
      <w:r>
        <w:rPr>
          <w:color w:val="404040"/>
          <w:spacing w:val="-10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而在</w:t>
      </w:r>
      <w:r>
        <w:rPr>
          <w:color w:val="404040"/>
          <w:spacing w:val="-32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15</w:t>
      </w:r>
      <w:r>
        <w:rPr>
          <w:color w:val="404040"/>
          <w:spacing w:val="-36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岁以上就业人口占比的比较中，</w:t>
      </w:r>
      <w:r>
        <w:rPr>
          <w:color w:val="404040"/>
          <w:spacing w:val="-27"/>
          <w:sz w:val="21"/>
          <w:szCs w:val="21"/>
        </w:rPr>
        <w:t xml:space="preserve"> </w:t>
      </w:r>
      <w:r>
        <w:rPr>
          <w:color w:val="404040"/>
          <w:spacing w:val="-10"/>
          <w:sz w:val="21"/>
          <w:szCs w:val="21"/>
        </w:rPr>
        <w:t>清化省以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3"/>
          <w:sz w:val="21"/>
          <w:szCs w:val="21"/>
        </w:rPr>
        <w:t>52.4%的水平位列越南中游水平。经折算</w:t>
      </w:r>
      <w:r>
        <w:rPr>
          <w:color w:val="404040"/>
          <w:spacing w:val="-4"/>
          <w:sz w:val="21"/>
          <w:szCs w:val="21"/>
        </w:rPr>
        <w:t>，我们发现，清化省的劳动人口预计</w:t>
      </w:r>
      <w:r>
        <w:rPr>
          <w:color w:val="404040"/>
          <w:spacing w:val="-33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195</w:t>
      </w:r>
      <w:r>
        <w:rPr>
          <w:color w:val="404040"/>
          <w:spacing w:val="-36"/>
          <w:sz w:val="21"/>
          <w:szCs w:val="21"/>
        </w:rPr>
        <w:t xml:space="preserve"> </w:t>
      </w:r>
      <w:r>
        <w:rPr>
          <w:color w:val="404040"/>
          <w:spacing w:val="-4"/>
          <w:sz w:val="21"/>
          <w:szCs w:val="21"/>
        </w:rPr>
        <w:t>万人，同样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z w:val="21"/>
          <w:szCs w:val="21"/>
        </w:rPr>
        <w:t>仅次于胡志明市和河内。因此，清化省薪资偏低，同时劳动力</w:t>
      </w:r>
      <w:r>
        <w:rPr>
          <w:color w:val="404040"/>
          <w:spacing w:val="-1"/>
          <w:sz w:val="21"/>
          <w:szCs w:val="21"/>
        </w:rPr>
        <w:t>更为充足，华利集团的大部分</w:t>
      </w:r>
      <w:r>
        <w:rPr>
          <w:color w:val="404040"/>
          <w:sz w:val="21"/>
          <w:szCs w:val="21"/>
        </w:rPr>
        <w:t xml:space="preserve"> </w:t>
      </w:r>
      <w:r>
        <w:rPr>
          <w:color w:val="404040"/>
          <w:spacing w:val="-1"/>
          <w:sz w:val="21"/>
          <w:szCs w:val="21"/>
        </w:rPr>
        <w:t>越南生产基地扎根于此使其劳动力优势凸显。</w:t>
      </w:r>
    </w:p>
    <w:p>
      <w:pPr>
        <w:spacing w:line="231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https://d.book118.com/446100134014010053</w:t>
        </w:r>
      </w:hyperlink>
    </w:p>
    <w:p>
      <w:pPr>
        <w:spacing w:line="231" w:lineRule="auto"/>
        <w:rPr>
          <w:sz w:val="21"/>
          <w:szCs w:val="21"/>
        </w:rPr>
      </w:pPr>
    </w:p>
    <w:sectPr>
      <w:headerReference w:type="default" r:id="rId212"/>
      <w:footerReference w:type="default" r:id="rId213"/>
      <w:type w:val="nextPage"/>
      <w:pgSz w:w="11907" w:h="16839"/>
      <w:pgMar w:top="1064" w:right="666" w:bottom="803" w:left="680" w:header="884" w:footer="567" w:gutter="0"/>
      <w:pgNumType w:start="50"/>
      <w:cols w:num="1" w:space="708" w:equalWidth="0">
        <w:col w:w="10560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66830714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249"/>
          <w:rPr>
            <w:sz w:val="18"/>
            <w:szCs w:val="18"/>
          </w:rPr>
        </w:pPr>
        <w:r>
          <w:pict>
            <v:shape id="_x0000_s2049" style="width:528pt;height:0.25pt;margin-top:801.72pt;margin-left:34pt;mso-position-horizontal-relative:page;mso-position-vertical-relative:page;position:absolute;z-index:25165824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   </w:t>
        </w:r>
        <w:hyperlink w:anchor="bookmark1" w:history="1">
          <w:r>
            <w:rPr>
              <w:color w:val="404040"/>
              <w:spacing w:val="-2"/>
              <w:sz w:val="18"/>
              <w:szCs w:val="18"/>
            </w:rPr>
            <w:t>1</w:t>
          </w:r>
        </w:hyperlink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55395686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249"/>
          <w:rPr>
            <w:sz w:val="18"/>
            <w:szCs w:val="18"/>
          </w:rPr>
        </w:pPr>
        <w:r>
          <w:pict>
            <v:shape id="_x0000_s2050" style="width:528pt;height:0.25pt;margin-top:801.72pt;margin-left:34pt;mso-position-horizontal-relative:page;mso-position-vertical-relative:page;position:absolute;z-index:25165926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   </w:t>
        </w:r>
        <w:hyperlink w:anchor="bookmark1" w:history="1">
          <w:r>
            <w:rPr>
              <w:color w:val="404040"/>
              <w:spacing w:val="-2"/>
              <w:sz w:val="18"/>
              <w:szCs w:val="18"/>
            </w:rPr>
            <w:t>1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979284162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54"/>
          <w:rPr>
            <w:sz w:val="18"/>
            <w:szCs w:val="18"/>
          </w:rPr>
        </w:pPr>
        <w:r>
          <w:pict>
            <v:shape id="_x0000_s2051" style="width:528pt;height:0.25pt;margin-top:801.72pt;margin-left:34pt;mso-position-horizontal-relative:page;mso-position-vertical-relative:page;position:absolute;z-index:25166028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2" w:history="1">
          <w:r>
            <w:rPr>
              <w:color w:val="404040"/>
              <w:spacing w:val="-3"/>
              <w:sz w:val="18"/>
              <w:szCs w:val="18"/>
            </w:rPr>
            <w:t>2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36124791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52" style="width:528pt;height:0.25pt;margin-top:801.72pt;margin-left:34pt;mso-position-horizontal-relative:page;mso-position-vertical-relative:page;position:absolute;z-index:25166131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</w:t>
        </w:r>
        <w:hyperlink w:anchor="bookmark3" w:history="1">
          <w:r>
            <w:rPr>
              <w:color w:val="404040"/>
              <w:spacing w:val="-3"/>
              <w:sz w:val="18"/>
              <w:szCs w:val="18"/>
            </w:rPr>
            <w:t>3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193114168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53" style="width:528pt;height:0.25pt;margin-top:801.72pt;margin-left:34pt;mso-position-horizontal-relative:page;mso-position-vertical-relative:page;position:absolute;z-index:25166233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</w:t>
        </w:r>
        <w:hyperlink w:anchor="bookmark3" w:history="1">
          <w:r>
            <w:rPr>
              <w:color w:val="404040"/>
              <w:spacing w:val="-3"/>
              <w:sz w:val="18"/>
              <w:szCs w:val="18"/>
            </w:rPr>
            <w:t>3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4453121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54" style="width:528pt;height:0.25pt;margin-top:801.72pt;margin-left:34pt;mso-position-horizontal-relative:page;mso-position-vertical-relative:page;position:absolute;z-index:25166336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46" w:history="1">
          <w:r>
            <w:rPr>
              <w:color w:val="404040"/>
              <w:spacing w:val="-3"/>
              <w:sz w:val="18"/>
              <w:szCs w:val="18"/>
            </w:rPr>
            <w:t>4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813645133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55" style="width:528pt;height:0.25pt;margin-top:801.72pt;margin-left:34pt;mso-position-horizontal-relative:page;mso-position-vertical-relative:page;position:absolute;z-index:25166438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46" w:history="1">
          <w:r>
            <w:rPr>
              <w:color w:val="404040"/>
              <w:spacing w:val="-3"/>
              <w:sz w:val="18"/>
              <w:szCs w:val="18"/>
            </w:rPr>
            <w:t>4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32556483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56" style="width:528pt;height:0.25pt;margin-top:801.72pt;margin-left:34pt;mso-position-horizontal-relative:page;mso-position-vertical-relative:page;position:absolute;z-index:25166540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</w:t>
        </w:r>
        <w:hyperlink w:anchor="bookmark86" w:history="1">
          <w:r>
            <w:rPr>
              <w:color w:val="404040"/>
              <w:spacing w:val="-3"/>
              <w:sz w:val="18"/>
              <w:szCs w:val="18"/>
            </w:rPr>
            <w:t>5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7849417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57" style="width:528pt;height:0.25pt;margin-top:801.72pt;margin-left:34pt;mso-position-horizontal-relative:page;mso-position-vertical-relative:page;position:absolute;z-index:25166643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87" w:history="1">
          <w:r>
            <w:rPr>
              <w:color w:val="404040"/>
              <w:spacing w:val="-3"/>
              <w:sz w:val="18"/>
              <w:szCs w:val="18"/>
            </w:rPr>
            <w:t>6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346848158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58" style="width:528pt;height:0.25pt;margin-top:801.72pt;margin-left:34pt;mso-position-horizontal-relative:page;mso-position-vertical-relative:page;position:absolute;z-index:25166745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87" w:history="1">
          <w:r>
            <w:rPr>
              <w:color w:val="404040"/>
              <w:spacing w:val="-3"/>
              <w:sz w:val="18"/>
              <w:szCs w:val="18"/>
            </w:rPr>
            <w:t>6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5333913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59" style="width:528pt;height:0.25pt;margin-top:801.72pt;margin-left:34pt;mso-position-horizontal-relative:page;mso-position-vertical-relative:page;position:absolute;z-index:25166848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87" w:history="1">
          <w:r>
            <w:rPr>
              <w:color w:val="404040"/>
              <w:spacing w:val="-3"/>
              <w:sz w:val="18"/>
              <w:szCs w:val="18"/>
            </w:rPr>
            <w:t>6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54922923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0" style="width:528pt;height:0.25pt;margin-top:801.72pt;margin-left:34pt;mso-position-horizontal-relative:page;mso-position-vertical-relative:page;position:absolute;z-index:25166950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87" w:history="1">
          <w:r>
            <w:rPr>
              <w:color w:val="404040"/>
              <w:spacing w:val="-3"/>
              <w:sz w:val="18"/>
              <w:szCs w:val="18"/>
            </w:rPr>
            <w:t>6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1979804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1" style="width:528pt;height:0.25pt;margin-top:801.72pt;margin-left:34pt;mso-position-horizontal-relative:page;mso-position-vertical-relative:page;position:absolute;z-index:25167052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</w:t>
        </w:r>
        <w:hyperlink w:anchor="bookmark87" w:history="1">
          <w:r>
            <w:rPr>
              <w:color w:val="404040"/>
              <w:spacing w:val="-3"/>
              <w:sz w:val="18"/>
              <w:szCs w:val="18"/>
            </w:rPr>
            <w:t>6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752554331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2" style="width:528pt;height:0.25pt;margin-top:801.72pt;margin-left:34pt;mso-position-horizontal-relative:page;mso-position-vertical-relative:page;position:absolute;z-index:25167155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02750839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3" style="width:528pt;height:0.25pt;margin-top:801.72pt;margin-left:34pt;mso-position-horizontal-relative:page;mso-position-vertical-relative:page;position:absolute;z-index:25167257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09354474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4" style="width:528pt;height:0.25pt;margin-top:801.72pt;margin-left:34pt;mso-position-horizontal-relative:page;mso-position-vertical-relative:page;position:absolute;z-index:25167360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31190019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5" style="width:528pt;height:0.25pt;margin-top:801.72pt;margin-left:34pt;mso-position-horizontal-relative:page;mso-position-vertical-relative:page;position:absolute;z-index:25167462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0742165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6" style="width:528pt;height:0.25pt;margin-top:801.72pt;margin-left:34pt;mso-position-horizontal-relative:page;mso-position-vertical-relative:page;position:absolute;z-index:25167564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19426647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7" style="width:528pt;height:0.25pt;margin-top:801.72pt;margin-left:34pt;mso-position-horizontal-relative:page;mso-position-vertical-relative:page;position:absolute;z-index:25167667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</w:t>
        </w:r>
        <w:hyperlink w:anchor="bookmark88" w:history="1">
          <w:r>
            <w:rPr>
              <w:color w:val="404040"/>
              <w:spacing w:val="-3"/>
              <w:sz w:val="18"/>
              <w:szCs w:val="18"/>
            </w:rPr>
            <w:t>7</w:t>
          </w:r>
        </w:hyperlink>
      </w:p>
    </w:sdtContent>
  </w:sdt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801277739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8" style="width:528pt;height:0.25pt;margin-top:801.72pt;margin-left:34pt;mso-position-horizontal-relative:page;mso-position-vertical-relative:page;position:absolute;z-index:25167769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1458484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69" style="width:528pt;height:0.25pt;margin-top:801.72pt;margin-left:34pt;mso-position-horizontal-relative:page;mso-position-vertical-relative:page;position:absolute;z-index:25167872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64889345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70" style="width:528pt;height:0.25pt;margin-top:801.72pt;margin-left:34pt;mso-position-horizontal-relative:page;mso-position-vertical-relative:page;position:absolute;z-index:25167974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39059118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71" style="width:528pt;height:0.25pt;margin-top:801.72pt;margin-left:34pt;mso-position-horizontal-relative:page;mso-position-vertical-relative:page;position:absolute;z-index:25168076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07948732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72" style="width:528pt;height:0.25pt;margin-top:801.72pt;margin-left:34pt;mso-position-horizontal-relative:page;mso-position-vertical-relative:page;position:absolute;z-index:25168179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08288649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8"/>
          <w:rPr>
            <w:sz w:val="18"/>
            <w:szCs w:val="18"/>
          </w:rPr>
        </w:pPr>
        <w:r>
          <w:pict>
            <v:shape id="_x0000_s2073" style="width:528pt;height:0.25pt;margin-top:801.72pt;margin-left:34pt;mso-position-horizontal-relative:page;mso-position-vertical-relative:page;position:absolute;z-index:25168281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</w:t>
        </w:r>
        <w:hyperlink w:anchor="bookmark89" w:history="1">
          <w:r>
            <w:rPr>
              <w:color w:val="404040"/>
              <w:spacing w:val="-3"/>
              <w:sz w:val="18"/>
              <w:szCs w:val="18"/>
            </w:rPr>
            <w:t>8</w:t>
          </w:r>
        </w:hyperlink>
      </w:p>
    </w:sdtContent>
  </w:sdt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90363470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4" style="width:528pt;height:0.25pt;margin-top:801.72pt;margin-left:34pt;mso-position-horizontal-relative:page;mso-position-vertical-relative:page;position:absolute;z-index:25168384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892481183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5" style="width:528pt;height:0.25pt;margin-top:801.72pt;margin-left:34pt;mso-position-horizontal-relative:page;mso-position-vertical-relative:page;position:absolute;z-index:25168486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107170595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6" style="width:528pt;height:0.25pt;margin-top:801.72pt;margin-left:34pt;mso-position-horizontal-relative:page;mso-position-vertical-relative:page;position:absolute;z-index:25168588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6773327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7" style="width:528pt;height:0.25pt;margin-top:801.72pt;margin-left:34pt;mso-position-horizontal-relative:page;mso-position-vertical-relative:page;position:absolute;z-index:25168691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2082804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8" style="width:528pt;height:0.25pt;margin-top:801.72pt;margin-left:34pt;mso-position-horizontal-relative:page;mso-position-vertical-relative:page;position:absolute;z-index:25168793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549801361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79" style="width:528pt;height:0.25pt;margin-top:801.72pt;margin-left:34pt;mso-position-horizontal-relative:page;mso-position-vertical-relative:page;position:absolute;z-index:25168896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        </w:t>
        </w:r>
        <w:hyperlink w:anchor="bookmark90" w:history="1">
          <w:r>
            <w:rPr>
              <w:color w:val="404040"/>
              <w:spacing w:val="-3"/>
              <w:sz w:val="18"/>
              <w:szCs w:val="18"/>
            </w:rPr>
            <w:t>9</w:t>
          </w:r>
        </w:hyperlink>
      </w:p>
    </w:sdtContent>
  </w:sdt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81903311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0" style="width:528pt;height:0.25pt;margin-top:801.72pt;margin-left:34pt;mso-position-horizontal-relative:page;mso-position-vertical-relative:page;position:absolute;z-index:25168998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1" w:history="1">
          <w:r>
            <w:rPr>
              <w:color w:val="404040"/>
              <w:spacing w:val="-3"/>
              <w:sz w:val="18"/>
              <w:szCs w:val="18"/>
            </w:rPr>
            <w:t>10</w:t>
          </w:r>
        </w:hyperlink>
      </w:p>
    </w:sdtContent>
  </w:sdt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68872352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1" style="width:528pt;height:0.25pt;margin-top:801.72pt;margin-left:34pt;mso-position-horizontal-relative:page;mso-position-vertical-relative:page;position:absolute;z-index:25169100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1" w:history="1">
          <w:r>
            <w:rPr>
              <w:color w:val="404040"/>
              <w:spacing w:val="-3"/>
              <w:sz w:val="18"/>
              <w:szCs w:val="18"/>
            </w:rPr>
            <w:t>10</w:t>
          </w:r>
        </w:hyperlink>
      </w:p>
    </w:sdtContent>
  </w:sdt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48462125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2" style="width:528pt;height:0.25pt;margin-top:801.72pt;margin-left:34pt;mso-position-horizontal-relative:page;mso-position-vertical-relative:page;position:absolute;z-index:25169203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1" w:history="1">
          <w:r>
            <w:rPr>
              <w:color w:val="404040"/>
              <w:spacing w:val="-3"/>
              <w:sz w:val="18"/>
              <w:szCs w:val="18"/>
            </w:rPr>
            <w:t>10</w:t>
          </w:r>
        </w:hyperlink>
      </w:p>
    </w:sdtContent>
  </w:sdt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197617832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3" style="width:528pt;height:0.25pt;margin-top:801.72pt;margin-left:34pt;mso-position-horizontal-relative:page;mso-position-vertical-relative:page;position:absolute;z-index:25169305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1" w:history="1">
          <w:r>
            <w:rPr>
              <w:color w:val="404040"/>
              <w:spacing w:val="-3"/>
              <w:sz w:val="18"/>
              <w:szCs w:val="18"/>
            </w:rPr>
            <w:t>10</w:t>
          </w:r>
        </w:hyperlink>
      </w:p>
    </w:sdtContent>
  </w:sdt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55533241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4" style="width:528pt;height:0.25pt;margin-top:801.72pt;margin-left:34pt;mso-position-horizontal-relative:page;mso-position-vertical-relative:page;position:absolute;z-index:25169408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2" w:history="1">
          <w:r>
            <w:rPr>
              <w:color w:val="404040"/>
              <w:spacing w:val="-3"/>
              <w:sz w:val="18"/>
              <w:szCs w:val="18"/>
            </w:rPr>
            <w:t>11</w:t>
          </w:r>
        </w:hyperlink>
      </w:p>
    </w:sdtContent>
  </w:sdt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3366269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5" style="width:528pt;height:0.25pt;margin-top:801.72pt;margin-left:34pt;mso-position-horizontal-relative:page;mso-position-vertical-relative:page;position:absolute;z-index:25169510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2" w:history="1">
          <w:r>
            <w:rPr>
              <w:color w:val="404040"/>
              <w:spacing w:val="-3"/>
              <w:sz w:val="18"/>
              <w:szCs w:val="18"/>
            </w:rPr>
            <w:t>11</w:t>
          </w:r>
        </w:hyperlink>
      </w:p>
    </w:sdtContent>
  </w:sdt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778224061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6" style="width:528pt;height:0.25pt;margin-top:801.72pt;margin-left:34pt;mso-position-horizontal-relative:page;mso-position-vertical-relative:page;position:absolute;z-index:25169612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3" w:history="1">
          <w:r>
            <w:rPr>
              <w:color w:val="404040"/>
              <w:spacing w:val="-3"/>
              <w:sz w:val="18"/>
              <w:szCs w:val="18"/>
            </w:rPr>
            <w:t>12</w:t>
          </w:r>
        </w:hyperlink>
      </w:p>
    </w:sdtContent>
  </w:sdt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82983850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7" style="width:528pt;height:0.25pt;margin-top:801.72pt;margin-left:34pt;mso-position-horizontal-relative:page;mso-position-vertical-relative:page;position:absolute;z-index:25169715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3" w:history="1">
          <w:r>
            <w:rPr>
              <w:color w:val="404040"/>
              <w:spacing w:val="-3"/>
              <w:sz w:val="18"/>
              <w:szCs w:val="18"/>
            </w:rPr>
            <w:t>12</w:t>
          </w:r>
        </w:hyperlink>
      </w:p>
    </w:sdtContent>
  </w:sdt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0999222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8" style="width:528pt;height:0.25pt;margin-top:801.72pt;margin-left:34pt;mso-position-horizontal-relative:page;mso-position-vertical-relative:page;position:absolute;z-index:25169817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3" w:history="1">
          <w:r>
            <w:rPr>
              <w:color w:val="404040"/>
              <w:spacing w:val="-3"/>
              <w:sz w:val="18"/>
              <w:szCs w:val="18"/>
            </w:rPr>
            <w:t>12</w:t>
          </w:r>
        </w:hyperlink>
      </w:p>
    </w:sdtContent>
  </w:sdt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22856721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89" style="width:528pt;height:0.25pt;margin-top:801.72pt;margin-left:34pt;mso-position-horizontal-relative:page;mso-position-vertical-relative:page;position:absolute;z-index:25169920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3" w:history="1">
          <w:r>
            <w:rPr>
              <w:color w:val="404040"/>
              <w:spacing w:val="-3"/>
              <w:sz w:val="18"/>
              <w:szCs w:val="18"/>
            </w:rPr>
            <w:t>12</w:t>
          </w:r>
        </w:hyperlink>
      </w:p>
    </w:sdtContent>
  </w:sdt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549940332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0" style="width:528pt;height:0.25pt;margin-top:801.72pt;margin-left:34pt;mso-position-horizontal-relative:page;mso-position-vertical-relative:page;position:absolute;z-index:25170022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4" w:history="1">
          <w:r>
            <w:rPr>
              <w:color w:val="404040"/>
              <w:spacing w:val="-3"/>
              <w:sz w:val="18"/>
              <w:szCs w:val="18"/>
            </w:rPr>
            <w:t>13</w:t>
          </w:r>
        </w:hyperlink>
      </w:p>
    </w:sdtContent>
  </w:sdt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1689822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1" style="width:528pt;height:0.25pt;margin-top:801.72pt;margin-left:34pt;mso-position-horizontal-relative:page;mso-position-vertical-relative:page;position:absolute;z-index:25170124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4" w:history="1">
          <w:r>
            <w:rPr>
              <w:color w:val="404040"/>
              <w:spacing w:val="-3"/>
              <w:sz w:val="18"/>
              <w:szCs w:val="18"/>
            </w:rPr>
            <w:t>13</w:t>
          </w:r>
        </w:hyperlink>
      </w:p>
    </w:sdtContent>
  </w:sdt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253068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2" style="width:528pt;height:0.25pt;margin-top:801.72pt;margin-left:34pt;mso-position-horizontal-relative:page;mso-position-vertical-relative:page;position:absolute;z-index:25170227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5" w:history="1">
          <w:r>
            <w:rPr>
              <w:color w:val="404040"/>
              <w:spacing w:val="-3"/>
              <w:sz w:val="18"/>
              <w:szCs w:val="18"/>
            </w:rPr>
            <w:t>14</w:t>
          </w:r>
        </w:hyperlink>
      </w:p>
    </w:sdtContent>
  </w:sdt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97297758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3" style="width:528pt;height:0.25pt;margin-top:801.72pt;margin-left:34pt;mso-position-horizontal-relative:page;mso-position-vertical-relative:page;position:absolute;z-index:25170329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1023571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4" style="width:528pt;height:0.25pt;margin-top:801.72pt;margin-left:34pt;mso-position-horizontal-relative:page;mso-position-vertical-relative:page;position:absolute;z-index:251704320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83404452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5" style="width:528pt;height:0.25pt;margin-top:801.72pt;margin-left:34pt;mso-position-horizontal-relative:page;mso-position-vertical-relative:page;position:absolute;z-index:251705344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994616746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6" style="width:528pt;height:0.25pt;margin-top:801.72pt;margin-left:34pt;mso-position-horizontal-relative:page;mso-position-vertical-relative:page;position:absolute;z-index:251706368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276989957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7" style="width:528pt;height:0.25pt;margin-top:801.72pt;margin-left:34pt;mso-position-horizontal-relative:page;mso-position-vertical-relative:page;position:absolute;z-index:251707392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KaiTi" w:eastAsia="KaiTi" w:hAnsi="KaiTi" w:cs="KaiTi"/>
        <w:sz w:val="18"/>
        <w:szCs w:val="18"/>
      </w:rPr>
      <w:id w:val="1049191794"/>
      <w:docPartObj>
        <w:docPartGallery w:val="Table of Contents"/>
        <w:docPartUnique/>
      </w:docPartObj>
    </w:sdtPr>
    <w:sdtEndPr>
      <w:rPr>
        <w:rFonts w:ascii="KaiTi" w:eastAsia="KaiTi" w:hAnsi="KaiTi" w:cs="KaiTi"/>
        <w:sz w:val="18"/>
        <w:szCs w:val="18"/>
      </w:rPr>
    </w:sdtEndPr>
    <w:sdtContent>
      <w:p>
        <w:pPr>
          <w:pStyle w:val="BodyText"/>
          <w:spacing w:before="29" w:line="202" w:lineRule="auto"/>
          <w:ind w:left="12"/>
          <w:rPr>
            <w:sz w:val="18"/>
            <w:szCs w:val="18"/>
          </w:rPr>
        </w:pPr>
        <w:r>
          <w:pict>
            <v:shape id="_x0000_s2098" style="width:528pt;height:0.25pt;margin-top:801.72pt;margin-left:34pt;mso-position-horizontal-relative:page;mso-position-vertical-relative:page;position:absolute;z-index:251708416" coordorigin="0,0" coordsize="10560,5" o:allowincell="f" path="m,2l10560,2e" filled="f" strokecolor="black" strokeweight="0.25pt">
              <v:stroke joinstyle="miter"/>
            </v:shape>
          </w:pict>
        </w:r>
        <w:r>
          <w:rPr>
            <w:color w:val="404040"/>
            <w:spacing w:val="-2"/>
            <w:sz w:val="18"/>
            <w:szCs w:val="18"/>
          </w:rPr>
          <w:t>本报告版权属于国投证券股份有限公司，各项声明请参见报告尾页。</w:t>
        </w:r>
        <w:r>
          <w:rPr>
            <w:color w:val="404040"/>
            <w:spacing w:val="-2"/>
            <w:sz w:val="18"/>
            <w:szCs w:val="18"/>
          </w:rPr>
          <w:t xml:space="preserve">                                                     </w:t>
        </w:r>
        <w:r>
          <w:rPr>
            <w:color w:val="404040"/>
            <w:spacing w:val="-3"/>
            <w:sz w:val="18"/>
            <w:szCs w:val="18"/>
          </w:rPr>
          <w:t xml:space="preserve">   </w:t>
        </w:r>
        <w:hyperlink w:anchor="bookmark96" w:history="1">
          <w:r>
            <w:rPr>
              <w:color w:val="404040"/>
              <w:spacing w:val="-3"/>
              <w:sz w:val="18"/>
              <w:szCs w:val="18"/>
            </w:rPr>
            <w:t>15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0" w:lineRule="exact"/>
      <w:ind w:firstLine="107"/>
    </w:pPr>
    <w:r>
      <w:rPr>
        <w:position w:val="-11"/>
      </w:rPr>
      <w:drawing>
        <wp:inline distT="0" distB="0" distL="0" distR="0">
          <wp:extent cx="2012822" cy="37465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2822" cy="374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0" w:lineRule="exact"/>
      <w:ind w:firstLine="107"/>
    </w:pPr>
    <w:r>
      <w:rPr>
        <w:position w:val="-11"/>
      </w:rPr>
      <w:drawing>
        <wp:inline distT="0" distB="0" distL="0" distR="0">
          <wp:extent cx="2012822" cy="374650"/>
          <wp:effectExtent l="0" t="0" r="0" b="0"/>
          <wp:docPr id="154808716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808716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12822" cy="374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bookmarkStart w:id="1" w:name="bookmark2"/>
    <w:bookmarkEnd w:id="1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14" w:name="bookmark88"/>
    <w:bookmarkEnd w:id="14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17" w:name="bookmark88_0"/>
    <w:bookmarkEnd w:id="17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20" w:name="bookmark88_1"/>
    <w:bookmarkEnd w:id="20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21" w:name="bookmark88_2"/>
    <w:bookmarkEnd w:id="21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22" w:name="bookmark88_3"/>
    <w:bookmarkEnd w:id="22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bookmarkStart w:id="24" w:name="bookmark88_4"/>
    <w:bookmarkEnd w:id="24"/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50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644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right="18"/>
      <w:jc w:val="right"/>
      <w:rPr>
        <w:sz w:val="18"/>
        <w:szCs w:val="18"/>
      </w:rPr>
    </w:pPr>
    <w:r>
      <w:rPr>
        <w:color w:val="404040"/>
        <w:sz w:val="18"/>
        <w:szCs w:val="18"/>
        <w14:textOutline w14:w="3265">
          <w14:solidFill>
            <w14:srgbClr w14:val="404040"/>
          </w14:solidFill>
          <w14:prstDash w14:val="solid"/>
          <w14:miter w14:lim="10"/>
        </w14:textOutline>
      </w:rPr>
      <w:t>公司深度分析/华利集团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footer" Target="footer20.xml" /><Relationship Id="rId101" Type="http://schemas.openxmlformats.org/officeDocument/2006/relationships/image" Target="media/image58.png" /><Relationship Id="rId102" Type="http://schemas.openxmlformats.org/officeDocument/2006/relationships/image" Target="media/image59.png" /><Relationship Id="rId103" Type="http://schemas.openxmlformats.org/officeDocument/2006/relationships/image" Target="media/image60.png" /><Relationship Id="rId104" Type="http://schemas.openxmlformats.org/officeDocument/2006/relationships/image" Target="media/image61.png" /><Relationship Id="rId105" Type="http://schemas.openxmlformats.org/officeDocument/2006/relationships/image" Target="media/image62.png" /><Relationship Id="rId106" Type="http://schemas.openxmlformats.org/officeDocument/2006/relationships/image" Target="media/image63.png" /><Relationship Id="rId107" Type="http://schemas.openxmlformats.org/officeDocument/2006/relationships/image" Target="media/image64.png" /><Relationship Id="rId108" Type="http://schemas.openxmlformats.org/officeDocument/2006/relationships/header" Target="header21.xml" /><Relationship Id="rId109" Type="http://schemas.openxmlformats.org/officeDocument/2006/relationships/footer" Target="footer21.xml" /><Relationship Id="rId11" Type="http://schemas.openxmlformats.org/officeDocument/2006/relationships/image" Target="media/image8.jpeg" /><Relationship Id="rId110" Type="http://schemas.openxmlformats.org/officeDocument/2006/relationships/image" Target="media/image65.jpeg" /><Relationship Id="rId111" Type="http://schemas.openxmlformats.org/officeDocument/2006/relationships/image" Target="media/image66.jpeg" /><Relationship Id="rId112" Type="http://schemas.openxmlformats.org/officeDocument/2006/relationships/image" Target="media/image67.png" /><Relationship Id="rId113" Type="http://schemas.openxmlformats.org/officeDocument/2006/relationships/header" Target="header22.xml" /><Relationship Id="rId114" Type="http://schemas.openxmlformats.org/officeDocument/2006/relationships/footer" Target="footer22.xml" /><Relationship Id="rId115" Type="http://schemas.openxmlformats.org/officeDocument/2006/relationships/header" Target="header23.xml" /><Relationship Id="rId116" Type="http://schemas.openxmlformats.org/officeDocument/2006/relationships/footer" Target="footer23.xml" /><Relationship Id="rId117" Type="http://schemas.openxmlformats.org/officeDocument/2006/relationships/image" Target="media/image68.png" /><Relationship Id="rId118" Type="http://schemas.openxmlformats.org/officeDocument/2006/relationships/header" Target="header24.xml" /><Relationship Id="rId119" Type="http://schemas.openxmlformats.org/officeDocument/2006/relationships/footer" Target="footer24.xml" /><Relationship Id="rId12" Type="http://schemas.openxmlformats.org/officeDocument/2006/relationships/image" Target="media/image9.jpeg" /><Relationship Id="rId120" Type="http://schemas.openxmlformats.org/officeDocument/2006/relationships/header" Target="header25.xml" /><Relationship Id="rId121" Type="http://schemas.openxmlformats.org/officeDocument/2006/relationships/footer" Target="footer25.xml" /><Relationship Id="rId122" Type="http://schemas.openxmlformats.org/officeDocument/2006/relationships/image" Target="media/image69.png" /><Relationship Id="rId123" Type="http://schemas.openxmlformats.org/officeDocument/2006/relationships/image" Target="media/image70.png" /><Relationship Id="rId124" Type="http://schemas.openxmlformats.org/officeDocument/2006/relationships/header" Target="header26.xml" /><Relationship Id="rId125" Type="http://schemas.openxmlformats.org/officeDocument/2006/relationships/footer" Target="footer26.xml" /><Relationship Id="rId126" Type="http://schemas.openxmlformats.org/officeDocument/2006/relationships/image" Target="media/image71.jpeg" /><Relationship Id="rId127" Type="http://schemas.openxmlformats.org/officeDocument/2006/relationships/image" Target="media/image72.jpeg" /><Relationship Id="rId128" Type="http://schemas.openxmlformats.org/officeDocument/2006/relationships/image" Target="media/image73.jpeg" /><Relationship Id="rId129" Type="http://schemas.openxmlformats.org/officeDocument/2006/relationships/image" Target="media/image74.png" /><Relationship Id="rId13" Type="http://schemas.openxmlformats.org/officeDocument/2006/relationships/header" Target="header1.xml" /><Relationship Id="rId130" Type="http://schemas.openxmlformats.org/officeDocument/2006/relationships/image" Target="media/image75.png" /><Relationship Id="rId131" Type="http://schemas.openxmlformats.org/officeDocument/2006/relationships/header" Target="header27.xml" /><Relationship Id="rId132" Type="http://schemas.openxmlformats.org/officeDocument/2006/relationships/footer" Target="footer27.xml" /><Relationship Id="rId133" Type="http://schemas.openxmlformats.org/officeDocument/2006/relationships/header" Target="header28.xml" /><Relationship Id="rId134" Type="http://schemas.openxmlformats.org/officeDocument/2006/relationships/footer" Target="footer28.xml" /><Relationship Id="rId135" Type="http://schemas.openxmlformats.org/officeDocument/2006/relationships/header" Target="header29.xml" /><Relationship Id="rId136" Type="http://schemas.openxmlformats.org/officeDocument/2006/relationships/footer" Target="footer29.xml" /><Relationship Id="rId137" Type="http://schemas.openxmlformats.org/officeDocument/2006/relationships/image" Target="media/image76.png" /><Relationship Id="rId138" Type="http://schemas.openxmlformats.org/officeDocument/2006/relationships/image" Target="media/image77.png" /><Relationship Id="rId139" Type="http://schemas.openxmlformats.org/officeDocument/2006/relationships/image" Target="media/image78.png" /><Relationship Id="rId14" Type="http://schemas.openxmlformats.org/officeDocument/2006/relationships/footer" Target="footer1.xml" /><Relationship Id="rId140" Type="http://schemas.openxmlformats.org/officeDocument/2006/relationships/image" Target="media/image79.png" /><Relationship Id="rId141" Type="http://schemas.openxmlformats.org/officeDocument/2006/relationships/image" Target="media/image80.png" /><Relationship Id="rId142" Type="http://schemas.openxmlformats.org/officeDocument/2006/relationships/image" Target="media/image81.png" /><Relationship Id="rId143" Type="http://schemas.openxmlformats.org/officeDocument/2006/relationships/image" Target="media/image82.png" /><Relationship Id="rId144" Type="http://schemas.openxmlformats.org/officeDocument/2006/relationships/image" Target="media/image83.png" /><Relationship Id="rId145" Type="http://schemas.openxmlformats.org/officeDocument/2006/relationships/image" Target="media/image84.png" /><Relationship Id="rId146" Type="http://schemas.openxmlformats.org/officeDocument/2006/relationships/header" Target="header30.xml" /><Relationship Id="rId147" Type="http://schemas.openxmlformats.org/officeDocument/2006/relationships/footer" Target="footer30.xml" /><Relationship Id="rId148" Type="http://schemas.openxmlformats.org/officeDocument/2006/relationships/header" Target="header31.xml" /><Relationship Id="rId149" Type="http://schemas.openxmlformats.org/officeDocument/2006/relationships/footer" Target="footer31.xml" /><Relationship Id="rId15" Type="http://schemas.openxmlformats.org/officeDocument/2006/relationships/header" Target="header2.xml" /><Relationship Id="rId150" Type="http://schemas.openxmlformats.org/officeDocument/2006/relationships/image" Target="media/image85.png" /><Relationship Id="rId151" Type="http://schemas.openxmlformats.org/officeDocument/2006/relationships/image" Target="media/image86.jpeg" /><Relationship Id="rId152" Type="http://schemas.openxmlformats.org/officeDocument/2006/relationships/header" Target="header32.xml" /><Relationship Id="rId153" Type="http://schemas.openxmlformats.org/officeDocument/2006/relationships/footer" Target="footer32.xml" /><Relationship Id="rId154" Type="http://schemas.openxmlformats.org/officeDocument/2006/relationships/image" Target="media/image87.png" /><Relationship Id="rId155" Type="http://schemas.openxmlformats.org/officeDocument/2006/relationships/header" Target="header33.xml" /><Relationship Id="rId156" Type="http://schemas.openxmlformats.org/officeDocument/2006/relationships/footer" Target="footer33.xml" /><Relationship Id="rId157" Type="http://schemas.openxmlformats.org/officeDocument/2006/relationships/image" Target="media/image88.png" /><Relationship Id="rId158" Type="http://schemas.openxmlformats.org/officeDocument/2006/relationships/image" Target="media/image89.png" /><Relationship Id="rId159" Type="http://schemas.openxmlformats.org/officeDocument/2006/relationships/image" Target="media/image90.png" /><Relationship Id="rId16" Type="http://schemas.openxmlformats.org/officeDocument/2006/relationships/footer" Target="footer2.xml" /><Relationship Id="rId160" Type="http://schemas.openxmlformats.org/officeDocument/2006/relationships/image" Target="media/image91.png" /><Relationship Id="rId161" Type="http://schemas.openxmlformats.org/officeDocument/2006/relationships/image" Target="media/image92.png" /><Relationship Id="rId162" Type="http://schemas.openxmlformats.org/officeDocument/2006/relationships/image" Target="media/image93.png" /><Relationship Id="rId163" Type="http://schemas.openxmlformats.org/officeDocument/2006/relationships/header" Target="header34.xml" /><Relationship Id="rId164" Type="http://schemas.openxmlformats.org/officeDocument/2006/relationships/footer" Target="footer34.xml" /><Relationship Id="rId165" Type="http://schemas.openxmlformats.org/officeDocument/2006/relationships/header" Target="header35.xml" /><Relationship Id="rId166" Type="http://schemas.openxmlformats.org/officeDocument/2006/relationships/footer" Target="footer35.xml" /><Relationship Id="rId167" Type="http://schemas.openxmlformats.org/officeDocument/2006/relationships/image" Target="media/image94.png" /><Relationship Id="rId168" Type="http://schemas.openxmlformats.org/officeDocument/2006/relationships/header" Target="header36.xml" /><Relationship Id="rId169" Type="http://schemas.openxmlformats.org/officeDocument/2006/relationships/footer" Target="footer36.xml" /><Relationship Id="rId17" Type="http://schemas.openxmlformats.org/officeDocument/2006/relationships/image" Target="media/image10.png" /><Relationship Id="rId170" Type="http://schemas.openxmlformats.org/officeDocument/2006/relationships/image" Target="media/image95.jpeg" /><Relationship Id="rId171" Type="http://schemas.openxmlformats.org/officeDocument/2006/relationships/header" Target="header37.xml" /><Relationship Id="rId172" Type="http://schemas.openxmlformats.org/officeDocument/2006/relationships/footer" Target="footer37.xml" /><Relationship Id="rId173" Type="http://schemas.openxmlformats.org/officeDocument/2006/relationships/header" Target="header38.xml" /><Relationship Id="rId174" Type="http://schemas.openxmlformats.org/officeDocument/2006/relationships/footer" Target="footer38.xml" /><Relationship Id="rId175" Type="http://schemas.openxmlformats.org/officeDocument/2006/relationships/image" Target="media/image96.png" /><Relationship Id="rId176" Type="http://schemas.openxmlformats.org/officeDocument/2006/relationships/image" Target="media/image97.png" /><Relationship Id="rId177" Type="http://schemas.openxmlformats.org/officeDocument/2006/relationships/image" Target="media/image98.png" /><Relationship Id="rId178" Type="http://schemas.openxmlformats.org/officeDocument/2006/relationships/image" Target="media/image99.png" /><Relationship Id="rId179" Type="http://schemas.openxmlformats.org/officeDocument/2006/relationships/header" Target="header39.xml" /><Relationship Id="rId18" Type="http://schemas.openxmlformats.org/officeDocument/2006/relationships/header" Target="header3.xml" /><Relationship Id="rId180" Type="http://schemas.openxmlformats.org/officeDocument/2006/relationships/footer" Target="footer39.xml" /><Relationship Id="rId181" Type="http://schemas.openxmlformats.org/officeDocument/2006/relationships/header" Target="header40.xml" /><Relationship Id="rId182" Type="http://schemas.openxmlformats.org/officeDocument/2006/relationships/footer" Target="footer40.xml" /><Relationship Id="rId183" Type="http://schemas.openxmlformats.org/officeDocument/2006/relationships/header" Target="header41.xml" /><Relationship Id="rId184" Type="http://schemas.openxmlformats.org/officeDocument/2006/relationships/footer" Target="footer41.xml" /><Relationship Id="rId185" Type="http://schemas.openxmlformats.org/officeDocument/2006/relationships/image" Target="media/image100.png" /><Relationship Id="rId186" Type="http://schemas.openxmlformats.org/officeDocument/2006/relationships/image" Target="media/image101.png" /><Relationship Id="rId187" Type="http://schemas.openxmlformats.org/officeDocument/2006/relationships/header" Target="header42.xml" /><Relationship Id="rId188" Type="http://schemas.openxmlformats.org/officeDocument/2006/relationships/footer" Target="footer42.xml" /><Relationship Id="rId189" Type="http://schemas.openxmlformats.org/officeDocument/2006/relationships/header" Target="header43.xml" /><Relationship Id="rId19" Type="http://schemas.openxmlformats.org/officeDocument/2006/relationships/footer" Target="footer3.xml" /><Relationship Id="rId190" Type="http://schemas.openxmlformats.org/officeDocument/2006/relationships/footer" Target="footer43.xml" /><Relationship Id="rId191" Type="http://schemas.openxmlformats.org/officeDocument/2006/relationships/image" Target="media/image102.jpeg" /><Relationship Id="rId192" Type="http://schemas.openxmlformats.org/officeDocument/2006/relationships/header" Target="header44.xml" /><Relationship Id="rId193" Type="http://schemas.openxmlformats.org/officeDocument/2006/relationships/footer" Target="footer44.xml" /><Relationship Id="rId194" Type="http://schemas.openxmlformats.org/officeDocument/2006/relationships/image" Target="media/image103.png" /><Relationship Id="rId195" Type="http://schemas.openxmlformats.org/officeDocument/2006/relationships/header" Target="header45.xml" /><Relationship Id="rId196" Type="http://schemas.openxmlformats.org/officeDocument/2006/relationships/footer" Target="footer45.xml" /><Relationship Id="rId197" Type="http://schemas.openxmlformats.org/officeDocument/2006/relationships/image" Target="media/image104.png" /><Relationship Id="rId198" Type="http://schemas.openxmlformats.org/officeDocument/2006/relationships/image" Target="media/image105.png" /><Relationship Id="rId199" Type="http://schemas.openxmlformats.org/officeDocument/2006/relationships/image" Target="media/image106.pn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00" Type="http://schemas.openxmlformats.org/officeDocument/2006/relationships/image" Target="media/image107.jpeg" /><Relationship Id="rId201" Type="http://schemas.openxmlformats.org/officeDocument/2006/relationships/image" Target="media/image108.png" /><Relationship Id="rId202" Type="http://schemas.openxmlformats.org/officeDocument/2006/relationships/image" Target="media/image109.png" /><Relationship Id="rId203" Type="http://schemas.openxmlformats.org/officeDocument/2006/relationships/header" Target="header46.xml" /><Relationship Id="rId204" Type="http://schemas.openxmlformats.org/officeDocument/2006/relationships/footer" Target="footer46.xml" /><Relationship Id="rId205" Type="http://schemas.openxmlformats.org/officeDocument/2006/relationships/header" Target="header47.xml" /><Relationship Id="rId206" Type="http://schemas.openxmlformats.org/officeDocument/2006/relationships/footer" Target="footer47.xml" /><Relationship Id="rId207" Type="http://schemas.openxmlformats.org/officeDocument/2006/relationships/header" Target="header48.xml" /><Relationship Id="rId208" Type="http://schemas.openxmlformats.org/officeDocument/2006/relationships/footer" Target="footer48.xml" /><Relationship Id="rId209" Type="http://schemas.openxmlformats.org/officeDocument/2006/relationships/header" Target="header49.xml" /><Relationship Id="rId21" Type="http://schemas.openxmlformats.org/officeDocument/2006/relationships/header" Target="header4.xml" /><Relationship Id="rId210" Type="http://schemas.openxmlformats.org/officeDocument/2006/relationships/footer" Target="footer49.xml" /><Relationship Id="rId211" Type="http://schemas.openxmlformats.org/officeDocument/2006/relationships/hyperlink" Target="https://d.book118.com/446100134014010053" TargetMode="External" /><Relationship Id="rId212" Type="http://schemas.openxmlformats.org/officeDocument/2006/relationships/header" Target="header50.xml" /><Relationship Id="rId213" Type="http://schemas.openxmlformats.org/officeDocument/2006/relationships/footer" Target="footer50.xml" /><Relationship Id="rId214" Type="http://schemas.openxmlformats.org/officeDocument/2006/relationships/theme" Target="theme/theme1.xml" /><Relationship Id="rId215" Type="http://schemas.openxmlformats.org/officeDocument/2006/relationships/styles" Target="styles.xml" /><Relationship Id="rId22" Type="http://schemas.openxmlformats.org/officeDocument/2006/relationships/footer" Target="footer4.xml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header" Target="header7.xml" /><Relationship Id="rId28" Type="http://schemas.openxmlformats.org/officeDocument/2006/relationships/footer" Target="footer7.xml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8.xml" /><Relationship Id="rId32" Type="http://schemas.openxmlformats.org/officeDocument/2006/relationships/image" Target="media/image13.png" /><Relationship Id="rId33" Type="http://schemas.openxmlformats.org/officeDocument/2006/relationships/image" Target="media/image14.png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5.png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header" Target="header11.xml" /><Relationship Id="rId4" Type="http://schemas.openxmlformats.org/officeDocument/2006/relationships/image" Target="media/image1.png" /><Relationship Id="rId40" Type="http://schemas.openxmlformats.org/officeDocument/2006/relationships/footer" Target="footer11.xml" /><Relationship Id="rId41" Type="http://schemas.openxmlformats.org/officeDocument/2006/relationships/image" Target="media/image16.png" /><Relationship Id="rId42" Type="http://schemas.openxmlformats.org/officeDocument/2006/relationships/image" Target="media/image17.png" /><Relationship Id="rId43" Type="http://schemas.openxmlformats.org/officeDocument/2006/relationships/header" Target="header12.xml" /><Relationship Id="rId44" Type="http://schemas.openxmlformats.org/officeDocument/2006/relationships/footer" Target="footer12.xml" /><Relationship Id="rId45" Type="http://schemas.openxmlformats.org/officeDocument/2006/relationships/header" Target="header13.xml" /><Relationship Id="rId46" Type="http://schemas.openxmlformats.org/officeDocument/2006/relationships/footer" Target="footer13.xml" /><Relationship Id="rId47" Type="http://schemas.openxmlformats.org/officeDocument/2006/relationships/image" Target="media/image18.png" /><Relationship Id="rId48" Type="http://schemas.openxmlformats.org/officeDocument/2006/relationships/image" Target="media/image19.png" /><Relationship Id="rId49" Type="http://schemas.openxmlformats.org/officeDocument/2006/relationships/image" Target="media/image20.png" /><Relationship Id="rId5" Type="http://schemas.openxmlformats.org/officeDocument/2006/relationships/image" Target="media/image2.png" /><Relationship Id="rId50" Type="http://schemas.openxmlformats.org/officeDocument/2006/relationships/image" Target="media/image21.png" /><Relationship Id="rId51" Type="http://schemas.openxmlformats.org/officeDocument/2006/relationships/image" Target="media/image22.png" /><Relationship Id="rId52" Type="http://schemas.openxmlformats.org/officeDocument/2006/relationships/image" Target="media/image23.png" /><Relationship Id="rId53" Type="http://schemas.openxmlformats.org/officeDocument/2006/relationships/image" Target="media/image24.png" /><Relationship Id="rId54" Type="http://schemas.openxmlformats.org/officeDocument/2006/relationships/image" Target="media/image25.png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image" Target="media/image3.png" /><Relationship Id="rId60" Type="http://schemas.openxmlformats.org/officeDocument/2006/relationships/image" Target="media/image31.png" /><Relationship Id="rId61" Type="http://schemas.openxmlformats.org/officeDocument/2006/relationships/image" Target="media/image32.png" /><Relationship Id="rId62" Type="http://schemas.openxmlformats.org/officeDocument/2006/relationships/image" Target="media/image33.png" /><Relationship Id="rId63" Type="http://schemas.openxmlformats.org/officeDocument/2006/relationships/image" Target="media/image34.png" /><Relationship Id="rId64" Type="http://schemas.openxmlformats.org/officeDocument/2006/relationships/image" Target="media/image35.png" /><Relationship Id="rId65" Type="http://schemas.openxmlformats.org/officeDocument/2006/relationships/image" Target="media/image36.png" /><Relationship Id="rId66" Type="http://schemas.openxmlformats.org/officeDocument/2006/relationships/header" Target="header14.xml" /><Relationship Id="rId67" Type="http://schemas.openxmlformats.org/officeDocument/2006/relationships/footer" Target="footer14.xml" /><Relationship Id="rId68" Type="http://schemas.openxmlformats.org/officeDocument/2006/relationships/image" Target="media/image37.png" /><Relationship Id="rId69" Type="http://schemas.openxmlformats.org/officeDocument/2006/relationships/image" Target="media/image38.png" /><Relationship Id="rId7" Type="http://schemas.openxmlformats.org/officeDocument/2006/relationships/image" Target="media/image4.png" /><Relationship Id="rId70" Type="http://schemas.openxmlformats.org/officeDocument/2006/relationships/image" Target="media/image39.png" /><Relationship Id="rId71" Type="http://schemas.openxmlformats.org/officeDocument/2006/relationships/image" Target="media/image40.png" /><Relationship Id="rId72" Type="http://schemas.openxmlformats.org/officeDocument/2006/relationships/header" Target="header15.xml" /><Relationship Id="rId73" Type="http://schemas.openxmlformats.org/officeDocument/2006/relationships/footer" Target="footer15.xml" /><Relationship Id="rId74" Type="http://schemas.openxmlformats.org/officeDocument/2006/relationships/header" Target="header16.xml" /><Relationship Id="rId75" Type="http://schemas.openxmlformats.org/officeDocument/2006/relationships/footer" Target="footer16.xml" /><Relationship Id="rId76" Type="http://schemas.openxmlformats.org/officeDocument/2006/relationships/image" Target="media/image41.png" /><Relationship Id="rId77" Type="http://schemas.openxmlformats.org/officeDocument/2006/relationships/image" Target="media/image42.png" /><Relationship Id="rId78" Type="http://schemas.openxmlformats.org/officeDocument/2006/relationships/image" Target="media/image43.png" /><Relationship Id="rId79" Type="http://schemas.openxmlformats.org/officeDocument/2006/relationships/image" Target="media/image44.jpeg" /><Relationship Id="rId8" Type="http://schemas.openxmlformats.org/officeDocument/2006/relationships/image" Target="media/image5.png" /><Relationship Id="rId80" Type="http://schemas.openxmlformats.org/officeDocument/2006/relationships/image" Target="media/image45.png" /><Relationship Id="rId81" Type="http://schemas.openxmlformats.org/officeDocument/2006/relationships/image" Target="media/image46.png" /><Relationship Id="rId82" Type="http://schemas.openxmlformats.org/officeDocument/2006/relationships/header" Target="header17.xml" /><Relationship Id="rId83" Type="http://schemas.openxmlformats.org/officeDocument/2006/relationships/footer" Target="footer17.xml" /><Relationship Id="rId84" Type="http://schemas.openxmlformats.org/officeDocument/2006/relationships/header" Target="header18.xml" /><Relationship Id="rId85" Type="http://schemas.openxmlformats.org/officeDocument/2006/relationships/footer" Target="footer18.xml" /><Relationship Id="rId86" Type="http://schemas.openxmlformats.org/officeDocument/2006/relationships/image" Target="media/image47.png" /><Relationship Id="rId87" Type="http://schemas.openxmlformats.org/officeDocument/2006/relationships/image" Target="media/image48.png" /><Relationship Id="rId88" Type="http://schemas.openxmlformats.org/officeDocument/2006/relationships/image" Target="media/image49.png" /><Relationship Id="rId89" Type="http://schemas.openxmlformats.org/officeDocument/2006/relationships/image" Target="media/image50.png" /><Relationship Id="rId9" Type="http://schemas.openxmlformats.org/officeDocument/2006/relationships/image" Target="media/image6.jpeg" /><Relationship Id="rId90" Type="http://schemas.openxmlformats.org/officeDocument/2006/relationships/image" Target="media/image51.png" /><Relationship Id="rId91" Type="http://schemas.openxmlformats.org/officeDocument/2006/relationships/image" Target="media/image52.png" /><Relationship Id="rId92" Type="http://schemas.openxmlformats.org/officeDocument/2006/relationships/image" Target="media/image53.png" /><Relationship Id="rId93" Type="http://schemas.openxmlformats.org/officeDocument/2006/relationships/image" Target="media/image54.png" /><Relationship Id="rId94" Type="http://schemas.openxmlformats.org/officeDocument/2006/relationships/image" Target="media/image55.png" /><Relationship Id="rId95" Type="http://schemas.openxmlformats.org/officeDocument/2006/relationships/image" Target="media/image56.png" /><Relationship Id="rId96" Type="http://schemas.openxmlformats.org/officeDocument/2006/relationships/header" Target="header19.xml" /><Relationship Id="rId97" Type="http://schemas.openxmlformats.org/officeDocument/2006/relationships/footer" Target="footer19.xml" /><Relationship Id="rId98" Type="http://schemas.openxmlformats.org/officeDocument/2006/relationships/image" Target="media/image57.png" /><Relationship Id="rId99" Type="http://schemas.openxmlformats.org/officeDocument/2006/relationships/header" Target="header20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sinitek</dc:creator>
  <cp:revision>0</cp:revision>
  <dcterms:created xsi:type="dcterms:W3CDTF">2024-02-28T21:38:13Z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2024-02-28T22:08:00Z</vt:filetime>
  </property>
  <property fmtid="{D5CDD505-2E9C-101B-9397-08002B2CF9AE}" pid="3" name="CRO">
    <vt:lpwstr>wqlLaW5nc29mdCBQREYgdG8gV1BTIDkw</vt:lpwstr>
  </property>
</Properties>
</file>