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微波和高频波解冻设备项目规划设计蓝图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66" w:history="1">
        <w:r>
          <w:rPr>
            <w:rFonts w:ascii="仿宋" w:eastAsia="仿宋" w:hAnsi="仿宋" w:cs="仿宋" w:hint="eastAsia"/>
            <w:lang w:eastAsia="zh-CN"/>
          </w:rPr>
          <w:t>概论</w:t>
        </w:r>
        <w:r>
          <w:tab/>
        </w:r>
        <w:r>
          <w:fldChar w:fldCharType="begin"/>
        </w:r>
        <w:r>
          <w:instrText xml:space="preserve"> PAGEREF _Toc23266 \h </w:instrText>
        </w:r>
        <w:r>
          <w:fldChar w:fldCharType="separate"/>
        </w:r>
        <w:r>
          <w:t>3</w:t>
        </w:r>
        <w:r>
          <w:fldChar w:fldCharType="end"/>
        </w:r>
      </w:hyperlink>
    </w:p>
    <w:p>
      <w:pPr>
        <w:pStyle w:val="TOC1"/>
        <w:tabs>
          <w:tab w:val="right" w:leader="dot" w:pos="8306"/>
        </w:tabs>
      </w:pPr>
      <w:hyperlink w:anchor="_Toc29618" w:history="1">
        <w:r>
          <w:rPr>
            <w:rFonts w:ascii="仿宋" w:eastAsia="仿宋" w:hAnsi="仿宋" w:cs="仿宋" w:hint="eastAsia"/>
            <w:lang w:eastAsia="zh-CN"/>
          </w:rPr>
          <w:t>一、市场分析、调研</w:t>
        </w:r>
        <w:r>
          <w:tab/>
        </w:r>
        <w:r>
          <w:fldChar w:fldCharType="begin"/>
        </w:r>
        <w:r>
          <w:instrText xml:space="preserve"> PAGEREF _Toc29618 \h </w:instrText>
        </w:r>
        <w:r>
          <w:fldChar w:fldCharType="separate"/>
        </w:r>
        <w:r>
          <w:t>3</w:t>
        </w:r>
        <w:r>
          <w:fldChar w:fldCharType="end"/>
        </w:r>
      </w:hyperlink>
    </w:p>
    <w:p>
      <w:pPr>
        <w:pStyle w:val="TOC2"/>
        <w:tabs>
          <w:tab w:val="right" w:leader="dot" w:pos="8306"/>
        </w:tabs>
      </w:pPr>
      <w:hyperlink w:anchor="_Toc1755" w:history="1">
        <w:r>
          <w:rPr>
            <w:rFonts w:ascii="仿宋" w:eastAsia="仿宋" w:hAnsi="仿宋" w:cs="仿宋" w:hint="eastAsia"/>
            <w:lang w:eastAsia="zh-CN"/>
          </w:rPr>
          <w:t>(一)、微波和高频波解冻设备行业分析</w:t>
        </w:r>
        <w:r>
          <w:tab/>
        </w:r>
        <w:r>
          <w:fldChar w:fldCharType="begin"/>
        </w:r>
        <w:r>
          <w:instrText xml:space="preserve"> PAGEREF _Toc1755 \h </w:instrText>
        </w:r>
        <w:r>
          <w:fldChar w:fldCharType="separate"/>
        </w:r>
        <w:r>
          <w:t>3</w:t>
        </w:r>
        <w:r>
          <w:fldChar w:fldCharType="end"/>
        </w:r>
      </w:hyperlink>
    </w:p>
    <w:p>
      <w:pPr>
        <w:pStyle w:val="TOC2"/>
        <w:tabs>
          <w:tab w:val="right" w:leader="dot" w:pos="8306"/>
        </w:tabs>
      </w:pPr>
      <w:hyperlink w:anchor="_Toc7943" w:history="1">
        <w:r>
          <w:rPr>
            <w:rFonts w:ascii="仿宋" w:eastAsia="仿宋" w:hAnsi="仿宋" w:cs="仿宋" w:hint="eastAsia"/>
            <w:lang w:eastAsia="zh-CN"/>
          </w:rPr>
          <w:t>(二)、微波和高频波解冻设备市场分析预测</w:t>
        </w:r>
        <w:r>
          <w:tab/>
        </w:r>
        <w:r>
          <w:fldChar w:fldCharType="begin"/>
        </w:r>
        <w:r>
          <w:instrText xml:space="preserve"> PAGEREF _Toc7943 \h </w:instrText>
        </w:r>
        <w:r>
          <w:fldChar w:fldCharType="separate"/>
        </w:r>
        <w:r>
          <w:t>4</w:t>
        </w:r>
        <w:r>
          <w:fldChar w:fldCharType="end"/>
        </w:r>
      </w:hyperlink>
    </w:p>
    <w:p>
      <w:pPr>
        <w:pStyle w:val="TOC1"/>
        <w:tabs>
          <w:tab w:val="right" w:leader="dot" w:pos="8306"/>
        </w:tabs>
      </w:pPr>
      <w:hyperlink w:anchor="_Toc25147" w:history="1">
        <w:r>
          <w:rPr>
            <w:rFonts w:ascii="仿宋" w:eastAsia="仿宋" w:hAnsi="仿宋" w:cs="仿宋" w:hint="eastAsia"/>
            <w:lang w:eastAsia="zh-CN"/>
          </w:rPr>
          <w:t>二、微波和高频波解冻设备项目建设背景及必要性分析</w:t>
        </w:r>
        <w:r>
          <w:tab/>
        </w:r>
        <w:r>
          <w:fldChar w:fldCharType="begin"/>
        </w:r>
        <w:r>
          <w:instrText xml:space="preserve"> PAGEREF _Toc25147 \h </w:instrText>
        </w:r>
        <w:r>
          <w:fldChar w:fldCharType="separate"/>
        </w:r>
        <w:r>
          <w:t>5</w:t>
        </w:r>
        <w:r>
          <w:fldChar w:fldCharType="end"/>
        </w:r>
      </w:hyperlink>
    </w:p>
    <w:p>
      <w:pPr>
        <w:pStyle w:val="TOC2"/>
        <w:tabs>
          <w:tab w:val="right" w:leader="dot" w:pos="8306"/>
        </w:tabs>
      </w:pPr>
      <w:hyperlink w:anchor="_Toc13163" w:history="1">
        <w:r>
          <w:rPr>
            <w:rFonts w:ascii="仿宋" w:eastAsia="仿宋" w:hAnsi="仿宋" w:cs="仿宋" w:hint="eastAsia"/>
            <w:lang w:eastAsia="zh-CN"/>
          </w:rPr>
          <w:t>(一)、微波和高频波解冻设备项目背景分析</w:t>
        </w:r>
        <w:r>
          <w:tab/>
        </w:r>
        <w:r>
          <w:fldChar w:fldCharType="begin"/>
        </w:r>
        <w:r>
          <w:instrText xml:space="preserve"> PAGEREF _Toc13163 \h </w:instrText>
        </w:r>
        <w:r>
          <w:fldChar w:fldCharType="separate"/>
        </w:r>
        <w:r>
          <w:t>5</w:t>
        </w:r>
        <w:r>
          <w:fldChar w:fldCharType="end"/>
        </w:r>
      </w:hyperlink>
    </w:p>
    <w:p>
      <w:pPr>
        <w:pStyle w:val="TOC2"/>
        <w:tabs>
          <w:tab w:val="right" w:leader="dot" w:pos="8306"/>
        </w:tabs>
      </w:pPr>
      <w:hyperlink w:anchor="_Toc30118" w:history="1">
        <w:r>
          <w:rPr>
            <w:rFonts w:ascii="仿宋" w:eastAsia="仿宋" w:hAnsi="仿宋" w:cs="仿宋" w:hint="eastAsia"/>
            <w:lang w:eastAsia="zh-CN"/>
          </w:rPr>
          <w:t>(二)、微波和高频波解冻设备项目建设必要性分析</w:t>
        </w:r>
        <w:r>
          <w:tab/>
        </w:r>
        <w:r>
          <w:fldChar w:fldCharType="begin"/>
        </w:r>
        <w:r>
          <w:instrText xml:space="preserve"> PAGEREF _Toc30118 \h </w:instrText>
        </w:r>
        <w:r>
          <w:fldChar w:fldCharType="separate"/>
        </w:r>
        <w:r>
          <w:t>6</w:t>
        </w:r>
        <w:r>
          <w:fldChar w:fldCharType="end"/>
        </w:r>
      </w:hyperlink>
    </w:p>
    <w:p>
      <w:pPr>
        <w:pStyle w:val="TOC1"/>
        <w:tabs>
          <w:tab w:val="right" w:leader="dot" w:pos="8306"/>
        </w:tabs>
      </w:pPr>
      <w:hyperlink w:anchor="_Toc15103" w:history="1">
        <w:r>
          <w:rPr>
            <w:rFonts w:ascii="仿宋" w:eastAsia="仿宋" w:hAnsi="仿宋" w:cs="仿宋" w:hint="eastAsia"/>
            <w:lang w:eastAsia="zh-CN"/>
          </w:rPr>
          <w:t>三、微波和高频波解冻设备项目文档管理</w:t>
        </w:r>
        <w:r>
          <w:tab/>
        </w:r>
        <w:r>
          <w:fldChar w:fldCharType="begin"/>
        </w:r>
        <w:r>
          <w:instrText xml:space="preserve"> PAGEREF _Toc15103 \h </w:instrText>
        </w:r>
        <w:r>
          <w:fldChar w:fldCharType="separate"/>
        </w:r>
        <w:r>
          <w:t>8</w:t>
        </w:r>
        <w:r>
          <w:fldChar w:fldCharType="end"/>
        </w:r>
      </w:hyperlink>
    </w:p>
    <w:p>
      <w:pPr>
        <w:pStyle w:val="TOC2"/>
        <w:tabs>
          <w:tab w:val="right" w:leader="dot" w:pos="8306"/>
        </w:tabs>
      </w:pPr>
      <w:hyperlink w:anchor="_Toc32391" w:history="1">
        <w:r>
          <w:rPr>
            <w:rFonts w:ascii="仿宋" w:eastAsia="仿宋" w:hAnsi="仿宋" w:cs="仿宋" w:hint="eastAsia"/>
            <w:lang w:eastAsia="zh-CN"/>
          </w:rPr>
          <w:t>(一)、文档编制与审查</w:t>
        </w:r>
        <w:r>
          <w:tab/>
        </w:r>
        <w:r>
          <w:fldChar w:fldCharType="begin"/>
        </w:r>
        <w:r>
          <w:instrText xml:space="preserve"> PAGEREF _Toc32391 \h </w:instrText>
        </w:r>
        <w:r>
          <w:fldChar w:fldCharType="separate"/>
        </w:r>
        <w:r>
          <w:t>8</w:t>
        </w:r>
        <w:r>
          <w:fldChar w:fldCharType="end"/>
        </w:r>
      </w:hyperlink>
    </w:p>
    <w:p>
      <w:pPr>
        <w:pStyle w:val="TOC2"/>
        <w:tabs>
          <w:tab w:val="right" w:leader="dot" w:pos="8306"/>
        </w:tabs>
      </w:pPr>
      <w:hyperlink w:anchor="_Toc4649" w:history="1">
        <w:r>
          <w:rPr>
            <w:rFonts w:ascii="仿宋" w:eastAsia="仿宋" w:hAnsi="仿宋" w:cs="仿宋" w:hint="eastAsia"/>
            <w:lang w:eastAsia="zh-CN"/>
          </w:rPr>
          <w:t>(二)、文档发布与分发</w:t>
        </w:r>
        <w:r>
          <w:tab/>
        </w:r>
        <w:r>
          <w:fldChar w:fldCharType="begin"/>
        </w:r>
        <w:r>
          <w:instrText xml:space="preserve"> PAGEREF _Toc4649 \h </w:instrText>
        </w:r>
        <w:r>
          <w:fldChar w:fldCharType="separate"/>
        </w:r>
        <w:r>
          <w:t>9</w:t>
        </w:r>
        <w:r>
          <w:fldChar w:fldCharType="end"/>
        </w:r>
      </w:hyperlink>
    </w:p>
    <w:p>
      <w:pPr>
        <w:pStyle w:val="TOC2"/>
        <w:tabs>
          <w:tab w:val="right" w:leader="dot" w:pos="8306"/>
        </w:tabs>
      </w:pPr>
      <w:hyperlink w:anchor="_Toc12736" w:history="1">
        <w:r>
          <w:rPr>
            <w:rFonts w:ascii="仿宋" w:eastAsia="仿宋" w:hAnsi="仿宋" w:cs="仿宋" w:hint="eastAsia"/>
            <w:lang w:eastAsia="zh-CN"/>
          </w:rPr>
          <w:t>(三)、文档存档与归档</w:t>
        </w:r>
        <w:r>
          <w:tab/>
        </w:r>
        <w:r>
          <w:fldChar w:fldCharType="begin"/>
        </w:r>
        <w:r>
          <w:instrText xml:space="preserve"> PAGEREF _Toc12736 \h </w:instrText>
        </w:r>
        <w:r>
          <w:fldChar w:fldCharType="separate"/>
        </w:r>
        <w:r>
          <w:t>10</w:t>
        </w:r>
        <w:r>
          <w:fldChar w:fldCharType="end"/>
        </w:r>
      </w:hyperlink>
    </w:p>
    <w:p>
      <w:pPr>
        <w:pStyle w:val="TOC1"/>
        <w:tabs>
          <w:tab w:val="right" w:leader="dot" w:pos="8306"/>
        </w:tabs>
      </w:pPr>
      <w:hyperlink w:anchor="_Toc9205" w:history="1">
        <w:r>
          <w:rPr>
            <w:rFonts w:ascii="仿宋" w:eastAsia="仿宋" w:hAnsi="仿宋" w:cs="仿宋" w:hint="eastAsia"/>
            <w:lang w:eastAsia="zh-CN"/>
          </w:rPr>
          <w:t>四、微波和高频波解冻设备项目可持续发展</w:t>
        </w:r>
        <w:r>
          <w:tab/>
        </w:r>
        <w:r>
          <w:fldChar w:fldCharType="begin"/>
        </w:r>
        <w:r>
          <w:instrText xml:space="preserve"> PAGEREF _Toc9205 \h </w:instrText>
        </w:r>
        <w:r>
          <w:fldChar w:fldCharType="separate"/>
        </w:r>
        <w:r>
          <w:t>11</w:t>
        </w:r>
        <w:r>
          <w:fldChar w:fldCharType="end"/>
        </w:r>
      </w:hyperlink>
    </w:p>
    <w:p>
      <w:pPr>
        <w:pStyle w:val="TOC2"/>
        <w:tabs>
          <w:tab w:val="right" w:leader="dot" w:pos="8306"/>
        </w:tabs>
      </w:pPr>
      <w:hyperlink w:anchor="_Toc31005" w:history="1">
        <w:r>
          <w:rPr>
            <w:rFonts w:ascii="仿宋" w:eastAsia="仿宋" w:hAnsi="仿宋" w:cs="仿宋" w:hint="eastAsia"/>
            <w:lang w:eastAsia="zh-CN"/>
          </w:rPr>
          <w:t>(一)、可持续战略与实践</w:t>
        </w:r>
        <w:r>
          <w:tab/>
        </w:r>
        <w:r>
          <w:fldChar w:fldCharType="begin"/>
        </w:r>
        <w:r>
          <w:instrText xml:space="preserve"> PAGEREF _Toc31005 \h </w:instrText>
        </w:r>
        <w:r>
          <w:fldChar w:fldCharType="separate"/>
        </w:r>
        <w:r>
          <w:t>11</w:t>
        </w:r>
        <w:r>
          <w:fldChar w:fldCharType="end"/>
        </w:r>
      </w:hyperlink>
    </w:p>
    <w:p>
      <w:pPr>
        <w:pStyle w:val="TOC2"/>
        <w:tabs>
          <w:tab w:val="right" w:leader="dot" w:pos="8306"/>
        </w:tabs>
      </w:pPr>
      <w:hyperlink w:anchor="_Toc23101" w:history="1">
        <w:r>
          <w:rPr>
            <w:rFonts w:ascii="仿宋" w:eastAsia="仿宋" w:hAnsi="仿宋" w:cs="仿宋" w:hint="eastAsia"/>
            <w:lang w:eastAsia="zh-CN"/>
          </w:rPr>
          <w:t>(二)、环保与社会责任</w:t>
        </w:r>
        <w:r>
          <w:tab/>
        </w:r>
        <w:r>
          <w:fldChar w:fldCharType="begin"/>
        </w:r>
        <w:r>
          <w:instrText xml:space="preserve"> PAGEREF _Toc23101 \h </w:instrText>
        </w:r>
        <w:r>
          <w:fldChar w:fldCharType="separate"/>
        </w:r>
        <w:r>
          <w:t>12</w:t>
        </w:r>
        <w:r>
          <w:fldChar w:fldCharType="end"/>
        </w:r>
      </w:hyperlink>
    </w:p>
    <w:p>
      <w:pPr>
        <w:pStyle w:val="TOC1"/>
        <w:tabs>
          <w:tab w:val="right" w:leader="dot" w:pos="8306"/>
        </w:tabs>
      </w:pPr>
      <w:hyperlink w:anchor="_Toc10567" w:history="1">
        <w:r>
          <w:rPr>
            <w:rFonts w:ascii="仿宋" w:eastAsia="仿宋" w:hAnsi="仿宋" w:cs="仿宋" w:hint="eastAsia"/>
            <w:lang w:eastAsia="zh-CN"/>
          </w:rPr>
          <w:t>五、微波和高频波解冻设备项目危机管理</w:t>
        </w:r>
        <w:r>
          <w:tab/>
        </w:r>
        <w:r>
          <w:fldChar w:fldCharType="begin"/>
        </w:r>
        <w:r>
          <w:instrText xml:space="preserve"> PAGEREF _Toc10567 \h </w:instrText>
        </w:r>
        <w:r>
          <w:fldChar w:fldCharType="separate"/>
        </w:r>
        <w:r>
          <w:t>13</w:t>
        </w:r>
        <w:r>
          <w:fldChar w:fldCharType="end"/>
        </w:r>
      </w:hyperlink>
    </w:p>
    <w:p>
      <w:pPr>
        <w:pStyle w:val="TOC2"/>
        <w:tabs>
          <w:tab w:val="right" w:leader="dot" w:pos="8306"/>
        </w:tabs>
      </w:pPr>
      <w:hyperlink w:anchor="_Toc26714" w:history="1">
        <w:r>
          <w:rPr>
            <w:rFonts w:ascii="仿宋" w:eastAsia="仿宋" w:hAnsi="仿宋" w:cs="仿宋" w:hint="eastAsia"/>
            <w:lang w:eastAsia="zh-CN"/>
          </w:rPr>
          <w:t>(一)、危机预警与识别</w:t>
        </w:r>
        <w:r>
          <w:tab/>
        </w:r>
        <w:r>
          <w:fldChar w:fldCharType="begin"/>
        </w:r>
        <w:r>
          <w:instrText xml:space="preserve"> PAGEREF _Toc26714 \h </w:instrText>
        </w:r>
        <w:r>
          <w:fldChar w:fldCharType="separate"/>
        </w:r>
        <w:r>
          <w:t>13</w:t>
        </w:r>
        <w:r>
          <w:fldChar w:fldCharType="end"/>
        </w:r>
      </w:hyperlink>
    </w:p>
    <w:p>
      <w:pPr>
        <w:pStyle w:val="TOC2"/>
        <w:tabs>
          <w:tab w:val="right" w:leader="dot" w:pos="8306"/>
        </w:tabs>
      </w:pPr>
      <w:hyperlink w:anchor="_Toc23612" w:history="1">
        <w:r>
          <w:rPr>
            <w:rFonts w:ascii="仿宋" w:eastAsia="仿宋" w:hAnsi="仿宋" w:cs="仿宋" w:hint="eastAsia"/>
            <w:lang w:eastAsia="zh-CN"/>
          </w:rPr>
          <w:t>(二)、危机应对与恢复</w:t>
        </w:r>
        <w:r>
          <w:tab/>
        </w:r>
        <w:r>
          <w:fldChar w:fldCharType="begin"/>
        </w:r>
        <w:r>
          <w:instrText xml:space="preserve"> PAGEREF _Toc23612 \h </w:instrText>
        </w:r>
        <w:r>
          <w:fldChar w:fldCharType="separate"/>
        </w:r>
        <w:r>
          <w:t>14</w:t>
        </w:r>
        <w:r>
          <w:fldChar w:fldCharType="end"/>
        </w:r>
      </w:hyperlink>
    </w:p>
    <w:p>
      <w:pPr>
        <w:pStyle w:val="TOC1"/>
        <w:tabs>
          <w:tab w:val="right" w:leader="dot" w:pos="8306"/>
        </w:tabs>
      </w:pPr>
      <w:hyperlink w:anchor="_Toc3126" w:history="1">
        <w:r>
          <w:rPr>
            <w:rFonts w:ascii="仿宋" w:eastAsia="仿宋" w:hAnsi="仿宋" w:cs="仿宋" w:hint="eastAsia"/>
            <w:lang w:eastAsia="zh-CN"/>
          </w:rPr>
          <w:t>六、微波和高频波解冻设备项目选址可行性分析</w:t>
        </w:r>
        <w:r>
          <w:tab/>
        </w:r>
        <w:r>
          <w:fldChar w:fldCharType="begin"/>
        </w:r>
        <w:r>
          <w:instrText xml:space="preserve"> PAGEREF _Toc3126 \h </w:instrText>
        </w:r>
        <w:r>
          <w:fldChar w:fldCharType="separate"/>
        </w:r>
        <w:r>
          <w:t>16</w:t>
        </w:r>
        <w:r>
          <w:fldChar w:fldCharType="end"/>
        </w:r>
      </w:hyperlink>
    </w:p>
    <w:p>
      <w:pPr>
        <w:pStyle w:val="TOC2"/>
        <w:tabs>
          <w:tab w:val="right" w:leader="dot" w:pos="8306"/>
        </w:tabs>
      </w:pPr>
      <w:hyperlink w:anchor="_Toc15513" w:history="1">
        <w:r>
          <w:rPr>
            <w:rFonts w:ascii="仿宋" w:eastAsia="仿宋" w:hAnsi="仿宋" w:cs="仿宋" w:hint="eastAsia"/>
            <w:lang w:eastAsia="zh-CN"/>
          </w:rPr>
          <w:t>(一)、微波和高频波解冻设备项目选址</w:t>
        </w:r>
        <w:r>
          <w:tab/>
        </w:r>
        <w:r>
          <w:fldChar w:fldCharType="begin"/>
        </w:r>
        <w:r>
          <w:instrText xml:space="preserve"> PAGEREF _Toc15513 \h </w:instrText>
        </w:r>
        <w:r>
          <w:fldChar w:fldCharType="separate"/>
        </w:r>
        <w:r>
          <w:t>16</w:t>
        </w:r>
        <w:r>
          <w:fldChar w:fldCharType="end"/>
        </w:r>
      </w:hyperlink>
    </w:p>
    <w:p>
      <w:pPr>
        <w:pStyle w:val="TOC2"/>
        <w:tabs>
          <w:tab w:val="right" w:leader="dot" w:pos="8306"/>
        </w:tabs>
      </w:pPr>
      <w:hyperlink w:anchor="_Toc233" w:history="1">
        <w:r>
          <w:rPr>
            <w:rFonts w:ascii="仿宋" w:eastAsia="仿宋" w:hAnsi="仿宋" w:cs="仿宋" w:hint="eastAsia"/>
            <w:lang w:eastAsia="zh-CN"/>
          </w:rPr>
          <w:t>(二)、用地控制指标</w:t>
        </w:r>
        <w:r>
          <w:tab/>
        </w:r>
        <w:r>
          <w:fldChar w:fldCharType="begin"/>
        </w:r>
        <w:r>
          <w:instrText xml:space="preserve"> PAGEREF _Toc233 \h </w:instrText>
        </w:r>
        <w:r>
          <w:fldChar w:fldCharType="separate"/>
        </w:r>
        <w:r>
          <w:t>16</w:t>
        </w:r>
        <w:r>
          <w:fldChar w:fldCharType="end"/>
        </w:r>
      </w:hyperlink>
    </w:p>
    <w:p>
      <w:pPr>
        <w:pStyle w:val="TOC2"/>
        <w:tabs>
          <w:tab w:val="right" w:leader="dot" w:pos="8306"/>
        </w:tabs>
      </w:pPr>
      <w:hyperlink w:anchor="_Toc12353" w:history="1">
        <w:r>
          <w:rPr>
            <w:rFonts w:ascii="仿宋" w:eastAsia="仿宋" w:hAnsi="仿宋" w:cs="仿宋" w:hint="eastAsia"/>
            <w:lang w:eastAsia="zh-CN"/>
          </w:rPr>
          <w:t>(三)、节约用地措施</w:t>
        </w:r>
        <w:r>
          <w:tab/>
        </w:r>
        <w:r>
          <w:fldChar w:fldCharType="begin"/>
        </w:r>
        <w:r>
          <w:instrText xml:space="preserve"> PAGEREF _Toc12353 \h </w:instrText>
        </w:r>
        <w:r>
          <w:fldChar w:fldCharType="separate"/>
        </w:r>
        <w:r>
          <w:t>18</w:t>
        </w:r>
        <w:r>
          <w:fldChar w:fldCharType="end"/>
        </w:r>
      </w:hyperlink>
    </w:p>
    <w:p>
      <w:pPr>
        <w:pStyle w:val="TOC2"/>
        <w:tabs>
          <w:tab w:val="right" w:leader="dot" w:pos="8306"/>
        </w:tabs>
      </w:pPr>
      <w:hyperlink w:anchor="_Toc30541" w:history="1">
        <w:r>
          <w:rPr>
            <w:rFonts w:ascii="仿宋" w:eastAsia="仿宋" w:hAnsi="仿宋" w:cs="仿宋" w:hint="eastAsia"/>
            <w:lang w:eastAsia="zh-CN"/>
          </w:rPr>
          <w:t>(四)、总图布置方案</w:t>
        </w:r>
        <w:r>
          <w:tab/>
        </w:r>
        <w:r>
          <w:fldChar w:fldCharType="begin"/>
        </w:r>
        <w:r>
          <w:instrText xml:space="preserve"> PAGEREF _Toc30541 \h </w:instrText>
        </w:r>
        <w:r>
          <w:fldChar w:fldCharType="separate"/>
        </w:r>
        <w:r>
          <w:t>19</w:t>
        </w:r>
        <w:r>
          <w:fldChar w:fldCharType="end"/>
        </w:r>
      </w:hyperlink>
    </w:p>
    <w:p>
      <w:pPr>
        <w:pStyle w:val="TOC2"/>
        <w:tabs>
          <w:tab w:val="right" w:leader="dot" w:pos="8306"/>
        </w:tabs>
      </w:pPr>
      <w:hyperlink w:anchor="_Toc1313" w:history="1">
        <w:r>
          <w:rPr>
            <w:rFonts w:ascii="仿宋" w:eastAsia="仿宋" w:hAnsi="仿宋" w:cs="仿宋" w:hint="eastAsia"/>
            <w:lang w:eastAsia="zh-CN"/>
          </w:rPr>
          <w:t>(五)、选址综合评价</w:t>
        </w:r>
        <w:r>
          <w:tab/>
        </w:r>
        <w:r>
          <w:fldChar w:fldCharType="begin"/>
        </w:r>
        <w:r>
          <w:instrText xml:space="preserve"> PAGEREF _Toc1313 \h </w:instrText>
        </w:r>
        <w:r>
          <w:fldChar w:fldCharType="separate"/>
        </w:r>
        <w:r>
          <w:t>20</w:t>
        </w:r>
        <w:r>
          <w:fldChar w:fldCharType="end"/>
        </w:r>
      </w:hyperlink>
    </w:p>
    <w:p>
      <w:pPr>
        <w:pStyle w:val="TOC1"/>
        <w:tabs>
          <w:tab w:val="right" w:leader="dot" w:pos="8306"/>
        </w:tabs>
      </w:pPr>
      <w:hyperlink w:anchor="_Toc19501" w:history="1">
        <w:r>
          <w:rPr>
            <w:rFonts w:ascii="仿宋" w:eastAsia="仿宋" w:hAnsi="仿宋" w:cs="仿宋" w:hint="eastAsia"/>
            <w:lang w:eastAsia="zh-CN"/>
          </w:rPr>
          <w:t>七、生产安全保护</w:t>
        </w:r>
        <w:r>
          <w:tab/>
        </w:r>
        <w:r>
          <w:fldChar w:fldCharType="begin"/>
        </w:r>
        <w:r>
          <w:instrText xml:space="preserve"> PAGEREF _Toc19501 \h </w:instrText>
        </w:r>
        <w:r>
          <w:fldChar w:fldCharType="separate"/>
        </w:r>
        <w:r>
          <w:t>22</w:t>
        </w:r>
        <w:r>
          <w:fldChar w:fldCharType="end"/>
        </w:r>
      </w:hyperlink>
    </w:p>
    <w:p>
      <w:pPr>
        <w:pStyle w:val="TOC2"/>
        <w:tabs>
          <w:tab w:val="right" w:leader="dot" w:pos="8306"/>
        </w:tabs>
      </w:pPr>
      <w:hyperlink w:anchor="_Toc6429" w:history="1">
        <w:r>
          <w:rPr>
            <w:rFonts w:ascii="仿宋" w:eastAsia="仿宋" w:hAnsi="仿宋" w:cs="仿宋" w:hint="eastAsia"/>
            <w:lang w:eastAsia="zh-CN"/>
          </w:rPr>
          <w:t>(一)、消防安全</w:t>
        </w:r>
        <w:r>
          <w:tab/>
        </w:r>
        <w:r>
          <w:fldChar w:fldCharType="begin"/>
        </w:r>
        <w:r>
          <w:instrText xml:space="preserve"> PAGEREF _Toc6429 \h </w:instrText>
        </w:r>
        <w:r>
          <w:fldChar w:fldCharType="separate"/>
        </w:r>
        <w:r>
          <w:t>22</w:t>
        </w:r>
        <w:r>
          <w:fldChar w:fldCharType="end"/>
        </w:r>
      </w:hyperlink>
    </w:p>
    <w:p>
      <w:pPr>
        <w:pStyle w:val="TOC2"/>
        <w:tabs>
          <w:tab w:val="right" w:leader="dot" w:pos="8306"/>
        </w:tabs>
      </w:pPr>
      <w:hyperlink w:anchor="_Toc12544" w:history="1">
        <w:r>
          <w:rPr>
            <w:rFonts w:ascii="仿宋" w:eastAsia="仿宋" w:hAnsi="仿宋" w:cs="仿宋" w:hint="eastAsia"/>
            <w:lang w:eastAsia="zh-CN"/>
          </w:rPr>
          <w:t>(二)、防火防爆总图布置措施</w:t>
        </w:r>
        <w:r>
          <w:tab/>
        </w:r>
        <w:r>
          <w:fldChar w:fldCharType="begin"/>
        </w:r>
        <w:r>
          <w:instrText xml:space="preserve"> PAGEREF _Toc12544 \h </w:instrText>
        </w:r>
        <w:r>
          <w:fldChar w:fldCharType="separate"/>
        </w:r>
        <w:r>
          <w:t>23</w:t>
        </w:r>
        <w:r>
          <w:fldChar w:fldCharType="end"/>
        </w:r>
      </w:hyperlink>
    </w:p>
    <w:p>
      <w:pPr>
        <w:pStyle w:val="TOC2"/>
        <w:tabs>
          <w:tab w:val="right" w:leader="dot" w:pos="8306"/>
        </w:tabs>
      </w:pPr>
      <w:hyperlink w:anchor="_Toc32369" w:history="1">
        <w:r>
          <w:rPr>
            <w:rFonts w:ascii="仿宋" w:eastAsia="仿宋" w:hAnsi="仿宋" w:cs="仿宋" w:hint="eastAsia"/>
            <w:lang w:eastAsia="zh-CN"/>
          </w:rPr>
          <w:t>(三)、自然灾害防范措施</w:t>
        </w:r>
        <w:r>
          <w:tab/>
        </w:r>
        <w:r>
          <w:fldChar w:fldCharType="begin"/>
        </w:r>
        <w:r>
          <w:instrText xml:space="preserve"> PAGEREF _Toc32369 \h </w:instrText>
        </w:r>
        <w:r>
          <w:fldChar w:fldCharType="separate"/>
        </w:r>
        <w:r>
          <w:t>24</w:t>
        </w:r>
        <w:r>
          <w:fldChar w:fldCharType="end"/>
        </w:r>
      </w:hyperlink>
    </w:p>
    <w:p>
      <w:pPr>
        <w:pStyle w:val="TOC2"/>
        <w:tabs>
          <w:tab w:val="right" w:leader="dot" w:pos="8306"/>
        </w:tabs>
      </w:pPr>
      <w:hyperlink w:anchor="_Toc25412" w:history="1">
        <w:r>
          <w:rPr>
            <w:rFonts w:ascii="仿宋" w:eastAsia="仿宋" w:hAnsi="仿宋" w:cs="仿宋" w:hint="eastAsia"/>
            <w:lang w:eastAsia="zh-CN"/>
          </w:rPr>
          <w:t>(四)、安全色及安全标志使用要求</w:t>
        </w:r>
        <w:r>
          <w:tab/>
        </w:r>
        <w:r>
          <w:fldChar w:fldCharType="begin"/>
        </w:r>
        <w:r>
          <w:instrText xml:space="preserve"> PAGEREF _Toc25412 \h </w:instrText>
        </w:r>
        <w:r>
          <w:fldChar w:fldCharType="separate"/>
        </w:r>
        <w:r>
          <w:t>25</w:t>
        </w:r>
        <w:r>
          <w:fldChar w:fldCharType="end"/>
        </w:r>
      </w:hyperlink>
    </w:p>
    <w:p>
      <w:pPr>
        <w:pStyle w:val="TOC2"/>
        <w:tabs>
          <w:tab w:val="right" w:leader="dot" w:pos="8306"/>
        </w:tabs>
      </w:pPr>
      <w:hyperlink w:anchor="_Toc26631" w:history="1">
        <w:r>
          <w:rPr>
            <w:rFonts w:ascii="仿宋" w:eastAsia="仿宋" w:hAnsi="仿宋" w:cs="仿宋" w:hint="eastAsia"/>
            <w:lang w:eastAsia="zh-CN"/>
          </w:rPr>
          <w:t>(五)、防尘防毒措施</w:t>
        </w:r>
        <w:r>
          <w:tab/>
        </w:r>
        <w:r>
          <w:fldChar w:fldCharType="begin"/>
        </w:r>
        <w:r>
          <w:instrText xml:space="preserve"> PAGEREF _Toc26631 \h </w:instrText>
        </w:r>
        <w:r>
          <w:fldChar w:fldCharType="separate"/>
        </w:r>
        <w:r>
          <w:t>26</w:t>
        </w:r>
        <w:r>
          <w:fldChar w:fldCharType="end"/>
        </w:r>
      </w:hyperlink>
    </w:p>
    <w:p>
      <w:pPr>
        <w:pStyle w:val="TOC2"/>
        <w:tabs>
          <w:tab w:val="right" w:leader="dot" w:pos="8306"/>
        </w:tabs>
      </w:pPr>
      <w:hyperlink w:anchor="_Toc12284" w:history="1">
        <w:r>
          <w:rPr>
            <w:rFonts w:ascii="仿宋" w:eastAsia="仿宋" w:hAnsi="仿宋" w:cs="仿宋" w:hint="eastAsia"/>
            <w:lang w:eastAsia="zh-CN"/>
          </w:rPr>
          <w:t>(六)、防静电、触电防护及防雷措施</w:t>
        </w:r>
        <w:r>
          <w:tab/>
        </w:r>
        <w:r>
          <w:fldChar w:fldCharType="begin"/>
        </w:r>
        <w:r>
          <w:instrText xml:space="preserve"> PAGEREF _Toc12284 \h </w:instrText>
        </w:r>
        <w:r>
          <w:fldChar w:fldCharType="separate"/>
        </w:r>
        <w:r>
          <w:t>27</w:t>
        </w:r>
        <w:r>
          <w:fldChar w:fldCharType="end"/>
        </w:r>
      </w:hyperlink>
    </w:p>
    <w:p>
      <w:pPr>
        <w:pStyle w:val="TOC2"/>
        <w:tabs>
          <w:tab w:val="right" w:leader="dot" w:pos="8306"/>
        </w:tabs>
      </w:pPr>
      <w:hyperlink w:anchor="_Toc17809" w:history="1">
        <w:r>
          <w:rPr>
            <w:rFonts w:ascii="仿宋" w:eastAsia="仿宋" w:hAnsi="仿宋" w:cs="仿宋" w:hint="eastAsia"/>
            <w:lang w:eastAsia="zh-CN"/>
          </w:rPr>
          <w:t>(七)、机械设备安全保障措施</w:t>
        </w:r>
        <w:r>
          <w:tab/>
        </w:r>
        <w:r>
          <w:fldChar w:fldCharType="begin"/>
        </w:r>
        <w:r>
          <w:instrText xml:space="preserve"> PAGEREF _Toc17809 \h </w:instrText>
        </w:r>
        <w:r>
          <w:fldChar w:fldCharType="separate"/>
        </w:r>
        <w:r>
          <w:t>29</w:t>
        </w:r>
        <w:r>
          <w:fldChar w:fldCharType="end"/>
        </w:r>
      </w:hyperlink>
    </w:p>
    <w:p>
      <w:pPr>
        <w:pStyle w:val="TOC1"/>
        <w:tabs>
          <w:tab w:val="right" w:leader="dot" w:pos="8306"/>
        </w:tabs>
      </w:pPr>
      <w:hyperlink w:anchor="_Toc11234" w:history="1">
        <w:r>
          <w:rPr>
            <w:rFonts w:ascii="仿宋" w:eastAsia="仿宋" w:hAnsi="仿宋" w:cs="仿宋" w:hint="eastAsia"/>
            <w:lang w:eastAsia="zh-CN"/>
          </w:rPr>
          <w:t>八、微波和高频波解冻设备项目投资规划</w:t>
        </w:r>
        <w:r>
          <w:tab/>
        </w:r>
        <w:r>
          <w:fldChar w:fldCharType="begin"/>
        </w:r>
        <w:r>
          <w:instrText xml:space="preserve"> PAGEREF _Toc11234 \h </w:instrText>
        </w:r>
        <w:r>
          <w:fldChar w:fldCharType="separate"/>
        </w:r>
        <w:r>
          <w:t>30</w:t>
        </w:r>
        <w:r>
          <w:fldChar w:fldCharType="end"/>
        </w:r>
      </w:hyperlink>
    </w:p>
    <w:p>
      <w:pPr>
        <w:pStyle w:val="TOC2"/>
        <w:tabs>
          <w:tab w:val="right" w:leader="dot" w:pos="8306"/>
        </w:tabs>
      </w:pPr>
      <w:hyperlink w:anchor="_Toc30062" w:history="1">
        <w:r>
          <w:rPr>
            <w:rFonts w:ascii="仿宋" w:eastAsia="仿宋" w:hAnsi="仿宋" w:cs="仿宋" w:hint="eastAsia"/>
            <w:lang w:eastAsia="zh-CN"/>
          </w:rPr>
          <w:t>(一)、微波和高频波解冻设备项目总投资估算</w:t>
        </w:r>
        <w:r>
          <w:tab/>
        </w:r>
        <w:r>
          <w:fldChar w:fldCharType="begin"/>
        </w:r>
        <w:r>
          <w:instrText xml:space="preserve"> PAGEREF _Toc30062 \h </w:instrText>
        </w:r>
        <w:r>
          <w:fldChar w:fldCharType="separate"/>
        </w:r>
        <w:r>
          <w:t>30</w:t>
        </w:r>
        <w:r>
          <w:fldChar w:fldCharType="end"/>
        </w:r>
      </w:hyperlink>
    </w:p>
    <w:p>
      <w:pPr>
        <w:pStyle w:val="TOC2"/>
        <w:tabs>
          <w:tab w:val="right" w:leader="dot" w:pos="8306"/>
        </w:tabs>
      </w:pPr>
      <w:hyperlink w:anchor="_Toc3648" w:history="1">
        <w:r>
          <w:rPr>
            <w:rFonts w:ascii="仿宋" w:eastAsia="仿宋" w:hAnsi="仿宋" w:cs="仿宋" w:hint="eastAsia"/>
            <w:lang w:eastAsia="zh-CN"/>
          </w:rPr>
          <w:t>(二)、资金筹措</w:t>
        </w:r>
        <w:r>
          <w:tab/>
        </w:r>
        <w:r>
          <w:fldChar w:fldCharType="begin"/>
        </w:r>
        <w:r>
          <w:instrText xml:space="preserve"> PAGEREF _Toc3648 \h </w:instrText>
        </w:r>
        <w:r>
          <w:fldChar w:fldCharType="separate"/>
        </w:r>
        <w:r>
          <w:t>32</w:t>
        </w:r>
        <w:r>
          <w:fldChar w:fldCharType="end"/>
        </w:r>
      </w:hyperlink>
    </w:p>
    <w:p>
      <w:pPr>
        <w:pStyle w:val="TOC1"/>
        <w:tabs>
          <w:tab w:val="right" w:leader="dot" w:pos="8306"/>
        </w:tabs>
      </w:pPr>
      <w:hyperlink w:anchor="_Toc25239" w:history="1">
        <w:r>
          <w:rPr>
            <w:rFonts w:ascii="仿宋" w:eastAsia="仿宋" w:hAnsi="仿宋" w:cs="仿宋" w:hint="eastAsia"/>
            <w:lang w:eastAsia="zh-CN"/>
          </w:rPr>
          <w:t>九、微波和高频波解冻设备项目财务管理</w:t>
        </w:r>
        <w:r>
          <w:tab/>
        </w:r>
        <w:r>
          <w:fldChar w:fldCharType="begin"/>
        </w:r>
        <w:r>
          <w:instrText xml:space="preserve"> PAGEREF _Toc25239 \h </w:instrText>
        </w:r>
        <w:r>
          <w:fldChar w:fldCharType="separate"/>
        </w:r>
        <w:r>
          <w:t>32</w:t>
        </w:r>
        <w:r>
          <w:fldChar w:fldCharType="end"/>
        </w:r>
      </w:hyperlink>
    </w:p>
    <w:p>
      <w:pPr>
        <w:pStyle w:val="TOC2"/>
        <w:tabs>
          <w:tab w:val="right" w:leader="dot" w:pos="8306"/>
        </w:tabs>
      </w:pPr>
      <w:hyperlink w:anchor="_Toc19353" w:history="1">
        <w:r>
          <w:rPr>
            <w:rFonts w:ascii="仿宋" w:eastAsia="仿宋" w:hAnsi="仿宋" w:cs="仿宋" w:hint="eastAsia"/>
            <w:lang w:eastAsia="zh-CN"/>
          </w:rPr>
          <w:t>(一)、资金需求大</w:t>
        </w:r>
        <w:r>
          <w:tab/>
        </w:r>
        <w:r>
          <w:fldChar w:fldCharType="begin"/>
        </w:r>
        <w:r>
          <w:instrText xml:space="preserve"> PAGEREF _Toc19353 \h </w:instrText>
        </w:r>
        <w:r>
          <w:fldChar w:fldCharType="separate"/>
        </w:r>
        <w:r>
          <w:t>32</w:t>
        </w:r>
        <w:r>
          <w:fldChar w:fldCharType="end"/>
        </w:r>
      </w:hyperlink>
    </w:p>
    <w:p>
      <w:pPr>
        <w:pStyle w:val="TOC2"/>
        <w:tabs>
          <w:tab w:val="right" w:leader="dot" w:pos="8306"/>
        </w:tabs>
      </w:pPr>
      <w:hyperlink w:anchor="_Toc22322" w:history="1">
        <w:r>
          <w:rPr>
            <w:rFonts w:ascii="仿宋" w:eastAsia="仿宋" w:hAnsi="仿宋" w:cs="仿宋" w:hint="eastAsia"/>
            <w:lang w:eastAsia="zh-CN"/>
          </w:rPr>
          <w:t>(二)、研发周期长</w:t>
        </w:r>
        <w:r>
          <w:tab/>
        </w:r>
        <w:r>
          <w:fldChar w:fldCharType="begin"/>
        </w:r>
        <w:r>
          <w:instrText xml:space="preserve"> PAGEREF _Toc22322 \h </w:instrText>
        </w:r>
        <w:r>
          <w:fldChar w:fldCharType="separate"/>
        </w:r>
        <w:r>
          <w:t>34</w:t>
        </w:r>
        <w:r>
          <w:fldChar w:fldCharType="end"/>
        </w:r>
      </w:hyperlink>
    </w:p>
    <w:p>
      <w:pPr>
        <w:pStyle w:val="TOC2"/>
        <w:tabs>
          <w:tab w:val="right" w:leader="dot" w:pos="8306"/>
        </w:tabs>
      </w:pPr>
      <w:hyperlink w:anchor="_Toc13952" w:history="1">
        <w:r>
          <w:rPr>
            <w:rFonts w:ascii="仿宋" w:eastAsia="仿宋" w:hAnsi="仿宋" w:cs="仿宋" w:hint="eastAsia"/>
            <w:lang w:eastAsia="zh-CN"/>
          </w:rPr>
          <w:t>(三)、市场风险大</w:t>
        </w:r>
        <w:r>
          <w:tab/>
        </w:r>
        <w:r>
          <w:fldChar w:fldCharType="begin"/>
        </w:r>
        <w:r>
          <w:instrText xml:space="preserve"> PAGEREF _Toc13952 \h </w:instrText>
        </w:r>
        <w:r>
          <w:fldChar w:fldCharType="separate"/>
        </w:r>
        <w:r>
          <w:t>35</w:t>
        </w:r>
        <w:r>
          <w:fldChar w:fldCharType="end"/>
        </w:r>
      </w:hyperlink>
    </w:p>
    <w:p>
      <w:pPr>
        <w:pStyle w:val="TOC2"/>
        <w:tabs>
          <w:tab w:val="right" w:leader="dot" w:pos="8306"/>
        </w:tabs>
      </w:pPr>
      <w:hyperlink w:anchor="_Toc20600" w:history="1">
        <w:r>
          <w:rPr>
            <w:rFonts w:ascii="仿宋" w:eastAsia="仿宋" w:hAnsi="仿宋" w:cs="仿宋" w:hint="eastAsia"/>
            <w:lang w:eastAsia="zh-CN"/>
          </w:rPr>
          <w:t>(四)、利润率高</w:t>
        </w:r>
        <w:r>
          <w:tab/>
        </w:r>
        <w:r>
          <w:fldChar w:fldCharType="begin"/>
        </w:r>
        <w:r>
          <w:instrText xml:space="preserve"> PAGEREF _Toc20600 \h </w:instrText>
        </w:r>
        <w:r>
          <w:fldChar w:fldCharType="separate"/>
        </w:r>
        <w:r>
          <w:t>38</w:t>
        </w:r>
        <w:r>
          <w:fldChar w:fldCharType="end"/>
        </w:r>
      </w:hyperlink>
    </w:p>
    <w:p>
      <w:pPr>
        <w:pStyle w:val="TOC1"/>
        <w:tabs>
          <w:tab w:val="right" w:leader="dot" w:pos="8306"/>
        </w:tabs>
      </w:pPr>
      <w:hyperlink w:anchor="_Toc24663" w:history="1">
        <w:r>
          <w:rPr>
            <w:rFonts w:ascii="仿宋" w:eastAsia="仿宋" w:hAnsi="仿宋" w:cs="仿宋" w:hint="eastAsia"/>
            <w:lang w:eastAsia="zh-CN"/>
          </w:rPr>
          <w:t>十、微波和高频波解冻设备项目风险管理</w:t>
        </w:r>
        <w:r>
          <w:tab/>
        </w:r>
        <w:r>
          <w:fldChar w:fldCharType="begin"/>
        </w:r>
        <w:r>
          <w:instrText xml:space="preserve"> PAGEREF _Toc24663 \h </w:instrText>
        </w:r>
        <w:r>
          <w:fldChar w:fldCharType="separate"/>
        </w:r>
        <w:r>
          <w:t>40</w:t>
        </w:r>
        <w:r>
          <w:fldChar w:fldCharType="end"/>
        </w:r>
      </w:hyperlink>
    </w:p>
    <w:p>
      <w:pPr>
        <w:pStyle w:val="TOC2"/>
        <w:tabs>
          <w:tab w:val="right" w:leader="dot" w:pos="8306"/>
        </w:tabs>
      </w:pPr>
      <w:hyperlink w:anchor="_Toc18195" w:history="1">
        <w:r>
          <w:rPr>
            <w:rFonts w:ascii="仿宋" w:eastAsia="仿宋" w:hAnsi="仿宋" w:cs="仿宋" w:hint="eastAsia"/>
            <w:lang w:eastAsia="zh-CN"/>
          </w:rPr>
          <w:t>(一)、风险识别与评估</w:t>
        </w:r>
        <w:r>
          <w:tab/>
        </w:r>
        <w:r>
          <w:fldChar w:fldCharType="begin"/>
        </w:r>
        <w:r>
          <w:instrText xml:space="preserve"> PAGEREF _Toc18195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 w:history="1">
        <w:r>
          <w:rPr>
            <w:rFonts w:ascii="仿宋" w:eastAsia="仿宋" w:hAnsi="仿宋" w:cs="仿宋" w:hint="eastAsia"/>
            <w:lang w:eastAsia="zh-CN"/>
          </w:rPr>
          <w:t>(二)、风险应对策略</w:t>
        </w:r>
        <w:r>
          <w:tab/>
        </w:r>
        <w:r>
          <w:fldChar w:fldCharType="begin"/>
        </w:r>
        <w:r>
          <w:instrText xml:space="preserve"> PAGEREF _Toc199 \h </w:instrText>
        </w:r>
        <w:r>
          <w:fldChar w:fldCharType="separate"/>
        </w:r>
        <w:r>
          <w:t>41</w:t>
        </w:r>
        <w:r>
          <w:fldChar w:fldCharType="end"/>
        </w:r>
      </w:hyperlink>
    </w:p>
    <w:p>
      <w:pPr>
        <w:pStyle w:val="TOC2"/>
        <w:tabs>
          <w:tab w:val="right" w:leader="dot" w:pos="8306"/>
        </w:tabs>
      </w:pPr>
      <w:hyperlink w:anchor="_Toc14110" w:history="1">
        <w:r>
          <w:rPr>
            <w:rFonts w:ascii="仿宋" w:eastAsia="仿宋" w:hAnsi="仿宋" w:cs="仿宋" w:hint="eastAsia"/>
            <w:lang w:eastAsia="zh-CN"/>
          </w:rPr>
          <w:t>(三)、风险监控与控制</w:t>
        </w:r>
        <w:r>
          <w:tab/>
        </w:r>
        <w:r>
          <w:fldChar w:fldCharType="begin"/>
        </w:r>
        <w:r>
          <w:instrText xml:space="preserve"> PAGEREF _Toc14110 \h </w:instrText>
        </w:r>
        <w:r>
          <w:fldChar w:fldCharType="separate"/>
        </w:r>
        <w:r>
          <w:t>43</w:t>
        </w:r>
        <w:r>
          <w:fldChar w:fldCharType="end"/>
        </w:r>
      </w:hyperlink>
    </w:p>
    <w:p>
      <w:pPr>
        <w:pStyle w:val="TOC1"/>
        <w:tabs>
          <w:tab w:val="right" w:leader="dot" w:pos="8306"/>
        </w:tabs>
      </w:pPr>
      <w:hyperlink w:anchor="_Toc8752" w:history="1">
        <w:r>
          <w:rPr>
            <w:rFonts w:ascii="仿宋" w:eastAsia="仿宋" w:hAnsi="仿宋" w:cs="仿宋" w:hint="eastAsia"/>
            <w:lang w:eastAsia="zh-CN"/>
          </w:rPr>
          <w:t>十一、微波和高频波解冻设备项目社会影响</w:t>
        </w:r>
        <w:r>
          <w:tab/>
        </w:r>
        <w:r>
          <w:fldChar w:fldCharType="begin"/>
        </w:r>
        <w:r>
          <w:instrText xml:space="preserve"> PAGEREF _Toc8752 \h </w:instrText>
        </w:r>
        <w:r>
          <w:fldChar w:fldCharType="separate"/>
        </w:r>
        <w:r>
          <w:t>44</w:t>
        </w:r>
        <w:r>
          <w:fldChar w:fldCharType="end"/>
        </w:r>
      </w:hyperlink>
    </w:p>
    <w:p>
      <w:pPr>
        <w:pStyle w:val="TOC2"/>
        <w:tabs>
          <w:tab w:val="right" w:leader="dot" w:pos="8306"/>
        </w:tabs>
      </w:pPr>
      <w:hyperlink w:anchor="_Toc19818" w:history="1">
        <w:r>
          <w:rPr>
            <w:rFonts w:ascii="仿宋" w:eastAsia="仿宋" w:hAnsi="仿宋" w:cs="仿宋" w:hint="eastAsia"/>
            <w:lang w:eastAsia="zh-CN"/>
          </w:rPr>
          <w:t>(一)、社会责任与义务</w:t>
        </w:r>
        <w:r>
          <w:tab/>
        </w:r>
        <w:r>
          <w:fldChar w:fldCharType="begin"/>
        </w:r>
        <w:r>
          <w:instrText xml:space="preserve"> PAGEREF _Toc19818 \h </w:instrText>
        </w:r>
        <w:r>
          <w:fldChar w:fldCharType="separate"/>
        </w:r>
        <w:r>
          <w:t>44</w:t>
        </w:r>
        <w:r>
          <w:fldChar w:fldCharType="end"/>
        </w:r>
      </w:hyperlink>
    </w:p>
    <w:p>
      <w:pPr>
        <w:pStyle w:val="TOC2"/>
        <w:tabs>
          <w:tab w:val="right" w:leader="dot" w:pos="8306"/>
        </w:tabs>
      </w:pPr>
      <w:hyperlink w:anchor="_Toc609" w:history="1">
        <w:r>
          <w:rPr>
            <w:rFonts w:ascii="仿宋" w:eastAsia="仿宋" w:hAnsi="仿宋" w:cs="仿宋" w:hint="eastAsia"/>
            <w:lang w:eastAsia="zh-CN"/>
          </w:rPr>
          <w:t>(二)、社会参与与沟通</w:t>
        </w:r>
        <w:r>
          <w:tab/>
        </w:r>
        <w:r>
          <w:fldChar w:fldCharType="begin"/>
        </w:r>
        <w:r>
          <w:instrText xml:space="preserve"> PAGEREF _Toc609 \h </w:instrText>
        </w:r>
        <w:r>
          <w:fldChar w:fldCharType="separate"/>
        </w:r>
        <w:r>
          <w:t>45</w:t>
        </w:r>
        <w:r>
          <w:fldChar w:fldCharType="end"/>
        </w:r>
      </w:hyperlink>
    </w:p>
    <w:p>
      <w:pPr>
        <w:pStyle w:val="TOC1"/>
        <w:tabs>
          <w:tab w:val="right" w:leader="dot" w:pos="8306"/>
        </w:tabs>
      </w:pPr>
      <w:hyperlink w:anchor="_Toc3003" w:history="1">
        <w:r>
          <w:rPr>
            <w:rFonts w:ascii="仿宋" w:eastAsia="仿宋" w:hAnsi="仿宋" w:cs="仿宋" w:hint="eastAsia"/>
            <w:lang w:eastAsia="zh-CN"/>
          </w:rPr>
          <w:t>十二、微波和高频波解冻设备项目技术管理</w:t>
        </w:r>
        <w:r>
          <w:tab/>
        </w:r>
        <w:r>
          <w:fldChar w:fldCharType="begin"/>
        </w:r>
        <w:r>
          <w:instrText xml:space="preserve"> PAGEREF _Toc3003 \h </w:instrText>
        </w:r>
        <w:r>
          <w:fldChar w:fldCharType="separate"/>
        </w:r>
        <w:r>
          <w:t>46</w:t>
        </w:r>
        <w:r>
          <w:fldChar w:fldCharType="end"/>
        </w:r>
      </w:hyperlink>
    </w:p>
    <w:p>
      <w:pPr>
        <w:pStyle w:val="TOC2"/>
        <w:tabs>
          <w:tab w:val="right" w:leader="dot" w:pos="8306"/>
        </w:tabs>
      </w:pPr>
      <w:hyperlink w:anchor="_Toc21085" w:history="1">
        <w:r>
          <w:rPr>
            <w:rFonts w:ascii="仿宋" w:eastAsia="仿宋" w:hAnsi="仿宋" w:cs="仿宋" w:hint="eastAsia"/>
            <w:lang w:eastAsia="zh-CN"/>
          </w:rPr>
          <w:t>(一)、技术方案选用方向</w:t>
        </w:r>
        <w:r>
          <w:tab/>
        </w:r>
        <w:r>
          <w:fldChar w:fldCharType="begin"/>
        </w:r>
        <w:r>
          <w:instrText xml:space="preserve"> PAGEREF _Toc21085 \h </w:instrText>
        </w:r>
        <w:r>
          <w:fldChar w:fldCharType="separate"/>
        </w:r>
        <w:r>
          <w:t>46</w:t>
        </w:r>
        <w:r>
          <w:fldChar w:fldCharType="end"/>
        </w:r>
      </w:hyperlink>
    </w:p>
    <w:p>
      <w:pPr>
        <w:pStyle w:val="TOC2"/>
        <w:tabs>
          <w:tab w:val="right" w:leader="dot" w:pos="8306"/>
        </w:tabs>
      </w:pPr>
      <w:hyperlink w:anchor="_Toc1047" w:history="1">
        <w:r>
          <w:rPr>
            <w:rFonts w:ascii="仿宋" w:eastAsia="仿宋" w:hAnsi="仿宋" w:cs="仿宋" w:hint="eastAsia"/>
            <w:lang w:eastAsia="zh-CN"/>
          </w:rPr>
          <w:t>(二)、工艺技术方案选用原则</w:t>
        </w:r>
        <w:r>
          <w:tab/>
        </w:r>
        <w:r>
          <w:fldChar w:fldCharType="begin"/>
        </w:r>
        <w:r>
          <w:instrText xml:space="preserve"> PAGEREF _Toc1047 \h </w:instrText>
        </w:r>
        <w:r>
          <w:fldChar w:fldCharType="separate"/>
        </w:r>
        <w:r>
          <w:t>48</w:t>
        </w:r>
        <w:r>
          <w:fldChar w:fldCharType="end"/>
        </w:r>
      </w:hyperlink>
    </w:p>
    <w:p>
      <w:pPr>
        <w:pStyle w:val="TOC2"/>
        <w:tabs>
          <w:tab w:val="right" w:leader="dot" w:pos="8306"/>
        </w:tabs>
      </w:pPr>
      <w:hyperlink w:anchor="_Toc5368" w:history="1">
        <w:r>
          <w:rPr>
            <w:rFonts w:ascii="仿宋" w:eastAsia="仿宋" w:hAnsi="仿宋" w:cs="仿宋" w:hint="eastAsia"/>
            <w:lang w:eastAsia="zh-CN"/>
          </w:rPr>
          <w:t>(三)、工艺技术方案要求</w:t>
        </w:r>
        <w:r>
          <w:tab/>
        </w:r>
        <w:r>
          <w:fldChar w:fldCharType="begin"/>
        </w:r>
        <w:r>
          <w:instrText xml:space="preserve"> PAGEREF _Toc5368 \h </w:instrText>
        </w:r>
        <w:r>
          <w:fldChar w:fldCharType="separate"/>
        </w:r>
        <w:r>
          <w:t>50</w:t>
        </w:r>
        <w:r>
          <w:fldChar w:fldCharType="end"/>
        </w:r>
      </w:hyperlink>
    </w:p>
    <w:p>
      <w:pPr>
        <w:pStyle w:val="TOC1"/>
        <w:tabs>
          <w:tab w:val="right" w:leader="dot" w:pos="8306"/>
        </w:tabs>
      </w:pPr>
      <w:hyperlink w:anchor="_Toc2908" w:history="1">
        <w:r>
          <w:rPr>
            <w:rFonts w:ascii="仿宋" w:eastAsia="仿宋" w:hAnsi="仿宋" w:cs="仿宋" w:hint="eastAsia"/>
            <w:lang w:eastAsia="zh-CN"/>
          </w:rPr>
          <w:t>十三、利益相关者分析与沟通计划</w:t>
        </w:r>
        <w:r>
          <w:tab/>
        </w:r>
        <w:r>
          <w:fldChar w:fldCharType="begin"/>
        </w:r>
        <w:r>
          <w:instrText xml:space="preserve"> PAGEREF _Toc2908 \h </w:instrText>
        </w:r>
        <w:r>
          <w:fldChar w:fldCharType="separate"/>
        </w:r>
        <w:r>
          <w:t>52</w:t>
        </w:r>
        <w:r>
          <w:fldChar w:fldCharType="end"/>
        </w:r>
      </w:hyperlink>
    </w:p>
    <w:p>
      <w:pPr>
        <w:pStyle w:val="TOC2"/>
        <w:tabs>
          <w:tab w:val="right" w:leader="dot" w:pos="8306"/>
        </w:tabs>
      </w:pPr>
      <w:hyperlink w:anchor="_Toc7045" w:history="1">
        <w:r>
          <w:rPr>
            <w:rFonts w:ascii="仿宋" w:eastAsia="仿宋" w:hAnsi="仿宋" w:cs="仿宋" w:hint="eastAsia"/>
            <w:lang w:eastAsia="zh-CN"/>
          </w:rPr>
          <w:t>(一)、利益相关者分析</w:t>
        </w:r>
        <w:r>
          <w:tab/>
        </w:r>
        <w:r>
          <w:fldChar w:fldCharType="begin"/>
        </w:r>
        <w:r>
          <w:instrText xml:space="preserve"> PAGEREF _Toc7045 \h </w:instrText>
        </w:r>
        <w:r>
          <w:fldChar w:fldCharType="separate"/>
        </w:r>
        <w:r>
          <w:t>52</w:t>
        </w:r>
        <w:r>
          <w:fldChar w:fldCharType="end"/>
        </w:r>
      </w:hyperlink>
    </w:p>
    <w:p>
      <w:pPr>
        <w:pStyle w:val="TOC2"/>
        <w:tabs>
          <w:tab w:val="right" w:leader="dot" w:pos="8306"/>
        </w:tabs>
      </w:pPr>
      <w:hyperlink w:anchor="_Toc1466" w:history="1">
        <w:r>
          <w:rPr>
            <w:rFonts w:ascii="仿宋" w:eastAsia="仿宋" w:hAnsi="仿宋" w:cs="仿宋" w:hint="eastAsia"/>
            <w:lang w:eastAsia="zh-CN"/>
          </w:rPr>
          <w:t>(二)、沟通计划</w:t>
        </w:r>
        <w:r>
          <w:tab/>
        </w:r>
        <w:r>
          <w:fldChar w:fldCharType="begin"/>
        </w:r>
        <w:r>
          <w:instrText xml:space="preserve"> PAGEREF _Toc1466 \h </w:instrText>
        </w:r>
        <w:r>
          <w:fldChar w:fldCharType="separate"/>
        </w:r>
        <w:r>
          <w:t>53</w:t>
        </w:r>
        <w:r>
          <w:fldChar w:fldCharType="end"/>
        </w:r>
      </w:hyperlink>
    </w:p>
    <w:p>
      <w:pPr>
        <w:pStyle w:val="TOC1"/>
        <w:tabs>
          <w:tab w:val="right" w:leader="dot" w:pos="8306"/>
        </w:tabs>
      </w:pPr>
      <w:hyperlink w:anchor="_Toc22781" w:history="1">
        <w:r>
          <w:rPr>
            <w:rFonts w:ascii="仿宋" w:eastAsia="仿宋" w:hAnsi="仿宋" w:cs="仿宋" w:hint="eastAsia"/>
            <w:lang w:eastAsia="zh-CN"/>
          </w:rPr>
          <w:t>十四、微波和高频波解冻设备项目变更管理</w:t>
        </w:r>
        <w:r>
          <w:tab/>
        </w:r>
        <w:r>
          <w:fldChar w:fldCharType="begin"/>
        </w:r>
        <w:r>
          <w:instrText xml:space="preserve"> PAGEREF _Toc22781 \h </w:instrText>
        </w:r>
        <w:r>
          <w:fldChar w:fldCharType="separate"/>
        </w:r>
        <w:r>
          <w:t>55</w:t>
        </w:r>
        <w:r>
          <w:fldChar w:fldCharType="end"/>
        </w:r>
      </w:hyperlink>
    </w:p>
    <w:p>
      <w:pPr>
        <w:pStyle w:val="TOC2"/>
        <w:tabs>
          <w:tab w:val="right" w:leader="dot" w:pos="8306"/>
        </w:tabs>
      </w:pPr>
      <w:hyperlink w:anchor="_Toc17345" w:history="1">
        <w:r>
          <w:rPr>
            <w:rFonts w:ascii="仿宋" w:eastAsia="仿宋" w:hAnsi="仿宋" w:cs="仿宋" w:hint="eastAsia"/>
            <w:lang w:eastAsia="zh-CN"/>
          </w:rPr>
          <w:t>(一)、变更申请与评估</w:t>
        </w:r>
        <w:r>
          <w:tab/>
        </w:r>
        <w:r>
          <w:fldChar w:fldCharType="begin"/>
        </w:r>
        <w:r>
          <w:instrText xml:space="preserve"> PAGEREF _Toc17345 \h </w:instrText>
        </w:r>
        <w:r>
          <w:fldChar w:fldCharType="separate"/>
        </w:r>
        <w:r>
          <w:t>55</w:t>
        </w:r>
        <w:r>
          <w:fldChar w:fldCharType="end"/>
        </w:r>
      </w:hyperlink>
    </w:p>
    <w:p>
      <w:pPr>
        <w:pStyle w:val="TOC2"/>
        <w:tabs>
          <w:tab w:val="right" w:leader="dot" w:pos="8306"/>
        </w:tabs>
      </w:pPr>
      <w:hyperlink w:anchor="_Toc18236" w:history="1">
        <w:r>
          <w:rPr>
            <w:rFonts w:ascii="仿宋" w:eastAsia="仿宋" w:hAnsi="仿宋" w:cs="仿宋" w:hint="eastAsia"/>
            <w:lang w:eastAsia="zh-CN"/>
          </w:rPr>
          <w:t>(二)、变更实施与控制</w:t>
        </w:r>
        <w:r>
          <w:tab/>
        </w:r>
        <w:r>
          <w:fldChar w:fldCharType="begin"/>
        </w:r>
        <w:r>
          <w:instrText xml:space="preserve"> PAGEREF _Toc18236 \h </w:instrText>
        </w:r>
        <w:r>
          <w:fldChar w:fldCharType="separate"/>
        </w:r>
        <w:r>
          <w:t>55</w:t>
        </w:r>
        <w:r>
          <w:fldChar w:fldCharType="end"/>
        </w:r>
      </w:hyperlink>
    </w:p>
    <w:p>
      <w:pPr>
        <w:pStyle w:val="TOC1"/>
        <w:tabs>
          <w:tab w:val="right" w:leader="dot" w:pos="8306"/>
        </w:tabs>
      </w:pPr>
      <w:hyperlink w:anchor="_Toc23846" w:history="1">
        <w:r>
          <w:rPr>
            <w:rFonts w:ascii="仿宋" w:eastAsia="仿宋" w:hAnsi="仿宋" w:cs="仿宋" w:hint="eastAsia"/>
            <w:lang w:eastAsia="zh-CN"/>
          </w:rPr>
          <w:t>十五、质量管理体系</w:t>
        </w:r>
        <w:r>
          <w:tab/>
        </w:r>
        <w:r>
          <w:fldChar w:fldCharType="begin"/>
        </w:r>
        <w:r>
          <w:instrText xml:space="preserve"> PAGEREF _Toc23846 \h </w:instrText>
        </w:r>
        <w:r>
          <w:fldChar w:fldCharType="separate"/>
        </w:r>
        <w:r>
          <w:t>56</w:t>
        </w:r>
        <w:r>
          <w:fldChar w:fldCharType="end"/>
        </w:r>
      </w:hyperlink>
    </w:p>
    <w:p>
      <w:pPr>
        <w:pStyle w:val="TOC2"/>
        <w:tabs>
          <w:tab w:val="right" w:leader="dot" w:pos="8306"/>
        </w:tabs>
      </w:pPr>
      <w:hyperlink w:anchor="_Toc14154" w:history="1">
        <w:r>
          <w:rPr>
            <w:rFonts w:ascii="仿宋" w:eastAsia="仿宋" w:hAnsi="仿宋" w:cs="仿宋" w:hint="eastAsia"/>
            <w:lang w:eastAsia="zh-CN"/>
          </w:rPr>
          <w:t>(一)、质量目标与方针</w:t>
        </w:r>
        <w:r>
          <w:tab/>
        </w:r>
        <w:r>
          <w:fldChar w:fldCharType="begin"/>
        </w:r>
        <w:r>
          <w:instrText xml:space="preserve"> PAGEREF _Toc14154 \h </w:instrText>
        </w:r>
        <w:r>
          <w:fldChar w:fldCharType="separate"/>
        </w:r>
        <w:r>
          <w:t>56</w:t>
        </w:r>
        <w:r>
          <w:fldChar w:fldCharType="end"/>
        </w:r>
      </w:hyperlink>
    </w:p>
    <w:p>
      <w:pPr>
        <w:pStyle w:val="TOC2"/>
        <w:tabs>
          <w:tab w:val="right" w:leader="dot" w:pos="8306"/>
        </w:tabs>
      </w:pPr>
      <w:hyperlink w:anchor="_Toc7788" w:history="1">
        <w:r>
          <w:rPr>
            <w:rFonts w:ascii="仿宋" w:eastAsia="仿宋" w:hAnsi="仿宋" w:cs="仿宋" w:hint="eastAsia"/>
            <w:lang w:eastAsia="zh-CN"/>
          </w:rPr>
          <w:t>(二)、质量管理责任</w:t>
        </w:r>
        <w:r>
          <w:tab/>
        </w:r>
        <w:r>
          <w:fldChar w:fldCharType="begin"/>
        </w:r>
        <w:r>
          <w:instrText xml:space="preserve"> PAGEREF _Toc7788 \h </w:instrText>
        </w:r>
        <w:r>
          <w:fldChar w:fldCharType="separate"/>
        </w:r>
        <w:r>
          <w:t>57</w:t>
        </w:r>
        <w:r>
          <w:fldChar w:fldCharType="end"/>
        </w:r>
      </w:hyperlink>
    </w:p>
    <w:p>
      <w:pPr>
        <w:pStyle w:val="TOC2"/>
        <w:tabs>
          <w:tab w:val="right" w:leader="dot" w:pos="8306"/>
        </w:tabs>
      </w:pPr>
      <w:hyperlink w:anchor="_Toc27850" w:history="1">
        <w:r>
          <w:rPr>
            <w:rFonts w:ascii="仿宋" w:eastAsia="仿宋" w:hAnsi="仿宋" w:cs="仿宋" w:hint="eastAsia"/>
            <w:lang w:eastAsia="zh-CN"/>
          </w:rPr>
          <w:t>(三)、质量管理体系文件</w:t>
        </w:r>
        <w:r>
          <w:tab/>
        </w:r>
        <w:r>
          <w:fldChar w:fldCharType="begin"/>
        </w:r>
        <w:r>
          <w:instrText xml:space="preserve"> PAGEREF _Toc27850 \h </w:instrText>
        </w:r>
        <w:r>
          <w:fldChar w:fldCharType="separate"/>
        </w:r>
        <w:r>
          <w:t>59</w:t>
        </w:r>
        <w:r>
          <w:fldChar w:fldCharType="end"/>
        </w:r>
      </w:hyperlink>
    </w:p>
    <w:p>
      <w:pPr>
        <w:pStyle w:val="TOC2"/>
        <w:tabs>
          <w:tab w:val="right" w:leader="dot" w:pos="8306"/>
        </w:tabs>
      </w:pPr>
      <w:hyperlink w:anchor="_Toc2322" w:history="1">
        <w:r>
          <w:rPr>
            <w:rFonts w:ascii="仿宋" w:eastAsia="仿宋" w:hAnsi="仿宋" w:cs="仿宋" w:hint="eastAsia"/>
            <w:lang w:eastAsia="zh-CN"/>
          </w:rPr>
          <w:t>(四)、质量培训与教育</w:t>
        </w:r>
        <w:r>
          <w:tab/>
        </w:r>
        <w:r>
          <w:fldChar w:fldCharType="begin"/>
        </w:r>
        <w:r>
          <w:instrText xml:space="preserve"> PAGEREF _Toc2322 \h </w:instrText>
        </w:r>
        <w:r>
          <w:fldChar w:fldCharType="separate"/>
        </w:r>
        <w:r>
          <w:t>61</w:t>
        </w:r>
        <w:r>
          <w:fldChar w:fldCharType="end"/>
        </w:r>
      </w:hyperlink>
    </w:p>
    <w:p>
      <w:pPr>
        <w:pStyle w:val="TOC2"/>
        <w:tabs>
          <w:tab w:val="right" w:leader="dot" w:pos="8306"/>
        </w:tabs>
      </w:pPr>
      <w:hyperlink w:anchor="_Toc9733" w:history="1">
        <w:r>
          <w:rPr>
            <w:rFonts w:ascii="仿宋" w:eastAsia="仿宋" w:hAnsi="仿宋" w:cs="仿宋" w:hint="eastAsia"/>
            <w:lang w:eastAsia="zh-CN"/>
          </w:rPr>
          <w:t>(五)、质量审核与评价</w:t>
        </w:r>
        <w:r>
          <w:tab/>
        </w:r>
        <w:r>
          <w:fldChar w:fldCharType="begin"/>
        </w:r>
        <w:r>
          <w:instrText xml:space="preserve"> PAGEREF _Toc9733 \h </w:instrText>
        </w:r>
        <w:r>
          <w:fldChar w:fldCharType="separate"/>
        </w:r>
        <w:r>
          <w:t>62</w:t>
        </w:r>
        <w:r>
          <w:fldChar w:fldCharType="end"/>
        </w:r>
      </w:hyperlink>
    </w:p>
    <w:p>
      <w:pPr>
        <w:pStyle w:val="TOC2"/>
        <w:tabs>
          <w:tab w:val="right" w:leader="dot" w:pos="8306"/>
        </w:tabs>
      </w:pPr>
      <w:hyperlink w:anchor="_Toc8696" w:history="1">
        <w:r>
          <w:rPr>
            <w:rFonts w:ascii="仿宋" w:eastAsia="仿宋" w:hAnsi="仿宋" w:cs="仿宋" w:hint="eastAsia"/>
            <w:lang w:eastAsia="zh-CN"/>
          </w:rPr>
          <w:t>(六)、不符合与纠正措施</w:t>
        </w:r>
        <w:r>
          <w:tab/>
        </w:r>
        <w:r>
          <w:fldChar w:fldCharType="begin"/>
        </w:r>
        <w:r>
          <w:instrText xml:space="preserve"> PAGEREF _Toc8696 \h </w:instrText>
        </w:r>
        <w:r>
          <w:fldChar w:fldCharType="separate"/>
        </w:r>
        <w:r>
          <w:t>63</w:t>
        </w:r>
        <w:r>
          <w:fldChar w:fldCharType="end"/>
        </w:r>
      </w:hyperlink>
    </w:p>
    <w:p>
      <w:pPr>
        <w:pStyle w:val="TOC1"/>
        <w:tabs>
          <w:tab w:val="right" w:leader="dot" w:pos="8306"/>
        </w:tabs>
      </w:pPr>
      <w:hyperlink w:anchor="_Toc32045" w:history="1">
        <w:r>
          <w:rPr>
            <w:rFonts w:ascii="仿宋" w:eastAsia="仿宋" w:hAnsi="仿宋" w:cs="仿宋" w:hint="eastAsia"/>
            <w:lang w:eastAsia="zh-CN"/>
          </w:rPr>
          <w:t>十六、微波和高频波解冻设备项目实施保障措施</w:t>
        </w:r>
        <w:r>
          <w:tab/>
        </w:r>
        <w:r>
          <w:fldChar w:fldCharType="begin"/>
        </w:r>
        <w:r>
          <w:instrText xml:space="preserve"> PAGEREF _Toc32045 \h </w:instrText>
        </w:r>
        <w:r>
          <w:fldChar w:fldCharType="separate"/>
        </w:r>
        <w:r>
          <w:t>64</w:t>
        </w:r>
        <w:r>
          <w:fldChar w:fldCharType="end"/>
        </w:r>
      </w:hyperlink>
    </w:p>
    <w:p>
      <w:pPr>
        <w:pStyle w:val="TOC2"/>
        <w:tabs>
          <w:tab w:val="right" w:leader="dot" w:pos="8306"/>
        </w:tabs>
      </w:pPr>
      <w:hyperlink w:anchor="_Toc26642" w:history="1">
        <w:r>
          <w:rPr>
            <w:rFonts w:ascii="仿宋" w:eastAsia="仿宋" w:hAnsi="仿宋" w:cs="仿宋" w:hint="eastAsia"/>
            <w:lang w:eastAsia="zh-CN"/>
          </w:rPr>
          <w:t>(一)、微波和高频波解冻设备项目实施保障机制</w:t>
        </w:r>
        <w:r>
          <w:tab/>
        </w:r>
        <w:r>
          <w:fldChar w:fldCharType="begin"/>
        </w:r>
        <w:r>
          <w:instrText xml:space="preserve"> PAGEREF _Toc26642 \h </w:instrText>
        </w:r>
        <w:r>
          <w:fldChar w:fldCharType="separate"/>
        </w:r>
        <w:r>
          <w:t>64</w:t>
        </w:r>
        <w:r>
          <w:fldChar w:fldCharType="end"/>
        </w:r>
      </w:hyperlink>
    </w:p>
    <w:p>
      <w:pPr>
        <w:pStyle w:val="TOC2"/>
        <w:tabs>
          <w:tab w:val="right" w:leader="dot" w:pos="8306"/>
        </w:tabs>
      </w:pPr>
      <w:hyperlink w:anchor="_Toc13511" w:history="1">
        <w:r>
          <w:rPr>
            <w:rFonts w:ascii="仿宋" w:eastAsia="仿宋" w:hAnsi="仿宋" w:cs="仿宋" w:hint="eastAsia"/>
            <w:lang w:eastAsia="zh-CN"/>
          </w:rPr>
          <w:t>(二)、微波和高频波解冻设备项目法律合规要求</w:t>
        </w:r>
        <w:r>
          <w:tab/>
        </w:r>
        <w:r>
          <w:fldChar w:fldCharType="begin"/>
        </w:r>
        <w:r>
          <w:instrText xml:space="preserve"> PAGEREF _Toc13511 \h </w:instrText>
        </w:r>
        <w:r>
          <w:fldChar w:fldCharType="separate"/>
        </w:r>
        <w:r>
          <w:t>68</w:t>
        </w:r>
        <w:r>
          <w:fldChar w:fldCharType="end"/>
        </w:r>
      </w:hyperlink>
    </w:p>
    <w:p>
      <w:pPr>
        <w:pStyle w:val="TOC2"/>
        <w:tabs>
          <w:tab w:val="right" w:leader="dot" w:pos="8306"/>
        </w:tabs>
      </w:pPr>
      <w:hyperlink w:anchor="_Toc23980" w:history="1">
        <w:r>
          <w:rPr>
            <w:rFonts w:ascii="仿宋" w:eastAsia="仿宋" w:hAnsi="仿宋" w:cs="仿宋" w:hint="eastAsia"/>
            <w:lang w:eastAsia="zh-CN"/>
          </w:rPr>
          <w:t>(三)、微波和高频波解冻设备项目合同管理与法律事务</w:t>
        </w:r>
        <w:r>
          <w:tab/>
        </w:r>
        <w:r>
          <w:fldChar w:fldCharType="begin"/>
        </w:r>
        <w:r>
          <w:instrText xml:space="preserve"> PAGEREF _Toc23980 \h </w:instrText>
        </w:r>
        <w:r>
          <w:fldChar w:fldCharType="separate"/>
        </w:r>
        <w:r>
          <w:t>73</w:t>
        </w:r>
        <w:r>
          <w:fldChar w:fldCharType="end"/>
        </w:r>
      </w:hyperlink>
    </w:p>
    <w:p>
      <w:pPr>
        <w:pStyle w:val="TOC2"/>
        <w:tabs>
          <w:tab w:val="right" w:leader="dot" w:pos="8306"/>
        </w:tabs>
      </w:pPr>
      <w:hyperlink w:anchor="_Toc20577" w:history="1">
        <w:r>
          <w:rPr>
            <w:rFonts w:ascii="仿宋" w:eastAsia="仿宋" w:hAnsi="仿宋" w:cs="仿宋" w:hint="eastAsia"/>
            <w:lang w:eastAsia="zh-CN"/>
          </w:rPr>
          <w:t>(四)、微波和高频波解冻设备项目知识产权保护策略</w:t>
        </w:r>
        <w:r>
          <w:tab/>
        </w:r>
        <w:r>
          <w:fldChar w:fldCharType="begin"/>
        </w:r>
        <w:r>
          <w:instrText xml:space="preserve"> PAGEREF _Toc20577 \h </w:instrText>
        </w:r>
        <w:r>
          <w:fldChar w:fldCharType="separate"/>
        </w:r>
        <w:r>
          <w:t>79</w:t>
        </w:r>
        <w:r>
          <w:fldChar w:fldCharType="end"/>
        </w:r>
      </w:hyperlink>
    </w:p>
    <w:p>
      <w:pPr>
        <w:pStyle w:val="TOC1"/>
        <w:tabs>
          <w:tab w:val="right" w:leader="dot" w:pos="8306"/>
        </w:tabs>
      </w:pPr>
      <w:hyperlink w:anchor="_Toc8390" w:history="1">
        <w:r>
          <w:rPr>
            <w:rFonts w:ascii="仿宋" w:eastAsia="仿宋" w:hAnsi="仿宋" w:cs="仿宋" w:hint="eastAsia"/>
            <w:lang w:eastAsia="zh-CN"/>
          </w:rPr>
          <w:t>十七、微波和高频波解冻设备项目治理与监督</w:t>
        </w:r>
        <w:r>
          <w:tab/>
        </w:r>
        <w:r>
          <w:fldChar w:fldCharType="begin"/>
        </w:r>
        <w:r>
          <w:instrText xml:space="preserve"> PAGEREF _Toc8390 \h </w:instrText>
        </w:r>
        <w:r>
          <w:fldChar w:fldCharType="separate"/>
        </w:r>
        <w:r>
          <w:t>82</w:t>
        </w:r>
        <w:r>
          <w:fldChar w:fldCharType="end"/>
        </w:r>
      </w:hyperlink>
    </w:p>
    <w:p>
      <w:pPr>
        <w:pStyle w:val="TOC2"/>
        <w:tabs>
          <w:tab w:val="right" w:leader="dot" w:pos="8306"/>
        </w:tabs>
      </w:pPr>
      <w:hyperlink w:anchor="_Toc9213" w:history="1">
        <w:r>
          <w:rPr>
            <w:rFonts w:ascii="仿宋" w:eastAsia="仿宋" w:hAnsi="仿宋" w:cs="仿宋" w:hint="eastAsia"/>
            <w:lang w:eastAsia="zh-CN"/>
          </w:rPr>
          <w:t>(一)、微波和高频波解冻设备项目治理结构</w:t>
        </w:r>
        <w:r>
          <w:tab/>
        </w:r>
        <w:r>
          <w:fldChar w:fldCharType="begin"/>
        </w:r>
        <w:r>
          <w:instrText xml:space="preserve"> PAGEREF _Toc9213 \h </w:instrText>
        </w:r>
        <w:r>
          <w:fldChar w:fldCharType="separate"/>
        </w:r>
        <w:r>
          <w:t>82</w:t>
        </w:r>
        <w:r>
          <w:fldChar w:fldCharType="end"/>
        </w:r>
      </w:hyperlink>
    </w:p>
    <w:p>
      <w:pPr>
        <w:pStyle w:val="TOC2"/>
        <w:tabs>
          <w:tab w:val="right" w:leader="dot" w:pos="8306"/>
        </w:tabs>
      </w:pPr>
      <w:hyperlink w:anchor="_Toc13136" w:history="1">
        <w:r>
          <w:rPr>
            <w:rFonts w:ascii="仿宋" w:eastAsia="仿宋" w:hAnsi="仿宋" w:cs="仿宋" w:hint="eastAsia"/>
            <w:lang w:eastAsia="zh-CN"/>
          </w:rPr>
          <w:t>(二)、监督与审计</w:t>
        </w:r>
        <w:r>
          <w:tab/>
        </w:r>
        <w:r>
          <w:fldChar w:fldCharType="begin"/>
        </w:r>
        <w:r>
          <w:instrText xml:space="preserve"> PAGEREF _Toc13136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1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55"/>
      <w:r>
        <w:rPr>
          <w:rFonts w:ascii="仿宋" w:eastAsia="仿宋" w:hAnsi="仿宋" w:cs="仿宋" w:hint="eastAsia"/>
          <w:lang w:eastAsia="zh-CN"/>
        </w:rPr>
        <w:t>(一)、微波和高频波解冻设备行业分析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行业一直以来都是市场的关注焦点。行业内的发展趋势、竞争态势以及潜在机会都对微波和高频波解冻设备项目的推进产生深远的影响。通过深入研究行业的整体概貌，我们将更好地理解行业的核心特征，为微波和高频波解冻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和高频波解冻设备行业，技术一直是推动创新和发展的关键因素。我们将对当前技术趋势进行详尽分析，包括但不限于人工智能、大数据应用、先进制造技术等。这有助于微波和高频波解冻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波和高频波解冻设备项目成功的基础。我们将对主要竞争对手进行深入研究，包括其市场份额、产品特点、市场定位等。通过全面了解竞争对手的优势和劣势，微波和高频波解冻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943"/>
      <w:r>
        <w:rPr>
          <w:rFonts w:ascii="仿宋" w:eastAsia="仿宋" w:hAnsi="仿宋" w:cs="仿宋" w:hint="eastAsia"/>
          <w:sz w:val="28"/>
          <w:lang w:eastAsia="zh-CN"/>
        </w:rPr>
        <w:t>(二)、微波和高频波解冻设备市场分析预测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波和高频波解冻设备市场未来的增长趋势。这包括市场的整体规模、各细分领域的发展趋势等。微波和高频波解冻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波和高频波解冻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微波和高频波解冻设备项目实施过程中需要充分考虑的因素。我们将对市场风险进行全面评估，包括但不限于政策法规风险、市场竞争风险、技术变革风险等。通过对潜在风险的深入分析，微波和高频波解冻设备项目可以制定相应的风险缓解策略，降低不确定性对微波和高频波解冻设备项目的影响。</w:t>
      </w:r>
    </w:p>
    <w:p>
      <w:pPr>
        <w:pStyle w:val="Heading1"/>
        <w:ind w:firstLine="560" w:firstLineChars="200"/>
        <w:rPr>
          <w:rFonts w:ascii="仿宋" w:eastAsia="仿宋" w:hAnsi="仿宋" w:cs="仿宋" w:hint="eastAsia"/>
          <w:sz w:val="28"/>
          <w:lang w:eastAsia="zh-CN"/>
        </w:rPr>
      </w:pPr>
      <w:bookmarkStart w:id="5" w:name="_Toc25147"/>
      <w:r>
        <w:rPr>
          <w:rFonts w:ascii="仿宋" w:eastAsia="仿宋" w:hAnsi="仿宋" w:cs="仿宋" w:hint="eastAsia"/>
          <w:sz w:val="28"/>
          <w:lang w:eastAsia="zh-CN"/>
        </w:rPr>
        <w:t>二、微波和高频波解冻设备项目建设背景及必要性分析</w:t>
      </w:r>
      <w:bookmarkEnd w:id="5"/>
    </w:p>
    <w:p>
      <w:pPr>
        <w:pStyle w:val="Heading2"/>
        <w:rPr>
          <w:rFonts w:ascii="仿宋" w:eastAsia="仿宋" w:hAnsi="仿宋" w:cs="仿宋" w:hint="eastAsia"/>
          <w:lang w:eastAsia="zh-CN"/>
        </w:rPr>
      </w:pPr>
      <w:bookmarkStart w:id="6" w:name="_Toc13163"/>
      <w:r>
        <w:rPr>
          <w:rFonts w:ascii="仿宋" w:eastAsia="仿宋" w:hAnsi="仿宋" w:cs="仿宋" w:hint="eastAsia"/>
          <w:lang w:eastAsia="zh-CN"/>
        </w:rPr>
        <w:t>(一)、微波和高频波解冻设备项目背景分析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波和高频波解冻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波和高频波解冻设备项目在这个潮流中的定位。同时，我们将关注行业内涌现的新兴机遇，以便微波和高频波解冻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波和高频波解冻设备项目提供了强大的发展动力。我们将聚焦于行业内最新的技术发展趋势，包括但不限于人工智能、大数据分析、物联网等领域。通过深度的技术研究，我们将确保微波和高频波解冻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波和高频波解冻设备项目发展的源泉。我们将投入更多的精力对市场需求进行深入剖析，超越表面的需求，深入挖掘潜在的市场痛点和机遇。通过对市场需求的细致了解，微波和高频波解冻设备项目将更有针对性地设计解决方案，满足市场的多样化需求，从而更好地促进微波和高频波解冻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波和高频波解冻设备项目战略至关重要。我们将对竞争态势进行更为深入的分析，包括但不限于市场份额、产品特点、客户满意度等多个维度。通过深度的竞争分析，微波和高频波解冻设备项目将能够更准确地把握市场脉搏，制定具有竞争力的微波和高频波解冻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波和高频波解冻设备项目的发展具有直接的影响。我们将进行更为全面的法规和政策分析，了解行业发展中的潜在法律风险和合规挑战。通过充分了解和遵守相关法规，微波和高频波解冻设备项目将确保在法律框架内合法合规运营，为微波和高频波解冻设备项目的稳健发展提供有力支持。</w:t>
      </w:r>
    </w:p>
    <w:p>
      <w:pPr>
        <w:pStyle w:val="Heading2"/>
        <w:ind w:firstLine="560" w:firstLineChars="200"/>
        <w:rPr>
          <w:rFonts w:ascii="仿宋" w:eastAsia="仿宋" w:hAnsi="仿宋" w:cs="仿宋" w:hint="eastAsia"/>
          <w:sz w:val="28"/>
          <w:lang w:eastAsia="zh-CN"/>
        </w:rPr>
      </w:pPr>
      <w:bookmarkStart w:id="7" w:name="_Toc30118"/>
      <w:r>
        <w:rPr>
          <w:rFonts w:ascii="仿宋" w:eastAsia="仿宋" w:hAnsi="仿宋" w:cs="仿宋" w:hint="eastAsia"/>
          <w:sz w:val="28"/>
          <w:lang w:eastAsia="zh-CN"/>
        </w:rPr>
        <w:t>(二)、微波和高频波解冻设备项目建设必要性分析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建设的迫切性源于对行业发展趋势的深刻洞察。我们正处于一个行业变革的时代，科技创新、数字化转型成为企业发展的关键动力。微波和高频波解冻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建设不仅仅是为了跟上潮流，更是为了通过技术创新推动企业的持续发展。通过引入先进的技术和解决方案，微波和高频波解冻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波和高频波解冻设备项目的建设成为必然选择，通过提高产品质量、拓展服务领域，从而在竞争中获得更多的机会。微波和高频波解冻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波和高频波解冻设备项目建设的必要性体现在对客户需求更精准的满足。通过微波和高频波解冻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建设的背后是对企业持续创新的追求。只有通过不断创新，企业才能在竞争中立于不败之地。微波和高频波解冻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5103"/>
      <w:r>
        <w:rPr>
          <w:rFonts w:ascii="仿宋" w:eastAsia="仿宋" w:hAnsi="仿宋" w:cs="仿宋" w:hint="eastAsia"/>
          <w:sz w:val="28"/>
          <w:lang w:eastAsia="zh-CN"/>
        </w:rPr>
        <w:t>三、微波和高频波解冻设备项目文档管理</w:t>
      </w:r>
      <w:bookmarkEnd w:id="8"/>
    </w:p>
    <w:p>
      <w:pPr>
        <w:pStyle w:val="Heading2"/>
        <w:rPr>
          <w:rFonts w:ascii="仿宋" w:eastAsia="仿宋" w:hAnsi="仿宋" w:cs="仿宋" w:hint="eastAsia"/>
          <w:lang w:eastAsia="zh-CN"/>
        </w:rPr>
      </w:pPr>
      <w:bookmarkStart w:id="9" w:name="_Toc3239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微波和高频波解冻设备项目高度重视文档的质量和准确性，以支持微波和高频波解冻设备项目的各项活动和决策。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文档的编制始于微波和高频波解冻设备项目计划的初期，我们制定了详细的文档编制计划，明确了每个文档的内容、格式和编写责任人。在微波和高频波解冻设备项目启动阶段，我们首先编制了微波和高频波解冻设备项目章程，明确定义了微波和高频波解冻设备项目的目标、范围、风险等关键要素。随后，微波和高频波解冻设备项目团队根据计划陆续编制了需求文档、设计文档、测试文档等各类文档，确保微波和高频波解冻设备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波和高频波解冻设备项目管理中的重要环节，旨在确保微波和高频波解冻设备项目文档符合质量标准和微波和高频波解冻设备项目需求。在微波和高频波解冻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波和高频波解冻设备项目相关利益方和专业领域的专家对文档进行独立审查。这有助于获取更全面、客观的反馈，确保微波和高频波解冻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在文档编制与审查方面建立了严格的管理机制，通过规范的流程和多维度的审查，确保微波和高频波解冻设备项目文档的质量、准确性和可靠性，为微波和高频波解冻设备项目的顺利推进提供了有力支持。</w:t>
      </w:r>
    </w:p>
    <w:p>
      <w:pPr>
        <w:pStyle w:val="Heading2"/>
        <w:ind w:firstLine="560" w:firstLineChars="200"/>
        <w:rPr>
          <w:rFonts w:ascii="仿宋" w:eastAsia="仿宋" w:hAnsi="仿宋" w:cs="仿宋" w:hint="eastAsia"/>
          <w:sz w:val="28"/>
          <w:lang w:eastAsia="zh-CN"/>
        </w:rPr>
      </w:pPr>
      <w:bookmarkStart w:id="10" w:name="_Toc464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在微波和高频波解冻设备项目中，我们致力于优化文档发布与分发过程，以确保信息的高效传递和团队间协作的顺畅进行。以下是我们采取的关键优化策略：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我们通过多渠道发布文档，包括电子邮件、微波和高频波解冻设备项目管理平台、内部网站等，以满足不同团队成员的偏好和需求。多渠道发布确保了信息的全面覆盖。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我们采用了精细的权限控制，确保只有授权人员可以访问敏感信息。这种安全措施保护了微波和高频波解冻设备项目文档的机密性，防止了未经授权的信息泄露。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73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波和高频波解冻设备项目生命周期中一个至关重要的环节，直接关系到微波和高频波解冻设备项目信息的长期保存和历史记录的完整性。在微波和高频波解冻设备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9205"/>
      <w:r>
        <w:rPr>
          <w:rFonts w:ascii="仿宋" w:eastAsia="仿宋" w:hAnsi="仿宋" w:cs="仿宋" w:hint="eastAsia"/>
          <w:sz w:val="28"/>
          <w:lang w:eastAsia="zh-CN"/>
        </w:rPr>
        <w:t>四、微波和高频波解冻设备项目可持续发展</w:t>
      </w:r>
      <w:bookmarkEnd w:id="12"/>
    </w:p>
    <w:p>
      <w:pPr>
        <w:pStyle w:val="Heading2"/>
        <w:rPr>
          <w:rFonts w:ascii="仿宋" w:eastAsia="仿宋" w:hAnsi="仿宋" w:cs="仿宋" w:hint="eastAsia"/>
          <w:lang w:eastAsia="zh-CN"/>
        </w:rPr>
      </w:pPr>
      <w:bookmarkStart w:id="13" w:name="_Toc3100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和高频波解冻设备项目中，微波和高频波解冻设备项目团队着眼于未来，明确了可持续发展的战略方向。制定的具体可持续发展目标包括降低资源使用、采用环保技术、最大化社会效益等。这一步骤不仅有助于微波和高频波解冻设备项目在环保和社会责任方面达到最高标准，也为未来提供了明确的指引，确保微波和高频波解冻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可持续实践的融入微波和高频波解冻设备项目管理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波和高频波解冻设备项目管理周期。从微波和高频波解冻设备项目规划开始，微波和高频波解冻设备项目团队就考虑了环境和社会的因素。在执行阶段，微波和高频波解冻设备项目团队积极推动绿色技术的应用，优化资源利用。此外，关注员工的社会责任，通过培训和沟通活动提高员工对可持续发展的认知，使他们能够在日常工作中践行可持续实践。这些举措不仅为微波和高频波解冻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310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微波和高频波解冻设备项目的可持续发展理念，我们深信环保与社会责任是微波和高频波解冻设备项目成功的关键支柱。在微波和高频波解冻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团队通过引入先进的环保技术、建立高效的废物处理系统以及推动能源节约措施，积极履行环保责任。定期的环保监测和评估确保微波和高频波解冻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和高频波解冻设备项目不仅致力于自身可持续发展，还注重对社会的回馈。通过支持社区微波和高频波解冻设备项目、参与慈善事业、提供培训机会等方式，微波和高频波解冻设备项目积极履行社会责任。与当地社区建立积极互动，关注员工的工作与生活平衡，以及员工的身心健康，是微波和高频波解冻设备项目在社会责任层面的关键举措。这样的实践不仅增强了微波和高频波解冻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0567"/>
      <w:r>
        <w:rPr>
          <w:rFonts w:ascii="仿宋" w:eastAsia="仿宋" w:hAnsi="仿宋" w:cs="仿宋" w:hint="eastAsia"/>
          <w:sz w:val="28"/>
          <w:lang w:eastAsia="zh-CN"/>
        </w:rPr>
        <w:t>五、微波和高频波解冻设备项目危机管理</w:t>
      </w:r>
      <w:bookmarkEnd w:id="15"/>
    </w:p>
    <w:p>
      <w:pPr>
        <w:pStyle w:val="Heading2"/>
        <w:rPr>
          <w:rFonts w:ascii="仿宋" w:eastAsia="仿宋" w:hAnsi="仿宋" w:cs="仿宋" w:hint="eastAsia"/>
          <w:lang w:eastAsia="zh-CN"/>
        </w:rPr>
      </w:pPr>
      <w:bookmarkStart w:id="16" w:name="_Toc2671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和高频波解冻设备项目危机管理中，危机预警与识别是确保微波和高频波解冻设备项目稳健运行的核心步骤。通过建立全面的监测机制，微波和高频波解冻设备项目团队旨在及时发现和理解潜在的风险和危机因素，以便采取及时的预防和应对措施，确保微波和高频波解冻设备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波和高频波解冻设备项目团队全面分析了整个微波和高频波解冻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波和高频波解冻设备项目团队着重于明确定义微波和高频波解冻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波和高频波解冻设备项目进展的持续监控，团队能够及时发现潜在问题并作出迅速反应。微波和高频波解冻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波和高频波解冻设备项目得以更有序、可控地推进。</w:t>
      </w:r>
    </w:p>
    <w:p>
      <w:pPr>
        <w:pStyle w:val="Heading2"/>
        <w:ind w:firstLine="560" w:firstLineChars="200"/>
        <w:rPr>
          <w:rFonts w:ascii="仿宋" w:eastAsia="仿宋" w:hAnsi="仿宋" w:cs="仿宋" w:hint="eastAsia"/>
          <w:sz w:val="28"/>
          <w:lang w:eastAsia="zh-CN"/>
        </w:rPr>
      </w:pPr>
      <w:bookmarkStart w:id="17" w:name="_Toc2361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在危机发生时，微波和高频波解冻设备项目团队立即行动，成立了应急小组。该小组的任务是迅速制定并实施紧急应对措施，以最小化潜在损失。以下是采取的主要措施：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暂停微波和高频波解冻设备项目进度：为遏制危机蔓延，微波和高频波解冻设备项目暂时停止进行，以便全面评估当前状况。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资源重新分配：重新评估微波和高频波解冻设备项目资源的分配，确保最大限度地减小损失。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实时沟通：与关键利益相关者建立实时沟通机制，向他们传递微波和高频波解冻设备项目危机的实际状况，保障微波和高频波解冻设备项目核心利益。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在紧急应对的同时，微波和高频波解冻设备项目团队强调了团队协作和有效沟通的重要性。以下是团队协作的关键举措：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信息共享机制：建立了信息共享平台，确保团队成员能够及时获取微波和高频波解冻设备项目危机的实时信息。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领导者沟通：微波和高频波解冻设备项目领导者通过定期会议和即时沟通工具，指导团队应对危机，保持团队稳定运行。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随着危机得到初步控制，微波和高频波解冻设备项目团队转向制定恢复计划，以确保微波和高频波解冻设备项目能够从中迅速恢复。主要恢复计划包括：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修复受损的进度计划：重新评估微波和高频波解冻设备项目进度，制定修复计划，确保微波和高频波解冻设备项目尽快回归正常进程。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重新调整资源分配：优化资源分配，确保微波和高频波解冻设备项目在有限资源下高效运转。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风险管理机制加强：对微波和高频波解冻设备项目风险进行全面评估，制定更强化的风险管理策略，以预防未来可能的危机。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126"/>
      <w:r>
        <w:rPr>
          <w:rFonts w:ascii="仿宋" w:eastAsia="仿宋" w:hAnsi="仿宋" w:cs="仿宋" w:hint="eastAsia"/>
          <w:sz w:val="28"/>
          <w:lang w:eastAsia="zh-CN"/>
        </w:rPr>
        <w:t>六、微波和高频波解冻设备项目选址可行性分析</w:t>
      </w:r>
      <w:bookmarkEnd w:id="18"/>
    </w:p>
    <w:p>
      <w:pPr>
        <w:pStyle w:val="Heading2"/>
        <w:rPr>
          <w:rFonts w:ascii="仿宋" w:eastAsia="仿宋" w:hAnsi="仿宋" w:cs="仿宋" w:hint="eastAsia"/>
          <w:lang w:eastAsia="zh-CN"/>
        </w:rPr>
      </w:pPr>
      <w:bookmarkStart w:id="19" w:name="_Toc15513"/>
      <w:r>
        <w:rPr>
          <w:rFonts w:ascii="仿宋" w:eastAsia="仿宋" w:hAnsi="仿宋" w:cs="仿宋" w:hint="eastAsia"/>
          <w:lang w:eastAsia="zh-CN"/>
        </w:rPr>
        <w:t>(一)、微波和高频波解冻设备项目选址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该微波和高频波解冻设备项目选址位于XX省XX市XX区XXX街道</w:t>
      </w:r>
    </w:p>
    <w:p>
      <w:pPr>
        <w:pStyle w:val="Heading2"/>
        <w:ind w:firstLine="560" w:firstLineChars="200"/>
        <w:rPr>
          <w:rFonts w:ascii="仿宋" w:eastAsia="仿宋" w:hAnsi="仿宋" w:cs="仿宋" w:hint="eastAsia"/>
          <w:sz w:val="28"/>
          <w:lang w:eastAsia="zh-CN"/>
        </w:rPr>
      </w:pPr>
      <w:bookmarkStart w:id="20" w:name="_Toc233"/>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波和高频波解冻设备项目的征地面积将根据微波和高频波解冻设备项目的实际规模和需求进行精确规划。具体面积XXX平方米，旨在确保微波和高频波解冻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净用地面积是在征地面积基础上去除不可利用面积后的实际可开发用地。具体面积XXX平方米，考虑到环保、交通、安全等多方面因素，以确保微波和高频波解冻设备项目在整体利用效率上达到最优。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微波和高频波解冻设备项目计划建设的建筑总规模具体面积XXX平方米。这一规模的确定综合考虑了微波和高频波解冻设备项目的性质、规模，以及城市规划的相关要求，确保建筑布局与周边环境协调一致。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https://d.book118.com/446242214010010035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微波和高频波解冻设备项目规划设计蓝图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0B799A"/>
    <w:rsid w:val="580B79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624221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2024-01-15T11:03:00Z</dcterms:created>
  <dcterms:modified xsi:type="dcterms:W3CDTF">2024-01-15T11:03:59Z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A92A61B3BD3142DBA8698C44204AFBD3_11</vt:lpwstr>
  </property>
  <property fmtid="{D5CDD505-2E9C-101B-9397-08002B2CF9AE}" pid="3" name="KSOProductBuildVer">
    <vt:lpwstr>2052-12.1.0.16120</vt:lpwstr>
  </property>
</Properties>
</file>