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52869">
        <w:rPr>
          <w:rFonts w:ascii="微软雅黑" w:eastAsia="微软雅黑" w:hAnsi="微软雅黑"/>
          <w:b/>
          <w:sz w:val="28"/>
          <w:szCs w:val="28"/>
        </w:rPr>
        <w:t>保险公司经理工作总结汇报(5篇)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52869">
        <w:rPr>
          <w:rFonts w:ascii="微软雅黑" w:eastAsia="微软雅黑" w:hAnsi="微软雅黑"/>
          <w:sz w:val="24"/>
          <w:szCs w:val="24"/>
        </w:rPr>
        <w:t xml:space="preserve"> 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保险公司经理工作总结汇报篇一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正是由于遵循了这一指导思想，截至12月6日，×中心支公司共实现保费收入16431万元，完成全年任务计划的122%，到今年11月份的市场占有率为25%。其中，个险新保保费收入(含意外险)1610万元，完成年度计划的80.5%，同比增长20%,全省达成率第八名;意外险完成474万元，完成年度计划的103%，同比增长60%,提前一个月完成全年任务。团寿险完成2546万，完成计划的195%，提前半年超额完成任务;中介代理保费实现保费收入6778.6万元，完成年度计划的101.1%;个险续收保费2928.5元，完成年度计划的100%。</w:t>
      </w:r>
      <w:r w:rsidR="00852869">
        <w:rPr>
          <w:rFonts w:ascii="微软雅黑" w:eastAsia="微软雅黑" w:hAnsi="微软雅黑"/>
          <w:sz w:val="24"/>
          <w:szCs w:val="24"/>
        </w:rPr>
        <w:t xml:space="preserve"> 与去年同期相比，业务结构更加合理，经济效益大幅度提高。同时，公司在当地保险市场的占比和社会影响都有了非常大的提高，全年新保总量居市场的第二位。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回顾今年的工作，可以概括为以下几个方面：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业务发展是公司的生存之本。我们一直把如何提高业务平台，扩大市场占比作为工作中的重点。全面贯彻落实“稳健经营、以效益为中心”的指导思想，积极推进业务结构的战略性调整。按照省公司的统一部署，中支公司总经理室带领广大员工迅速转变观念，提高强烈的市场竞争和危机意识。严抓基础管理，拓宽业务渠道，以纯传统险和意外险作为两大业务发展重点。牢固树立“诚信天下、稳健一生”的经营理念，不断优化业务机构，提升业务质量，在业务结构、质量、规模、效益等方面都实现了新的突破，得到了全面的发展。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1、在个险业务方面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52869">
        <w:rPr>
          <w:rFonts w:ascii="微软雅黑" w:eastAsia="微软雅黑" w:hAnsi="微软雅黑"/>
          <w:sz w:val="24"/>
          <w:szCs w:val="24"/>
        </w:rPr>
        <w:t xml:space="preserve"> 按照年初制订的总体战略，以标团建设为重点，突出培训，强化增员，稳扎稳打，健康发展，管理一步一个脚印，成绩一步一个台阶。顺利实现“首季开门红”后，又积极配合参与省公司开展的“四五”联动对抗赛活动，我公司全体员工和广大营销员，以忘我的工作热情，高度的荣誉感、责任感和必胜的信心，积极投入到了这场为荣誉而战的战斗中去，取得良好的竞赛成绩。在省公司“八九”联动业务竞赛中，我们也获得小组胜出奖，战胜×。全年个险保费和增员率在各家保险公司下滑的情况下，继续保持稳步增长。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2、在团险业务方面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在市场非常艰难的情况下，抓住有力时机，大力开拓渠道业务，“绿色救助”、“小额信贷”“建工险”等都已经走上了良性发展的轨道。在今年12月份，我公司与胜利油田顺利续签了“职工团体商业医疗保险合同”。这个合同的签定，为我们公司带来巨大的社会效益和社会影响，为公司的有续发展奠定了坚实的基础。意外险业务规模迅速扩大，赔付率不断下降。在东营各个保险公司的业务都没有增长或有所下滑的情况下，我们的意外险业务对比03年度实现了较大幅度增长，市场占比不断扩大。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3、银行保险方面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今年，面对竞争异常激烈的市场，在强化对银行客户经理综合素质培训的基础上，进一步加大了对渠道的管理和维护，对银行渠道进行了梳理，对其架构做了调整，使渠道管理更具有专业化、规范化，使红利来和小额信贷险业务都得到了健康发展。在费用下调的情况下，我们的红利来趸交业务仍然完成了6755万元，顺利完成省公司下达的任务。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4、续收业务方面</w:t>
        <w:br/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="0085286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https://d.book118.com/447015000106006053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71570"/>
    <w:rsid w:val="00707240"/>
    <w:rsid w:val="00852869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4701500010600605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2484</Words>
  <Characters>14164</Characters>
  <Application>Microsoft Office Word</Application>
  <DocSecurity>0</DocSecurity>
  <Lines>118</Lines>
  <Paragraphs>33</Paragraphs>
  <ScaleCrop>false</ScaleCrop>
  <Company/>
  <LinksUpToDate>false</LinksUpToDate>
  <CharactersWithSpaces>16615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2023-11-03T10:16:00Z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