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6"/>
        </w:rPr>
      </w:pPr>
    </w:p>
    <w:p>
      <w:pPr>
        <w:pStyle w:val="Title"/>
        <w:tabs>
          <w:tab w:val="left" w:pos="5929"/>
        </w:tabs>
      </w:pPr>
      <w:r>
        <w:t>第三卷</w:t>
        <w:tab/>
        <w:t>工程技术规范</w:t>
      </w:r>
    </w:p>
    <w:p>
      <w:pPr>
        <w:pStyle w:val="BodyText"/>
        <w:rPr>
          <w:b/>
          <w:sz w:val="72"/>
        </w:rPr>
      </w:pPr>
    </w:p>
    <w:p>
      <w:pPr>
        <w:pStyle w:val="BodyText"/>
        <w:rPr>
          <w:b/>
          <w:sz w:val="72"/>
        </w:rPr>
      </w:pPr>
    </w:p>
    <w:p>
      <w:pPr>
        <w:pStyle w:val="BodyText"/>
        <w:spacing w:before="4"/>
        <w:rPr>
          <w:b/>
          <w:sz w:val="83"/>
        </w:rPr>
      </w:pPr>
    </w:p>
    <w:p>
      <w:pPr>
        <w:tabs>
          <w:tab w:val="left" w:pos="5897"/>
        </w:tabs>
        <w:spacing w:before="1"/>
        <w:ind w:left="3095" w:right="0" w:firstLine="0"/>
        <w:jc w:val="left"/>
        <w:rPr>
          <w:b/>
          <w:sz w:val="66"/>
        </w:rPr>
      </w:pPr>
      <w:r>
        <w:rPr>
          <w:b/>
          <w:sz w:val="66"/>
        </w:rPr>
        <w:t>第九篇</w:t>
        <w:tab/>
        <w:t>技术规范与要求</w:t>
      </w: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rPr>
          <w:b/>
          <w:sz w:val="66"/>
        </w:rPr>
      </w:pPr>
    </w:p>
    <w:p>
      <w:pPr>
        <w:pStyle w:val="BodyText"/>
        <w:spacing w:before="1"/>
        <w:rPr>
          <w:b/>
          <w:sz w:val="47"/>
        </w:rPr>
      </w:pPr>
    </w:p>
    <w:p>
      <w:pPr>
        <w:spacing w:before="0"/>
        <w:ind w:left="3124" w:right="0" w:firstLine="0"/>
        <w:jc w:val="left"/>
        <w:rPr>
          <w:b/>
          <w:sz w:val="54"/>
        </w:rPr>
      </w:pPr>
      <w:r>
        <w:rPr>
          <w:b/>
          <w:sz w:val="54"/>
        </w:rPr>
        <w:t>深圳皇岗地铁口岸联检楼项目</w:t>
      </w:r>
    </w:p>
    <w:p>
      <w:pPr>
        <w:spacing w:after="0"/>
        <w:jc w:val="left"/>
        <w:rPr>
          <w:sz w:val="54"/>
        </w:rPr>
        <w:sectPr>
          <w:type w:val="continuous"/>
          <w:pgSz w:w="17860" w:h="25260"/>
          <w:pgMar w:top="2420" w:right="2220" w:bottom="280" w:left="2280" w:header="708" w:footer="708"/>
          <w:cols w:space="708"/>
        </w:sectPr>
      </w:pPr>
    </w:p>
    <w:p>
      <w:pPr>
        <w:spacing w:before="1"/>
        <w:ind w:left="0" w:right="75" w:firstLine="0"/>
        <w:jc w:val="center"/>
        <w:rPr>
          <w:b/>
          <w:sz w:val="54"/>
        </w:rPr>
      </w:pPr>
      <w:r>
        <w:rPr>
          <w:b/>
          <w:sz w:val="54"/>
        </w:rPr>
        <w:t>高压变配电及 10KV 外线工程技术要求</w:t>
      </w:r>
    </w:p>
    <w:p>
      <w:pPr>
        <w:pStyle w:val="BodyText"/>
        <w:rPr>
          <w:b/>
          <w:sz w:val="54"/>
        </w:rPr>
      </w:pPr>
    </w:p>
    <w:p>
      <w:pPr>
        <w:pStyle w:val="BodyText"/>
        <w:spacing w:before="1"/>
        <w:rPr>
          <w:b/>
          <w:sz w:val="38"/>
        </w:rPr>
      </w:pPr>
    </w:p>
    <w:p>
      <w:pPr>
        <w:tabs>
          <w:tab w:val="left" w:pos="1626"/>
        </w:tabs>
        <w:spacing w:before="1"/>
        <w:ind w:left="0" w:right="591" w:firstLine="0"/>
        <w:jc w:val="center"/>
        <w:rPr>
          <w:b/>
          <w:sz w:val="54"/>
        </w:rPr>
      </w:pPr>
      <w:r>
        <w:rPr>
          <w:b/>
          <w:sz w:val="54"/>
        </w:rPr>
        <w:t>目</w:t>
        <w:tab/>
        <w:t>录</w:t>
      </w:r>
    </w:p>
    <w:p>
      <w:pPr>
        <w:pStyle w:val="BodyText"/>
        <w:rPr>
          <w:b/>
          <w:sz w:val="54"/>
        </w:rPr>
      </w:pPr>
    </w:p>
    <w:p>
      <w:pPr>
        <w:pStyle w:val="BodyText"/>
        <w:spacing w:before="2"/>
        <w:rPr>
          <w:b/>
          <w:sz w:val="59"/>
        </w:rPr>
      </w:pPr>
    </w:p>
    <w:sdt>
      <w:sdtPr>
        <w:id w:val="189876269"/>
        <w:docPartObj>
          <w:docPartGallery w:val="Table of Contents"/>
          <w:docPartUnique/>
        </w:docPartObj>
      </w:sdtPr>
      <w:sdtContent>
        <w:p>
          <w:pPr>
            <w:pStyle w:val="TOC1"/>
            <w:tabs>
              <w:tab w:val="left" w:pos="2227"/>
              <w:tab w:val="right" w:leader="dot" w:pos="12133"/>
            </w:tabs>
            <w:rPr>
              <w:rFonts w:ascii="Arial" w:eastAsia="Arial"/>
              <w:b w:val="0"/>
            </w:rPr>
          </w:pPr>
          <w:hyperlink w:anchor="_TOC_250011" w:history="1">
            <w:r>
              <w:t>第一章</w:t>
              <w:tab/>
              <w:t>概况</w:t>
              <w:tab/>
            </w:r>
            <w:r>
              <w:rPr>
                <w:rFonts w:ascii="Arial" w:eastAsia="Arial"/>
                <w:b w:val="0"/>
              </w:rPr>
              <w:t>2</w:t>
            </w:r>
          </w:hyperlink>
        </w:p>
        <w:p>
          <w:pPr>
            <w:pStyle w:val="TOC2"/>
            <w:tabs>
              <w:tab w:val="right" w:leader="dot" w:pos="12133"/>
            </w:tabs>
          </w:pPr>
          <w:hyperlink w:anchor="_TOC_250010" w:history="1">
            <w:r>
              <w:t>第一节 高压工程简介…</w:t>
              <w:tab/>
              <w:t>2</w:t>
            </w:r>
          </w:hyperlink>
        </w:p>
        <w:p>
          <w:pPr>
            <w:pStyle w:val="TOC2"/>
            <w:tabs>
              <w:tab w:val="left" w:pos="2580"/>
              <w:tab w:val="right" w:leader="dot" w:pos="12122"/>
            </w:tabs>
          </w:pPr>
          <w:hyperlink w:anchor="_TOC_250009" w:history="1">
            <w:r>
              <w:t>第二节</w:t>
              <w:tab/>
              <w:t>工作范围…</w:t>
              <w:tab/>
              <w:t>2</w:t>
            </w:r>
          </w:hyperlink>
        </w:p>
        <w:p>
          <w:pPr>
            <w:pStyle w:val="TOC2"/>
            <w:tabs>
              <w:tab w:val="left" w:pos="2580"/>
              <w:tab w:val="right" w:leader="dot" w:pos="12122"/>
            </w:tabs>
          </w:pPr>
          <w:hyperlink w:anchor="_TOC_250008" w:history="1">
            <w:r>
              <w:t>第三节</w:t>
              <w:tab/>
              <w:t>法律法规及施工依据…</w:t>
              <w:tab/>
              <w:t>3</w:t>
            </w:r>
          </w:hyperlink>
        </w:p>
        <w:p>
          <w:pPr>
            <w:pStyle w:val="TOC1"/>
            <w:tabs>
              <w:tab w:val="left" w:pos="2227"/>
              <w:tab w:val="right" w:leader="dot" w:pos="12137"/>
            </w:tabs>
            <w:spacing w:before="475"/>
            <w:rPr>
              <w:rFonts w:ascii="Arial" w:eastAsia="Arial"/>
              <w:b w:val="0"/>
            </w:rPr>
          </w:pPr>
          <w:hyperlink w:anchor="_TOC_250007" w:history="1">
            <w:r>
              <w:t>第二章</w:t>
              <w:tab/>
              <w:t>通用要求</w:t>
              <w:tab/>
            </w:r>
            <w:r>
              <w:rPr>
                <w:rFonts w:ascii="Arial" w:eastAsia="Arial"/>
                <w:b w:val="0"/>
              </w:rPr>
              <w:t>4</w:t>
            </w:r>
          </w:hyperlink>
        </w:p>
        <w:p>
          <w:pPr>
            <w:pStyle w:val="TOC2"/>
            <w:tabs>
              <w:tab w:val="left" w:pos="2580"/>
              <w:tab w:val="right" w:leader="dot" w:pos="12122"/>
            </w:tabs>
            <w:spacing w:before="474"/>
          </w:pPr>
          <w:hyperlink w:anchor="_TOC_250006" w:history="1">
            <w:r>
              <w:t>第一节</w:t>
              <w:tab/>
              <w:t>施工过程的协调与配合…</w:t>
              <w:tab/>
              <w:t>4</w:t>
            </w:r>
          </w:hyperlink>
        </w:p>
        <w:p>
          <w:pPr>
            <w:pStyle w:val="TOC2"/>
            <w:tabs>
              <w:tab w:val="left" w:pos="2580"/>
              <w:tab w:val="right" w:leader="dot" w:pos="12122"/>
            </w:tabs>
          </w:pPr>
          <w:r>
            <w:t>第二节</w:t>
            <w:tab/>
            <w:t>材料与设备说明…</w:t>
            <w:tab/>
            <w:t>5</w:t>
          </w:r>
        </w:p>
        <w:p>
          <w:pPr>
            <w:pStyle w:val="TOC2"/>
            <w:tabs>
              <w:tab w:val="left" w:pos="2580"/>
              <w:tab w:val="right" w:leader="dot" w:pos="12122"/>
            </w:tabs>
          </w:pPr>
          <w:hyperlink w:anchor="_TOC_250005" w:history="1">
            <w:r>
              <w:t>第三节</w:t>
              <w:tab/>
              <w:t>培训…</w:t>
              <w:tab/>
              <w:t>7</w:t>
            </w:r>
          </w:hyperlink>
        </w:p>
        <w:p>
          <w:pPr>
            <w:pStyle w:val="TOC2"/>
            <w:tabs>
              <w:tab w:val="left" w:pos="2580"/>
              <w:tab w:val="right" w:leader="dot" w:pos="12122"/>
            </w:tabs>
          </w:pPr>
          <w:hyperlink w:anchor="_TOC_250004" w:history="1">
            <w:r>
              <w:t>第四节</w:t>
              <w:tab/>
              <w:t>零备件及工具…</w:t>
              <w:tab/>
              <w:t>8</w:t>
            </w:r>
          </w:hyperlink>
        </w:p>
        <w:p>
          <w:pPr>
            <w:pStyle w:val="TOC2"/>
            <w:tabs>
              <w:tab w:val="left" w:pos="2580"/>
              <w:tab w:val="right" w:leader="dot" w:pos="12122"/>
            </w:tabs>
          </w:pPr>
          <w:hyperlink w:anchor="_TOC_250003" w:history="1">
            <w:r>
              <w:t>第五节</w:t>
              <w:tab/>
              <w:t>免费维修保养…</w:t>
              <w:tab/>
              <w:t>8</w:t>
            </w:r>
          </w:hyperlink>
        </w:p>
        <w:p>
          <w:pPr>
            <w:pStyle w:val="TOC2"/>
            <w:tabs>
              <w:tab w:val="left" w:pos="2580"/>
              <w:tab w:val="right" w:leader="dot" w:pos="12122"/>
            </w:tabs>
          </w:pPr>
          <w:hyperlink w:anchor="_TOC_250002" w:history="1">
            <w:r>
              <w:t>第六节</w:t>
              <w:tab/>
              <w:t>维护保养…</w:t>
              <w:tab/>
              <w:t>8</w:t>
            </w:r>
          </w:hyperlink>
        </w:p>
        <w:p>
          <w:pPr>
            <w:pStyle w:val="TOC1"/>
            <w:tabs>
              <w:tab w:val="left" w:pos="2047"/>
              <w:tab w:val="right" w:leader="dot" w:pos="12137"/>
            </w:tabs>
            <w:spacing w:before="474"/>
            <w:rPr>
              <w:rFonts w:ascii="Arial" w:eastAsia="Arial"/>
              <w:b w:val="0"/>
            </w:rPr>
          </w:pPr>
          <w:hyperlink w:anchor="_TOC_250001" w:history="1">
            <w:r>
              <w:t>第三章</w:t>
              <w:tab/>
              <w:t>专用要求</w:t>
              <w:tab/>
            </w:r>
            <w:r>
              <w:rPr>
                <w:rFonts w:ascii="Arial" w:eastAsia="Arial"/>
                <w:b w:val="0"/>
              </w:rPr>
              <w:t>9</w:t>
            </w:r>
          </w:hyperlink>
        </w:p>
        <w:p>
          <w:pPr>
            <w:pStyle w:val="TOC2"/>
            <w:tabs>
              <w:tab w:val="left" w:pos="2580"/>
              <w:tab w:val="right" w:leader="dot" w:pos="12122"/>
            </w:tabs>
            <w:rPr>
              <w:rFonts w:ascii="Arial" w:eastAsia="Arial"/>
            </w:rPr>
          </w:pPr>
          <w:r>
            <w:t>第一节</w:t>
            <w:tab/>
            <w:t>高压柜安装要求</w:t>
            <w:tab/>
          </w:r>
          <w:r>
            <w:rPr>
              <w:rFonts w:ascii="Arial" w:eastAsia="Arial"/>
            </w:rPr>
            <w:t>9</w:t>
          </w:r>
        </w:p>
        <w:p>
          <w:pPr>
            <w:pStyle w:val="TOC2"/>
            <w:tabs>
              <w:tab w:val="left" w:pos="2580"/>
              <w:tab w:val="right" w:leader="dot" w:pos="12302"/>
            </w:tabs>
          </w:pPr>
          <w:hyperlink w:anchor="_TOC_250000" w:history="1">
            <w:r>
              <w:t>第二节</w:t>
              <w:tab/>
              <w:t>变压器安装要求</w:t>
              <w:tab/>
              <w:t>10</w:t>
            </w:r>
          </w:hyperlink>
        </w:p>
        <w:p>
          <w:pPr>
            <w:pStyle w:val="TOC2"/>
            <w:tabs>
              <w:tab w:val="left" w:pos="2580"/>
              <w:tab w:val="right" w:leader="dot" w:pos="12302"/>
            </w:tabs>
            <w:spacing w:before="476"/>
            <w:rPr>
              <w:rFonts w:ascii="Arial" w:eastAsia="Arial"/>
            </w:rPr>
          </w:pPr>
          <w:r>
            <w:t>第三节</w:t>
            <w:tab/>
            <w:t>高压电缆敷设与安装要求</w:t>
            <w:tab/>
          </w:r>
          <w:r>
            <w:rPr>
              <w:rFonts w:ascii="Arial" w:eastAsia="Arial"/>
            </w:rPr>
            <w:t>11</w:t>
          </w:r>
        </w:p>
        <w:p>
          <w:pPr>
            <w:pStyle w:val="TOC2"/>
            <w:tabs>
              <w:tab w:val="left" w:pos="2580"/>
              <w:tab w:val="right" w:leader="dot" w:pos="12302"/>
            </w:tabs>
            <w:spacing w:before="474"/>
            <w:rPr>
              <w:rFonts w:ascii="Arial" w:eastAsia="Arial"/>
            </w:rPr>
          </w:pPr>
          <w:r>
            <w:t>第四节</w:t>
            <w:tab/>
            <w:t>设备技术要求</w:t>
            <w:tab/>
          </w:r>
          <w:r>
            <w:rPr>
              <w:rFonts w:ascii="Arial" w:eastAsia="Arial"/>
            </w:rPr>
            <w:t>12</w:t>
          </w:r>
        </w:p>
      </w:sdtContent>
    </w:sdt>
    <w:p>
      <w:pPr>
        <w:spacing w:after="0"/>
        <w:rPr>
          <w:rFonts w:ascii="Arial" w:eastAsia="Arial"/>
        </w:rPr>
        <w:sectPr>
          <w:footerReference w:type="default" r:id="rId4"/>
          <w:pgSz w:w="17860" w:h="25260"/>
          <w:pgMar w:top="1800" w:right="2220" w:bottom="2000" w:left="2280" w:header="0" w:footer="1806"/>
          <w:pgNumType w:start="1"/>
          <w:cols w:space="708"/>
        </w:sectPr>
      </w:pPr>
    </w:p>
    <w:p>
      <w:pPr>
        <w:pStyle w:val="Heading1"/>
        <w:tabs>
          <w:tab w:val="left" w:pos="2982"/>
          <w:tab w:val="left" w:pos="4185"/>
        </w:tabs>
        <w:spacing w:before="9"/>
        <w:ind w:left="570"/>
      </w:pPr>
      <w:bookmarkStart w:id="0" w:name="_TOC_250011"/>
      <w:bookmarkEnd w:id="0"/>
      <w:r>
        <w:t>第一章</w:t>
        <w:tab/>
        <w:t>概</w:t>
        <w:tab/>
        <w:t>况</w:t>
      </w:r>
    </w:p>
    <w:p>
      <w:pPr>
        <w:pStyle w:val="BodyText"/>
        <w:spacing w:before="1"/>
        <w:rPr>
          <w:b/>
          <w:sz w:val="68"/>
        </w:rPr>
      </w:pPr>
    </w:p>
    <w:p>
      <w:pPr>
        <w:pStyle w:val="Heading2"/>
        <w:tabs>
          <w:tab w:val="left" w:pos="2588"/>
        </w:tabs>
        <w:ind w:left="558"/>
      </w:pPr>
      <w:bookmarkStart w:id="1" w:name="_TOC_250010"/>
      <w:bookmarkEnd w:id="1"/>
      <w:r>
        <w:t>第一节</w:t>
        <w:tab/>
        <w:t>高压工程简介</w:t>
      </w:r>
    </w:p>
    <w:p>
      <w:pPr>
        <w:pStyle w:val="BodyText"/>
        <w:rPr>
          <w:b/>
          <w:sz w:val="44"/>
        </w:rPr>
      </w:pPr>
    </w:p>
    <w:p>
      <w:pPr>
        <w:pStyle w:val="BodyText"/>
        <w:spacing w:before="385" w:line="424" w:lineRule="auto"/>
        <w:ind w:left="420" w:right="304" w:firstLine="723"/>
        <w:rPr>
          <w:sz w:val="24"/>
        </w:rPr>
      </w:pPr>
      <w:r>
        <w:t>本工程由市供电部门提供两路 10KV</w:t>
      </w:r>
      <w:r>
        <w:rPr>
          <w:spacing w:val="-17"/>
        </w:rPr>
        <w:t xml:space="preserve"> 电源供电，两段高压母线分段同时运行，互为备用。</w:t>
      </w:r>
      <w:r>
        <w:rPr>
          <w:spacing w:val="1"/>
        </w:rPr>
        <w:t>设两个变配电室；地下一层配电室设置</w:t>
      </w:r>
      <w:r>
        <w:t>4</w:t>
      </w:r>
      <w:r>
        <w:rPr>
          <w:spacing w:val="-29"/>
        </w:rPr>
        <w:t xml:space="preserve"> 台 </w:t>
      </w:r>
      <w:r>
        <w:t>2000KVA</w:t>
      </w:r>
      <w:r>
        <w:rPr>
          <w:spacing w:val="-5"/>
        </w:rPr>
        <w:t xml:space="preserve"> 变压器；屋顶配电室设置</w:t>
      </w:r>
      <w:r>
        <w:t>2</w:t>
      </w:r>
      <w:r>
        <w:rPr>
          <w:spacing w:val="-28"/>
        </w:rPr>
        <w:t xml:space="preserve"> 台 </w:t>
      </w:r>
      <w:r>
        <w:t xml:space="preserve">1000KVA </w:t>
      </w:r>
      <w:r>
        <w:rPr>
          <w:spacing w:val="-12"/>
        </w:rPr>
        <w:t xml:space="preserve">变压器;共计有 </w:t>
      </w:r>
      <w:r>
        <w:t>16</w:t>
      </w:r>
      <w:r>
        <w:rPr>
          <w:spacing w:val="-10"/>
        </w:rPr>
        <w:t xml:space="preserve"> 台高压开关柜进行控制。</w:t>
      </w:r>
      <w:r>
        <w:rPr>
          <w:color w:val="F8F8F8"/>
          <w:position w:val="-6"/>
          <w:sz w:val="24"/>
        </w:rPr>
        <w:t>矚慫润厲钐瘗睞枥庑赖。</w:t>
      </w:r>
    </w:p>
    <w:p>
      <w:pPr>
        <w:tabs>
          <w:tab w:val="left" w:pos="2170"/>
        </w:tabs>
        <w:spacing w:before="203"/>
        <w:ind w:left="0" w:right="69" w:firstLine="0"/>
        <w:jc w:val="center"/>
        <w:rPr>
          <w:b/>
          <w:sz w:val="48"/>
        </w:rPr>
      </w:pPr>
      <w:bookmarkStart w:id="2" w:name="_TOC_250009"/>
      <w:bookmarkEnd w:id="2"/>
      <w:r>
        <w:rPr>
          <w:b/>
          <w:sz w:val="48"/>
        </w:rPr>
        <w:t>第二节</w:t>
        <w:tab/>
        <w:t>工作范围</w:t>
      </w:r>
    </w:p>
    <w:p>
      <w:pPr>
        <w:pStyle w:val="BodyText"/>
        <w:spacing w:before="1"/>
        <w:rPr>
          <w:b/>
          <w:sz w:val="66"/>
        </w:rPr>
      </w:pPr>
    </w:p>
    <w:p>
      <w:pPr>
        <w:pStyle w:val="BodyText"/>
        <w:spacing w:line="424" w:lineRule="auto"/>
        <w:ind w:left="420" w:right="495" w:firstLine="719"/>
      </w:pPr>
      <w:r>
        <w:t>本承包人负责供应及安装所有有关设备、材料、劳务及施工机械等以完成图纸所示工作内容。工作范围如下：</w:t>
      </w:r>
    </w:p>
    <w:p>
      <w:pPr>
        <w:pStyle w:val="BodyText"/>
        <w:spacing w:line="424" w:lineRule="auto"/>
        <w:ind w:left="420" w:right="264" w:firstLine="629"/>
      </w:pPr>
      <w:r>
        <w:t>1</w:t>
      </w:r>
      <w:r>
        <w:rPr>
          <w:spacing w:val="5"/>
        </w:rPr>
        <w:t>、从雅苑变电站</w:t>
      </w:r>
      <w:r>
        <w:rPr>
          <w:spacing w:val="-9"/>
        </w:rPr>
        <w:t>F61（</w:t>
      </w:r>
      <w:r>
        <w:t>皇检一线）</w:t>
      </w:r>
      <w:r>
        <w:rPr>
          <w:spacing w:val="5"/>
        </w:rPr>
        <w:t>和滨河变电站</w:t>
      </w:r>
      <w:r>
        <w:rPr>
          <w:spacing w:val="-10"/>
        </w:rPr>
        <w:t>F41（</w:t>
      </w:r>
      <w:r>
        <w:t xml:space="preserve">皇检二线）供电开关接线至皇岗 </w:t>
      </w:r>
      <w:r>
        <w:rPr>
          <w:spacing w:val="2"/>
        </w:rPr>
        <w:t>地铁口岸联检楼地下一层变电所和楼顶变电所的</w:t>
      </w:r>
      <w:r>
        <w:t>10kV 外线电缆，以及从高压柜至变压器、低</w:t>
      </w:r>
      <w:r>
        <w:rPr>
          <w:spacing w:val="-1"/>
        </w:rPr>
        <w:t>压柜至直流屏和直流屏至高压柜之间的电缆供应、敷设、安装、测试、试验、调试等直至通</w:t>
      </w:r>
      <w:r>
        <w:rPr>
          <w:spacing w:val="-2"/>
        </w:rPr>
        <w:t>过验收送电，包括永久性用电的申报、负责向当地供电部门送用电手续的办理和报装等。</w:t>
      </w:r>
    </w:p>
    <w:p>
      <w:pPr>
        <w:spacing w:before="104"/>
        <w:ind w:left="420" w:right="0" w:firstLine="0"/>
        <w:jc w:val="left"/>
        <w:rPr>
          <w:sz w:val="24"/>
        </w:rPr>
      </w:pPr>
      <w:r>
        <w:rPr>
          <w:color w:val="F8F8F8"/>
          <w:sz w:val="24"/>
        </w:rPr>
        <w:t>聞創沟燴鐺險爱氇谴净。</w:t>
      </w:r>
    </w:p>
    <w:p>
      <w:pPr>
        <w:pStyle w:val="BodyText"/>
        <w:spacing w:before="3"/>
        <w:rPr>
          <w:sz w:val="22"/>
        </w:rPr>
      </w:pPr>
    </w:p>
    <w:p>
      <w:pPr>
        <w:pStyle w:val="BodyText"/>
        <w:ind w:left="1050"/>
      </w:pPr>
      <w:r>
        <w:t>2、室内外高压电缆敷设安装，系统联动调试、测试，中间头、终端头的制作和测试等。</w:t>
      </w:r>
    </w:p>
    <w:p>
      <w:pPr>
        <w:pStyle w:val="BodyText"/>
        <w:spacing w:before="10"/>
        <w:rPr>
          <w:sz w:val="23"/>
        </w:rPr>
      </w:pPr>
    </w:p>
    <w:p>
      <w:pPr>
        <w:pStyle w:val="BodyText"/>
        <w:spacing w:line="424" w:lineRule="auto"/>
        <w:ind w:left="463" w:right="273" w:firstLine="629"/>
        <w:rPr>
          <w:sz w:val="24"/>
        </w:rPr>
      </w:pPr>
      <w:r>
        <w:t>3、市政电缆沟（井）</w:t>
      </w:r>
      <w:r>
        <w:rPr>
          <w:spacing w:val="-15"/>
        </w:rPr>
        <w:t>的贯通、清理和恢复(电缆沟盖板、电缆井盖的破损等)，人行道、</w:t>
      </w:r>
      <w:r>
        <w:t xml:space="preserve">道路、绿化带的破土开挖、埋管和恢复，过路顶管等所有外线施工辅助工程的施工和进线  </w:t>
      </w:r>
      <w:r>
        <w:rPr>
          <w:spacing w:val="-3"/>
        </w:rPr>
        <w:t xml:space="preserve">之前电缆井的制作、施工过程中的安全防护措施,以及与相关部门的协调沟通及办理相关手 </w:t>
      </w:r>
      <w:r>
        <w:rPr>
          <w:spacing w:val="-4"/>
          <w:position w:val="6"/>
        </w:rPr>
        <w:t>续等。</w:t>
      </w:r>
      <w:r>
        <w:rPr>
          <w:color w:val="F8F8F8"/>
          <w:sz w:val="24"/>
        </w:rPr>
        <w:t>残骛楼諍锩瀨濟溆塹籟。</w:t>
      </w:r>
    </w:p>
    <w:p>
      <w:pPr>
        <w:pStyle w:val="BodyText"/>
        <w:spacing w:line="353" w:lineRule="exact"/>
        <w:ind w:left="1050"/>
      </w:pPr>
      <w:r>
        <w:t>4、皇岗地铁口岸联检楼所有10kV 高压柜、直流电源柜、直流信号屏、变压器及温控装</w:t>
      </w:r>
    </w:p>
    <w:p>
      <w:pPr>
        <w:pStyle w:val="BodyText"/>
        <w:spacing w:before="10"/>
        <w:rPr>
          <w:sz w:val="23"/>
        </w:rPr>
      </w:pPr>
    </w:p>
    <w:p>
      <w:pPr>
        <w:pStyle w:val="BodyText"/>
        <w:spacing w:line="424" w:lineRule="auto"/>
        <w:ind w:left="420" w:right="422"/>
        <w:rPr>
          <w:sz w:val="24"/>
        </w:rPr>
      </w:pPr>
      <w:r>
        <w:t>置、本工程所有 10kV 电缆、为完成本工程所需的所有辅助材料、配件及备品备件的供货、安装、新设备（或入网）检测、测试、试验、调试直至通过验收送电。</w:t>
      </w:r>
      <w:r>
        <w:rPr>
          <w:color w:val="F8F8F8"/>
          <w:position w:val="-6"/>
          <w:sz w:val="24"/>
        </w:rPr>
        <w:t>酽锕极額閉镇桧猪訣锥。</w:t>
      </w:r>
    </w:p>
    <w:p>
      <w:pPr>
        <w:pStyle w:val="BodyText"/>
        <w:spacing w:line="346" w:lineRule="exact"/>
        <w:ind w:left="1050"/>
      </w:pPr>
      <w:r>
        <w:t>5 、所有电缆的支架、保护套管以及电缆护管在电缆敷设完毕后的防水密封及防火处理。</w:t>
      </w:r>
    </w:p>
    <w:p>
      <w:pPr>
        <w:pStyle w:val="BodyText"/>
        <w:spacing w:before="10"/>
        <w:rPr>
          <w:sz w:val="23"/>
        </w:rPr>
      </w:pPr>
    </w:p>
    <w:p>
      <w:pPr>
        <w:pStyle w:val="BodyText"/>
        <w:ind w:left="1050"/>
      </w:pPr>
      <w:r>
        <w:t>6、</w:t>
      </w:r>
      <w:r>
        <w:rPr>
          <w:rFonts w:ascii="Arial" w:eastAsia="Arial"/>
        </w:rPr>
        <w:t xml:space="preserve">10kv </w:t>
      </w:r>
      <w:r>
        <w:t>外线在移交至供电局相关部门之前的看护及偷盗破损等的修复。</w:t>
      </w:r>
    </w:p>
    <w:p>
      <w:pPr>
        <w:pStyle w:val="BodyText"/>
        <w:spacing w:before="305" w:line="424" w:lineRule="auto"/>
        <w:ind w:left="420" w:right="428" w:firstLine="629"/>
        <w:rPr>
          <w:sz w:val="24"/>
        </w:rPr>
      </w:pPr>
      <w:r>
        <w:t>7</w:t>
      </w:r>
      <w:r>
        <w:rPr>
          <w:spacing w:val="-1"/>
        </w:rPr>
        <w:t>、变电所高压配电室、变压器室的接地母线安装、接地电阻测试，绝缘橡胶地板的供</w:t>
      </w:r>
      <w:r>
        <w:rPr>
          <w:w w:val="102"/>
        </w:rPr>
        <w:t>货和安装（厚度不小于</w:t>
      </w:r>
      <w:r>
        <w:rPr>
          <w:spacing w:val="-90"/>
        </w:rPr>
        <w:t xml:space="preserve"> </w:t>
      </w:r>
      <w:r>
        <w:rPr>
          <w:w w:val="102"/>
        </w:rPr>
        <w:t>8m</w:t>
      </w:r>
      <w:r>
        <w:rPr>
          <w:spacing w:val="-8"/>
          <w:w w:val="102"/>
        </w:rPr>
        <w:t>m</w:t>
      </w:r>
      <w:r>
        <w:rPr>
          <w:spacing w:val="-159"/>
          <w:w w:val="102"/>
        </w:rPr>
        <w:t>）</w:t>
      </w:r>
      <w:r>
        <w:rPr>
          <w:w w:val="102"/>
        </w:rPr>
        <w:t>。</w:t>
      </w:r>
      <w:r>
        <w:rPr>
          <w:color w:val="F8F8F8"/>
          <w:w w:val="100"/>
          <w:position w:val="-6"/>
          <w:sz w:val="24"/>
        </w:rPr>
        <w:t>彈贸摄尔霁毙攬砖卤庑。</w:t>
      </w:r>
    </w:p>
    <w:p>
      <w:pPr>
        <w:pStyle w:val="BodyText"/>
        <w:spacing w:line="345" w:lineRule="exact"/>
        <w:ind w:left="1050"/>
      </w:pPr>
      <w:r>
        <w:t>8、变配电室架空地板及支架的深化设计、供货及安装（含防雷接地系统）及本工程的</w:t>
      </w:r>
    </w:p>
    <w:p>
      <w:pPr>
        <w:spacing w:after="0" w:line="345" w:lineRule="exact"/>
        <w:sectPr>
          <w:footerReference w:type="default" r:id="rId5"/>
          <w:pgSz w:w="17860" w:h="25260"/>
          <w:pgMar w:top="1880" w:right="2220" w:bottom="2040" w:left="2280" w:header="0" w:footer="1806"/>
          <w:pgNumType w:start="2"/>
          <w:cols w:space="708"/>
        </w:sectPr>
      </w:pPr>
    </w:p>
    <w:p>
      <w:pPr>
        <w:pStyle w:val="BodyText"/>
        <w:spacing w:before="44"/>
        <w:ind w:left="420"/>
      </w:pPr>
      <w:r>
        <w:t>深化设计。</w:t>
      </w:r>
    </w:p>
    <w:p>
      <w:pPr>
        <w:pStyle w:val="BodyText"/>
        <w:spacing w:before="11"/>
        <w:rPr>
          <w:sz w:val="23"/>
        </w:rPr>
      </w:pPr>
    </w:p>
    <w:p>
      <w:pPr>
        <w:pStyle w:val="BodyText"/>
        <w:spacing w:line="424" w:lineRule="auto"/>
        <w:ind w:left="420" w:right="461" w:firstLine="719"/>
        <w:jc w:val="both"/>
        <w:rPr>
          <w:sz w:val="24"/>
        </w:rPr>
      </w:pPr>
      <w:r>
        <w:t>9</w:t>
      </w:r>
      <w:r>
        <w:rPr>
          <w:spacing w:val="2"/>
        </w:rPr>
        <w:t>、高压柜、直流屏和变压器等设备二次接线图的绘制和完善，以及根据</w:t>
      </w:r>
      <w:r>
        <w:t>BA</w:t>
      </w:r>
      <w:r>
        <w:rPr>
          <w:spacing w:val="5"/>
        </w:rPr>
        <w:t xml:space="preserve"> 监测要求</w:t>
      </w:r>
      <w:r>
        <w:rPr>
          <w:spacing w:val="6"/>
        </w:rPr>
        <w:t xml:space="preserve">和 </w:t>
      </w:r>
      <w:r>
        <w:t>BA</w:t>
      </w:r>
      <w:r>
        <w:rPr>
          <w:spacing w:val="8"/>
        </w:rPr>
        <w:t xml:space="preserve"> 系统集成要求为</w:t>
      </w:r>
      <w:r>
        <w:t>BA</w:t>
      </w:r>
      <w:r>
        <w:rPr>
          <w:spacing w:val="-11"/>
        </w:rPr>
        <w:t xml:space="preserve"> 系统提供相应的接口协议或无源干接点、安装指导书、配合安装和</w:t>
      </w:r>
      <w:r>
        <w:rPr>
          <w:spacing w:val="-1"/>
          <w:position w:val="6"/>
        </w:rPr>
        <w:t xml:space="preserve">调试。 </w:t>
      </w:r>
      <w:r>
        <w:rPr>
          <w:color w:val="F8F8F8"/>
          <w:sz w:val="24"/>
        </w:rPr>
        <w:t>謀荞抟箧飆鐸怼类蒋薔。</w:t>
      </w:r>
    </w:p>
    <w:p>
      <w:pPr>
        <w:pStyle w:val="BodyText"/>
        <w:rPr>
          <w:sz w:val="36"/>
        </w:rPr>
      </w:pPr>
    </w:p>
    <w:p>
      <w:pPr>
        <w:pStyle w:val="BodyText"/>
        <w:spacing w:before="5"/>
        <w:rPr>
          <w:sz w:val="35"/>
        </w:rPr>
      </w:pPr>
    </w:p>
    <w:p>
      <w:pPr>
        <w:tabs>
          <w:tab w:val="left" w:pos="1930"/>
        </w:tabs>
        <w:spacing w:before="0"/>
        <w:ind w:left="0" w:right="88" w:firstLine="0"/>
        <w:jc w:val="center"/>
        <w:rPr>
          <w:rFonts w:ascii="黑体" w:eastAsia="黑体" w:hint="eastAsia"/>
          <w:b/>
          <w:sz w:val="48"/>
        </w:rPr>
      </w:pPr>
      <w:bookmarkStart w:id="3" w:name="_TOC_250008"/>
      <w:bookmarkEnd w:id="3"/>
      <w:r>
        <w:rPr>
          <w:rFonts w:ascii="黑体" w:eastAsia="黑体" w:hint="eastAsia"/>
          <w:b/>
          <w:sz w:val="48"/>
        </w:rPr>
        <w:t>第三节</w:t>
        <w:tab/>
        <w:t>法律、法规及施工依据</w:t>
      </w:r>
    </w:p>
    <w:p>
      <w:pPr>
        <w:pStyle w:val="BodyText"/>
        <w:rPr>
          <w:rFonts w:ascii="黑体"/>
          <w:b/>
          <w:sz w:val="66"/>
        </w:rPr>
      </w:pPr>
    </w:p>
    <w:p>
      <w:pPr>
        <w:pStyle w:val="BodyText"/>
        <w:spacing w:before="1" w:line="424" w:lineRule="auto"/>
        <w:ind w:left="420" w:right="437" w:firstLine="629"/>
        <w:rPr>
          <w:sz w:val="24"/>
        </w:rPr>
      </w:pPr>
      <w:r>
        <w:rPr>
          <w:spacing w:val="-13"/>
        </w:rPr>
        <w:t>本承包人负责提供的所有设备、材料、施工工艺和施工要求必须符合本文的技术要求和</w:t>
      </w:r>
      <w:r>
        <w:rPr>
          <w:spacing w:val="-2"/>
        </w:rPr>
        <w:t>本设计图纸的要求外，还必须符合下列有关规范、标准：</w:t>
      </w:r>
      <w:r>
        <w:rPr>
          <w:color w:val="F8F8F8"/>
          <w:position w:val="-6"/>
          <w:sz w:val="24"/>
        </w:rPr>
        <w:t>厦礴恳蹒骈時盡继價骚。</w:t>
      </w:r>
    </w:p>
    <w:p>
      <w:pPr>
        <w:pStyle w:val="BodyText"/>
        <w:spacing w:line="346" w:lineRule="exact"/>
        <w:ind w:left="1050"/>
      </w:pPr>
      <w:r>
        <w:t>1、《建筑电气工程施工质量验收规范》 GB50303-2002；</w:t>
      </w:r>
    </w:p>
    <w:p>
      <w:pPr>
        <w:pStyle w:val="BodyText"/>
        <w:spacing w:before="9"/>
        <w:rPr>
          <w:sz w:val="23"/>
        </w:rPr>
      </w:pPr>
    </w:p>
    <w:p>
      <w:pPr>
        <w:pStyle w:val="BodyText"/>
        <w:spacing w:before="1"/>
        <w:ind w:left="1050"/>
      </w:pPr>
      <w:r>
        <w:t>2、《电气装置安装工程电气设备交接试验标准》 GB50150-91；</w:t>
      </w:r>
    </w:p>
    <w:p>
      <w:pPr>
        <w:pStyle w:val="BodyText"/>
        <w:spacing w:before="10"/>
        <w:rPr>
          <w:sz w:val="23"/>
        </w:rPr>
      </w:pPr>
    </w:p>
    <w:p>
      <w:pPr>
        <w:pStyle w:val="BodyText"/>
        <w:tabs>
          <w:tab w:val="left" w:pos="7989"/>
        </w:tabs>
        <w:ind w:left="1050"/>
      </w:pPr>
      <w:r>
        <w:t>3</w:t>
      </w:r>
      <w:r>
        <w:rPr>
          <w:spacing w:val="-159"/>
        </w:rPr>
        <w:t>、</w:t>
      </w:r>
      <w:r>
        <w:t>《电气装置安装工程电气设备交接试验标准》</w:t>
        <w:tab/>
        <w:t>GB</w:t>
      </w:r>
      <w:r>
        <w:rPr>
          <w:spacing w:val="43"/>
        </w:rPr>
        <w:t xml:space="preserve"> </w:t>
      </w:r>
      <w:r>
        <w:t>50150-1991</w:t>
      </w:r>
    </w:p>
    <w:p>
      <w:pPr>
        <w:pStyle w:val="BodyText"/>
        <w:spacing w:before="10"/>
        <w:rPr>
          <w:sz w:val="23"/>
        </w:rPr>
      </w:pPr>
    </w:p>
    <w:p>
      <w:pPr>
        <w:pStyle w:val="BodyText"/>
        <w:ind w:left="1050"/>
      </w:pPr>
      <w:r>
        <w:t>4</w:t>
      </w:r>
      <w:r>
        <w:rPr>
          <w:spacing w:val="-7"/>
        </w:rPr>
        <w:t xml:space="preserve">、《电气装置安装工程接地装置施工及验收规范》 </w:t>
      </w:r>
      <w:r>
        <w:t>GB50169-92；</w:t>
      </w:r>
    </w:p>
    <w:p>
      <w:pPr>
        <w:pStyle w:val="BodyText"/>
        <w:spacing w:before="10"/>
        <w:rPr>
          <w:sz w:val="23"/>
        </w:rPr>
      </w:pPr>
    </w:p>
    <w:p>
      <w:pPr>
        <w:pStyle w:val="BodyText"/>
        <w:tabs>
          <w:tab w:val="left" w:pos="7827"/>
        </w:tabs>
        <w:ind w:left="1050"/>
      </w:pPr>
      <w:r>
        <w:t>5、电气装置安装工程母线装置施工及验收规范</w:t>
        <w:tab/>
        <w:t>GBJ</w:t>
      </w:r>
      <w:r>
        <w:rPr>
          <w:spacing w:val="4"/>
        </w:rPr>
        <w:t xml:space="preserve"> </w:t>
      </w:r>
      <w:r>
        <w:t>149-1990</w:t>
      </w:r>
    </w:p>
    <w:p>
      <w:pPr>
        <w:pStyle w:val="BodyText"/>
        <w:spacing w:before="10"/>
        <w:rPr>
          <w:sz w:val="23"/>
        </w:rPr>
      </w:pPr>
    </w:p>
    <w:p>
      <w:pPr>
        <w:pStyle w:val="BodyText"/>
        <w:ind w:left="1050"/>
      </w:pPr>
      <w:r>
        <w:t>6、《电气装置安装工程电缆线路施工及验收规范》 GB50168-92；</w:t>
      </w:r>
    </w:p>
    <w:p>
      <w:pPr>
        <w:pStyle w:val="BodyText"/>
        <w:spacing w:before="11"/>
        <w:rPr>
          <w:sz w:val="23"/>
        </w:rPr>
      </w:pPr>
    </w:p>
    <w:p>
      <w:pPr>
        <w:pStyle w:val="BodyText"/>
        <w:ind w:left="1050"/>
      </w:pPr>
      <w:r>
        <w:t>7、《电气装置安装工程母线装置施工及验收规范》 GBJ149-90；</w:t>
      </w:r>
    </w:p>
    <w:p>
      <w:pPr>
        <w:pStyle w:val="BodyText"/>
        <w:spacing w:before="10"/>
        <w:rPr>
          <w:sz w:val="23"/>
        </w:rPr>
      </w:pPr>
    </w:p>
    <w:p>
      <w:pPr>
        <w:pStyle w:val="BodyText"/>
        <w:ind w:left="1050"/>
      </w:pPr>
      <w:r>
        <w:t>8、《建筑工程施工质量验收统一标准》GB50300-2001；</w:t>
      </w:r>
    </w:p>
    <w:p>
      <w:pPr>
        <w:pStyle w:val="BodyText"/>
        <w:spacing w:before="10"/>
        <w:rPr>
          <w:sz w:val="23"/>
        </w:rPr>
      </w:pPr>
    </w:p>
    <w:p>
      <w:pPr>
        <w:pStyle w:val="BodyText"/>
        <w:ind w:left="1050"/>
      </w:pPr>
      <w:r>
        <w:t>9、《电气装置安装工程盘、柜及二次回路结线施工及验收规范》GB50171-92；</w:t>
      </w:r>
    </w:p>
    <w:p>
      <w:pPr>
        <w:pStyle w:val="BodyText"/>
        <w:spacing w:before="10"/>
        <w:rPr>
          <w:sz w:val="23"/>
        </w:rPr>
      </w:pPr>
    </w:p>
    <w:p>
      <w:pPr>
        <w:pStyle w:val="BodyText"/>
        <w:ind w:left="1050"/>
      </w:pPr>
      <w:r>
        <w:t>10</w:t>
      </w:r>
      <w:r>
        <w:rPr>
          <w:spacing w:val="-15"/>
        </w:rPr>
        <w:t>、《建设工程施工现场供用电安全规范》</w:t>
      </w:r>
      <w:r>
        <w:t>GB50194-93</w:t>
      </w:r>
    </w:p>
    <w:p>
      <w:pPr>
        <w:pStyle w:val="BodyText"/>
        <w:spacing w:before="10"/>
        <w:rPr>
          <w:sz w:val="23"/>
        </w:rPr>
      </w:pPr>
    </w:p>
    <w:p>
      <w:pPr>
        <w:pStyle w:val="BodyText"/>
        <w:ind w:left="1050"/>
      </w:pPr>
      <w:r>
        <w:rPr>
          <w:spacing w:val="-1"/>
        </w:rPr>
        <w:t>11</w:t>
      </w:r>
      <w:r>
        <w:rPr>
          <w:spacing w:val="-15"/>
        </w:rPr>
        <w:t>、《施工现场临时用电安全技术规范》</w:t>
      </w:r>
      <w:r>
        <w:t>JGJ46-2005；</w:t>
      </w:r>
    </w:p>
    <w:p>
      <w:pPr>
        <w:pStyle w:val="BodyText"/>
        <w:spacing w:before="10"/>
        <w:rPr>
          <w:sz w:val="23"/>
        </w:rPr>
      </w:pPr>
    </w:p>
    <w:p>
      <w:pPr>
        <w:pStyle w:val="BodyText"/>
        <w:spacing w:before="1"/>
        <w:ind w:left="1050"/>
      </w:pPr>
      <w:r>
        <w:t>12、《电气装置安装工程电力变流设备施工及验收规程》GB50255-96；</w:t>
      </w:r>
    </w:p>
    <w:p>
      <w:pPr>
        <w:pStyle w:val="BodyText"/>
        <w:spacing w:before="9"/>
        <w:rPr>
          <w:sz w:val="23"/>
        </w:rPr>
      </w:pPr>
    </w:p>
    <w:p>
      <w:pPr>
        <w:pStyle w:val="BodyText"/>
        <w:spacing w:before="1"/>
        <w:ind w:left="1050"/>
      </w:pPr>
      <w:r>
        <w:t>13、其它现行有关国家和行业标准</w:t>
      </w:r>
    </w:p>
    <w:p>
      <w:pPr>
        <w:pStyle w:val="BodyText"/>
        <w:spacing w:before="10"/>
        <w:rPr>
          <w:sz w:val="23"/>
        </w:rPr>
      </w:pPr>
    </w:p>
    <w:p>
      <w:pPr>
        <w:pStyle w:val="BodyText"/>
        <w:ind w:left="1050"/>
      </w:pPr>
      <w:r>
        <w:t>14、深圳供电局审图意见书</w:t>
      </w:r>
    </w:p>
    <w:p>
      <w:pPr>
        <w:spacing w:after="0"/>
        <w:sectPr>
          <w:footerReference w:type="default" r:id="rId6"/>
          <w:pgSz w:w="17860" w:h="25260"/>
          <w:pgMar w:top="1980" w:right="2220" w:bottom="2040" w:left="2280" w:header="0" w:footer="1806"/>
          <w:pgNumType w:start="3"/>
          <w:cols w:space="708"/>
        </w:sectPr>
      </w:pPr>
    </w:p>
    <w:p>
      <w:pPr>
        <w:pStyle w:val="BodyText"/>
        <w:rPr>
          <w:sz w:val="20"/>
        </w:rPr>
      </w:pPr>
    </w:p>
    <w:p>
      <w:pPr>
        <w:pStyle w:val="BodyText"/>
        <w:rPr>
          <w:sz w:val="20"/>
        </w:rPr>
      </w:pPr>
    </w:p>
    <w:p>
      <w:pPr>
        <w:pStyle w:val="Heading1"/>
        <w:tabs>
          <w:tab w:val="left" w:pos="2487"/>
        </w:tabs>
        <w:spacing w:before="169"/>
        <w:ind w:left="558"/>
      </w:pPr>
      <w:bookmarkStart w:id="4" w:name="_TOC_250007"/>
      <w:bookmarkEnd w:id="4"/>
      <w:r>
        <w:t>第二章</w:t>
        <w:tab/>
        <w:t>通用要求</w:t>
      </w:r>
    </w:p>
    <w:p>
      <w:pPr>
        <w:pStyle w:val="BodyText"/>
        <w:spacing w:before="3"/>
        <w:rPr>
          <w:b/>
          <w:sz w:val="67"/>
        </w:rPr>
      </w:pPr>
    </w:p>
    <w:p>
      <w:pPr>
        <w:pStyle w:val="Heading2"/>
        <w:tabs>
          <w:tab w:val="left" w:pos="1807"/>
        </w:tabs>
        <w:spacing w:before="1"/>
        <w:ind w:right="74"/>
      </w:pPr>
      <w:bookmarkStart w:id="5" w:name="_TOC_250006"/>
      <w:bookmarkEnd w:id="5"/>
      <w:r>
        <w:t>第一节</w:t>
        <w:tab/>
        <w:t>施工过程的协调与配合</w:t>
      </w:r>
    </w:p>
    <w:p>
      <w:pPr>
        <w:pStyle w:val="BodyText"/>
        <w:spacing w:before="4"/>
        <w:rPr>
          <w:b/>
          <w:sz w:val="65"/>
        </w:rPr>
      </w:pPr>
    </w:p>
    <w:p>
      <w:pPr>
        <w:pStyle w:val="Heading7"/>
        <w:spacing w:before="0"/>
        <w:ind w:left="1054"/>
      </w:pPr>
      <w:r>
        <w:t>一、与政府有关各部门及公用事业机构的协调：</w:t>
      </w:r>
    </w:p>
    <w:p>
      <w:pPr>
        <w:pStyle w:val="BodyText"/>
        <w:spacing w:before="10"/>
        <w:rPr>
          <w:b/>
          <w:sz w:val="23"/>
        </w:rPr>
      </w:pPr>
    </w:p>
    <w:p>
      <w:pPr>
        <w:pStyle w:val="BodyText"/>
        <w:ind w:left="1140"/>
      </w:pPr>
      <w:r>
        <w:t>本承包人必须负责协助业主与政府有关各部门及公用事业机构协调。</w:t>
      </w:r>
    </w:p>
    <w:p>
      <w:pPr>
        <w:pStyle w:val="BodyText"/>
        <w:spacing w:before="10"/>
        <w:rPr>
          <w:sz w:val="23"/>
        </w:rPr>
      </w:pPr>
    </w:p>
    <w:p>
      <w:pPr>
        <w:pStyle w:val="BodyText"/>
        <w:spacing w:line="424" w:lineRule="auto"/>
        <w:ind w:left="420" w:right="428" w:firstLine="629"/>
        <w:jc w:val="both"/>
        <w:rPr>
          <w:sz w:val="24"/>
        </w:rPr>
      </w:pPr>
      <w:r>
        <w:t>1、承包人须提供有关的资料（图纸、样品、产品说明书等）</w:t>
      </w:r>
      <w:r>
        <w:rPr>
          <w:spacing w:val="-2"/>
        </w:rPr>
        <w:t>经政府有关各部门及公用</w:t>
      </w:r>
      <w:r>
        <w:rPr>
          <w:spacing w:val="-13"/>
        </w:rPr>
        <w:t>事业机构作审批依据，如因所送资料不符合要求而需重新送审，因此而造成的工期延误等损</w:t>
      </w:r>
      <w:r>
        <w:rPr>
          <w:spacing w:val="-14"/>
          <w:position w:val="6"/>
        </w:rPr>
        <w:t>失由本承包人负责。</w:t>
      </w:r>
      <w:r>
        <w:rPr>
          <w:color w:val="F8F8F8"/>
          <w:sz w:val="24"/>
        </w:rPr>
        <w:t>茕桢广鳓鯡选块网羈泪。</w:t>
      </w:r>
    </w:p>
    <w:p>
      <w:pPr>
        <w:pStyle w:val="BodyText"/>
        <w:spacing w:line="355" w:lineRule="exact"/>
        <w:ind w:left="1050"/>
      </w:pPr>
      <w:r>
        <w:t>2、如因与政府有关部门及公用事业单位协调或合作不够导致已安装的设备或系统需更</w:t>
      </w:r>
    </w:p>
    <w:p>
      <w:pPr>
        <w:pStyle w:val="BodyText"/>
        <w:spacing w:before="10"/>
        <w:rPr>
          <w:sz w:val="23"/>
        </w:rPr>
      </w:pPr>
    </w:p>
    <w:p>
      <w:pPr>
        <w:pStyle w:val="BodyText"/>
        <w:spacing w:line="427" w:lineRule="auto"/>
        <w:ind w:left="420" w:right="458"/>
        <w:rPr>
          <w:sz w:val="24"/>
        </w:rPr>
      </w:pPr>
      <w:r>
        <w:rPr>
          <w:spacing w:val="-14"/>
        </w:rPr>
        <w:t>改或拆除，承包人除需负起所有有关的费用和导致工期延误的责任外，还须对业主做出相应</w:t>
      </w:r>
      <w:r>
        <w:rPr>
          <w:spacing w:val="-1"/>
          <w:position w:val="6"/>
        </w:rPr>
        <w:t>的赔偿。</w:t>
      </w:r>
      <w:r>
        <w:rPr>
          <w:color w:val="F8F8F8"/>
          <w:sz w:val="24"/>
        </w:rPr>
        <w:t>鹅娅尽損鹌惨歷茏鴛賴。</w:t>
      </w:r>
    </w:p>
    <w:p>
      <w:pPr>
        <w:pStyle w:val="BodyText"/>
        <w:spacing w:line="347" w:lineRule="exact"/>
        <w:ind w:left="1050"/>
      </w:pPr>
      <w:r>
        <w:t>3、承包人应接受授权监理单位的监理，工程完工后应通过深圳供电局的验收。由承包</w:t>
      </w:r>
    </w:p>
    <w:p>
      <w:pPr>
        <w:pStyle w:val="BodyText"/>
        <w:spacing w:before="10"/>
        <w:rPr>
          <w:sz w:val="23"/>
        </w:rPr>
      </w:pPr>
    </w:p>
    <w:p>
      <w:pPr>
        <w:spacing w:before="0" w:line="427" w:lineRule="auto"/>
        <w:ind w:left="420" w:right="450" w:firstLine="0"/>
        <w:jc w:val="left"/>
        <w:rPr>
          <w:sz w:val="24"/>
        </w:rPr>
      </w:pPr>
      <w:r>
        <w:rPr>
          <w:spacing w:val="-14"/>
          <w:sz w:val="31"/>
        </w:rPr>
        <w:t>人负责联系、邀请深圳供电局相关部门对本工程进行测试、试验、验收并承担一切所发生的</w:t>
      </w:r>
      <w:r>
        <w:rPr>
          <w:spacing w:val="-2"/>
          <w:position w:val="6"/>
          <w:sz w:val="31"/>
        </w:rPr>
        <w:t>费用。</w:t>
      </w:r>
      <w:r>
        <w:rPr>
          <w:color w:val="F8F8F8"/>
          <w:sz w:val="24"/>
        </w:rPr>
        <w:t>籟丛妈羥为贍偾蛏练淨。</w:t>
      </w:r>
    </w:p>
    <w:p>
      <w:pPr>
        <w:pStyle w:val="Heading7"/>
        <w:spacing w:before="0" w:line="347" w:lineRule="exact"/>
        <w:ind w:left="1054"/>
      </w:pPr>
      <w:r>
        <w:t>二、与其它承包人的协调及交接工作</w:t>
      </w:r>
    </w:p>
    <w:p>
      <w:pPr>
        <w:pStyle w:val="BodyText"/>
        <w:spacing w:before="10"/>
        <w:rPr>
          <w:b/>
          <w:sz w:val="23"/>
        </w:rPr>
      </w:pPr>
    </w:p>
    <w:p>
      <w:pPr>
        <w:pStyle w:val="BodyText"/>
        <w:spacing w:line="424" w:lineRule="auto"/>
        <w:ind w:left="420" w:right="466" w:firstLine="629"/>
        <w:rPr>
          <w:sz w:val="24"/>
        </w:rPr>
      </w:pPr>
      <w:r>
        <w:rPr>
          <w:spacing w:val="-9"/>
        </w:rPr>
        <w:t>本项目承包人必须与本项目其它承包人协调和合作，提供所需要的有关资料、设备和人</w:t>
      </w:r>
      <w:r>
        <w:rPr>
          <w:spacing w:val="-2"/>
        </w:rPr>
        <w:t>员，确保在分工交界点处与其它承包人能满意配合，顺利交接。</w:t>
      </w:r>
      <w:r>
        <w:rPr>
          <w:color w:val="F8F8F8"/>
          <w:position w:val="-6"/>
          <w:sz w:val="24"/>
        </w:rPr>
        <w:t>預頌圣鉉儐歲龈讶骅籴。</w:t>
      </w:r>
    </w:p>
    <w:p>
      <w:pPr>
        <w:pStyle w:val="BodyText"/>
        <w:spacing w:line="345" w:lineRule="exact"/>
        <w:ind w:left="1050"/>
      </w:pPr>
      <w:r>
        <w:t>1、与总承包人的协调工作：</w:t>
      </w:r>
    </w:p>
    <w:p>
      <w:pPr>
        <w:pStyle w:val="BodyText"/>
        <w:spacing w:before="10"/>
        <w:rPr>
          <w:sz w:val="23"/>
        </w:rPr>
      </w:pPr>
    </w:p>
    <w:p>
      <w:pPr>
        <w:pStyle w:val="BodyText"/>
        <w:spacing w:before="1" w:line="424" w:lineRule="auto"/>
        <w:ind w:left="420" w:right="428" w:firstLine="629"/>
      </w:pPr>
      <w:r>
        <w:rPr>
          <w:spacing w:val="-1"/>
        </w:rPr>
        <w:t>⑴ 在施工期间，本承包人须与总承包人现场配合，确保所有要求土建配合的工作和预</w:t>
      </w:r>
      <w:r>
        <w:t>留孔洞位置正确。</w:t>
      </w:r>
    </w:p>
    <w:p>
      <w:pPr>
        <w:pStyle w:val="BodyText"/>
        <w:spacing w:line="424" w:lineRule="auto"/>
        <w:ind w:left="420" w:right="428" w:firstLine="629"/>
      </w:pPr>
      <w:r>
        <w:rPr>
          <w:spacing w:val="-1"/>
        </w:rPr>
        <w:t>⑵ 所有有关设备的混凝土基础，本承包人应尽早提供有关资料并现场配合土建承包人</w:t>
      </w:r>
      <w:r>
        <w:t>以确保施工正确。</w:t>
      </w:r>
    </w:p>
    <w:p>
      <w:pPr>
        <w:pStyle w:val="BodyText"/>
        <w:spacing w:line="424" w:lineRule="auto"/>
        <w:ind w:left="420" w:right="428" w:firstLine="629"/>
        <w:rPr>
          <w:sz w:val="24"/>
        </w:rPr>
      </w:pPr>
      <w:r>
        <w:t>⑶ 与低压安装部分密切配合，必须现场配合高低压的调试及验收，并负责协助总承包人低压系统的供电局相关验收手续的办理。</w:t>
      </w:r>
      <w:r>
        <w:rPr>
          <w:color w:val="F8F8F8"/>
          <w:position w:val="-6"/>
          <w:sz w:val="24"/>
        </w:rPr>
        <w:t>渗釤呛俨匀谔鱉调硯錦。</w:t>
      </w:r>
    </w:p>
    <w:p>
      <w:pPr>
        <w:pStyle w:val="BodyText"/>
        <w:spacing w:line="345" w:lineRule="exact"/>
        <w:ind w:left="1050"/>
      </w:pPr>
      <w:r>
        <w:t>⑷本承包人必须与建筑承包人协调，使有关的安装工作能配合工程进度。如因协调配合</w:t>
      </w:r>
    </w:p>
    <w:p>
      <w:pPr>
        <w:pStyle w:val="BodyText"/>
        <w:spacing w:before="6"/>
        <w:rPr>
          <w:sz w:val="23"/>
        </w:rPr>
      </w:pPr>
    </w:p>
    <w:p>
      <w:pPr>
        <w:spacing w:before="0"/>
        <w:ind w:left="420" w:right="0" w:firstLine="0"/>
        <w:jc w:val="left"/>
        <w:rPr>
          <w:sz w:val="24"/>
        </w:rPr>
      </w:pPr>
      <w:r>
        <w:rPr>
          <w:sz w:val="31"/>
        </w:rPr>
        <w:t>不够，而造成的一切后果由本承包人负责。</w:t>
      </w:r>
      <w:r>
        <w:rPr>
          <w:color w:val="F8F8F8"/>
          <w:position w:val="-6"/>
          <w:sz w:val="24"/>
        </w:rPr>
        <w:t>铙誅卧泻噦圣骋贶頂廡。</w:t>
      </w:r>
    </w:p>
    <w:p>
      <w:pPr>
        <w:pStyle w:val="BodyText"/>
        <w:spacing w:before="255"/>
        <w:ind w:left="1050"/>
      </w:pPr>
      <w:r>
        <w:t>2、与智能弱电工程承包人的协调工作：</w:t>
      </w:r>
    </w:p>
    <w:p>
      <w:pPr>
        <w:spacing w:after="0"/>
        <w:sectPr>
          <w:footerReference w:type="default" r:id="rId7"/>
          <w:pgSz w:w="17860" w:h="25260"/>
          <w:pgMar w:top="2420" w:right="2220" w:bottom="2040" w:left="2280" w:header="0" w:footer="1806"/>
          <w:pgNumType w:start="4"/>
          <w:cols w:space="708"/>
        </w:sectPr>
      </w:pPr>
    </w:p>
    <w:p>
      <w:pPr>
        <w:pStyle w:val="ListParagraph"/>
        <w:numPr>
          <w:ilvl w:val="0"/>
          <w:numId w:val="27"/>
        </w:numPr>
        <w:tabs>
          <w:tab w:val="left" w:pos="1844"/>
        </w:tabs>
        <w:spacing w:before="44" w:after="0" w:line="424" w:lineRule="auto"/>
        <w:ind w:left="420" w:right="428" w:firstLine="629"/>
        <w:jc w:val="left"/>
        <w:rPr>
          <w:sz w:val="31"/>
        </w:rPr>
      </w:pPr>
      <w:r>
        <w:rPr>
          <w:spacing w:val="-1"/>
          <w:sz w:val="31"/>
        </w:rPr>
        <w:t>本承包人须与智能弱电工程承包人协调并就双方的交接驳口议定准确的位置及详</w:t>
      </w:r>
      <w:r>
        <w:rPr>
          <w:sz w:val="31"/>
        </w:rPr>
        <w:t>细的工作接口。</w:t>
      </w:r>
    </w:p>
    <w:p>
      <w:pPr>
        <w:pStyle w:val="ListParagraph"/>
        <w:numPr>
          <w:ilvl w:val="0"/>
          <w:numId w:val="27"/>
        </w:numPr>
        <w:tabs>
          <w:tab w:val="left" w:pos="1844"/>
        </w:tabs>
        <w:spacing w:before="0" w:after="0" w:line="424" w:lineRule="auto"/>
        <w:ind w:left="420" w:right="459" w:firstLine="629"/>
        <w:jc w:val="left"/>
        <w:rPr>
          <w:sz w:val="24"/>
        </w:rPr>
      </w:pPr>
      <w:r>
        <w:rPr>
          <w:spacing w:val="-4"/>
          <w:sz w:val="31"/>
        </w:rPr>
        <w:t>本承包人须按楼宇自控系统监控点一览表</w:t>
      </w:r>
      <w:r>
        <w:rPr>
          <w:sz w:val="31"/>
        </w:rPr>
        <w:t>（</w:t>
      </w:r>
      <w:r>
        <w:rPr>
          <w:spacing w:val="13"/>
          <w:sz w:val="31"/>
        </w:rPr>
        <w:t xml:space="preserve">电 </w:t>
      </w:r>
      <w:r>
        <w:rPr>
          <w:sz w:val="31"/>
        </w:rPr>
        <w:t>BA12</w:t>
      </w:r>
      <w:r>
        <w:rPr>
          <w:spacing w:val="-36"/>
          <w:sz w:val="31"/>
        </w:rPr>
        <w:t>、</w:t>
      </w:r>
      <w:r>
        <w:rPr>
          <w:sz w:val="31"/>
        </w:rPr>
        <w:t>13</w:t>
      </w:r>
      <w:r>
        <w:rPr>
          <w:spacing w:val="13"/>
          <w:sz w:val="31"/>
        </w:rPr>
        <w:t xml:space="preserve"> 改</w:t>
      </w:r>
      <w:r>
        <w:rPr>
          <w:spacing w:val="-40"/>
          <w:sz w:val="31"/>
        </w:rPr>
        <w:t>）</w:t>
      </w:r>
      <w:r>
        <w:rPr>
          <w:sz w:val="31"/>
        </w:rPr>
        <w:t>及图纸要求提供无</w:t>
      </w:r>
      <w:r>
        <w:rPr>
          <w:spacing w:val="-6"/>
          <w:sz w:val="31"/>
        </w:rPr>
        <w:t>源干接点供智能弱电承包人交接驳口。</w:t>
      </w:r>
      <w:r>
        <w:rPr>
          <w:color w:val="F8F8F8"/>
          <w:position w:val="-6"/>
          <w:sz w:val="24"/>
        </w:rPr>
        <w:t>擁締凤袜备訊顎轮烂蔷。</w:t>
      </w:r>
    </w:p>
    <w:p>
      <w:pPr>
        <w:pStyle w:val="ListParagraph"/>
        <w:numPr>
          <w:ilvl w:val="0"/>
          <w:numId w:val="27"/>
        </w:numPr>
        <w:tabs>
          <w:tab w:val="left" w:pos="1844"/>
        </w:tabs>
        <w:spacing w:before="0" w:after="0" w:line="345" w:lineRule="exact"/>
        <w:ind w:left="1843" w:right="0" w:hanging="794"/>
        <w:jc w:val="left"/>
        <w:rPr>
          <w:sz w:val="31"/>
        </w:rPr>
      </w:pPr>
      <w:r>
        <w:rPr>
          <w:sz w:val="31"/>
        </w:rPr>
        <w:t>本承包人须配合智能弱电承包人就智能弱电系统的安装与调试工作。如因协调配</w:t>
      </w:r>
    </w:p>
    <w:p>
      <w:pPr>
        <w:pStyle w:val="BodyText"/>
        <w:spacing w:before="9"/>
        <w:rPr>
          <w:sz w:val="23"/>
        </w:rPr>
      </w:pPr>
    </w:p>
    <w:p>
      <w:pPr>
        <w:spacing w:before="0"/>
        <w:ind w:left="420" w:right="0" w:firstLine="0"/>
        <w:jc w:val="left"/>
        <w:rPr>
          <w:sz w:val="24"/>
        </w:rPr>
      </w:pPr>
      <w:r>
        <w:rPr>
          <w:sz w:val="31"/>
        </w:rPr>
        <w:t>合不够而造成的一切后果由本承包人负责。</w:t>
      </w:r>
      <w:r>
        <w:rPr>
          <w:color w:val="F8F8F8"/>
          <w:position w:val="-6"/>
          <w:sz w:val="24"/>
        </w:rPr>
        <w:t>贓熱俣阃歲匱阊邺镓騷。</w:t>
      </w:r>
    </w:p>
    <w:p>
      <w:pPr>
        <w:pStyle w:val="BodyText"/>
        <w:spacing w:before="11"/>
        <w:rPr>
          <w:sz w:val="39"/>
        </w:rPr>
      </w:pPr>
    </w:p>
    <w:p>
      <w:pPr>
        <w:tabs>
          <w:tab w:val="left" w:pos="1929"/>
        </w:tabs>
        <w:spacing w:before="0"/>
        <w:ind w:left="0" w:right="76" w:firstLine="0"/>
        <w:jc w:val="center"/>
        <w:rPr>
          <w:b/>
          <w:sz w:val="48"/>
        </w:rPr>
      </w:pPr>
      <w:r>
        <w:rPr>
          <w:b/>
          <w:sz w:val="48"/>
        </w:rPr>
        <w:t>第二节</w:t>
        <w:tab/>
        <w:t>设备及材料说明</w:t>
      </w:r>
    </w:p>
    <w:p>
      <w:pPr>
        <w:pStyle w:val="BodyText"/>
        <w:spacing w:before="1"/>
        <w:rPr>
          <w:b/>
          <w:sz w:val="66"/>
        </w:rPr>
      </w:pPr>
    </w:p>
    <w:p>
      <w:pPr>
        <w:pStyle w:val="BodyText"/>
        <w:spacing w:line="424" w:lineRule="auto"/>
        <w:ind w:left="420" w:right="444" w:firstLine="629"/>
        <w:jc w:val="both"/>
        <w:rPr>
          <w:sz w:val="24"/>
        </w:rPr>
      </w:pPr>
      <w:r>
        <w:t>承包人在本项目中所提供的所有材料和设备</w:t>
      </w:r>
      <w:r>
        <w:rPr>
          <w:spacing w:val="-15"/>
        </w:rPr>
        <w:t xml:space="preserve">，必须经设计认可并须由具有 </w:t>
      </w:r>
      <w:r>
        <w:t>5</w:t>
      </w:r>
      <w:r>
        <w:rPr>
          <w:spacing w:val="7"/>
        </w:rPr>
        <w:t xml:space="preserve"> 年以上生产</w:t>
      </w:r>
      <w:r>
        <w:rPr>
          <w:spacing w:val="-6"/>
        </w:rPr>
        <w:t>同类型产品经验的承包人提供，详见设备技术要求。承包人须提交有关承包人的资质证明文</w:t>
      </w:r>
      <w:r>
        <w:rPr>
          <w:position w:val="6"/>
        </w:rPr>
        <w:t>件。</w:t>
      </w:r>
      <w:r>
        <w:rPr>
          <w:color w:val="F8F8F8"/>
          <w:sz w:val="24"/>
        </w:rPr>
        <w:t>坛摶乡囂忏蒌鍥铃氈淚。</w:t>
      </w:r>
    </w:p>
    <w:p>
      <w:pPr>
        <w:pStyle w:val="Heading7"/>
        <w:spacing w:before="0" w:line="354" w:lineRule="exact"/>
        <w:ind w:left="1054"/>
      </w:pPr>
      <w:r>
        <w:t>一、适用的规范、标准和当地条例</w:t>
      </w:r>
    </w:p>
    <w:p>
      <w:pPr>
        <w:pStyle w:val="BodyText"/>
        <w:spacing w:before="10"/>
        <w:rPr>
          <w:b/>
          <w:sz w:val="23"/>
        </w:rPr>
      </w:pPr>
    </w:p>
    <w:p>
      <w:pPr>
        <w:pStyle w:val="BodyText"/>
        <w:ind w:left="1050"/>
      </w:pPr>
      <w:r>
        <w:t>1、本招标文件内所列的有关规范和标准是指签订合同时所颁布的最新修订版本。</w:t>
      </w:r>
    </w:p>
    <w:p>
      <w:pPr>
        <w:pStyle w:val="BodyText"/>
        <w:spacing w:before="10"/>
        <w:rPr>
          <w:sz w:val="23"/>
        </w:rPr>
      </w:pPr>
    </w:p>
    <w:p>
      <w:pPr>
        <w:pStyle w:val="BodyText"/>
        <w:spacing w:before="1" w:line="424" w:lineRule="auto"/>
        <w:ind w:left="420" w:right="428" w:firstLine="629"/>
        <w:rPr>
          <w:sz w:val="24"/>
        </w:rPr>
      </w:pPr>
      <w:r>
        <w:t>2、若招标文件内对某些要求未有列明标准，则有关的细节、材料、设备和工艺要求应遵照相关的国内或行业标准，取较高者为依据。</w:t>
      </w:r>
      <w:r>
        <w:rPr>
          <w:color w:val="F8F8F8"/>
          <w:position w:val="-6"/>
          <w:sz w:val="24"/>
        </w:rPr>
        <w:t>蜡變黲癟報伥铉锚鈰赘。</w:t>
      </w:r>
    </w:p>
    <w:p>
      <w:pPr>
        <w:pStyle w:val="BodyText"/>
        <w:spacing w:line="345" w:lineRule="exact"/>
        <w:ind w:left="1050"/>
      </w:pPr>
      <w:r>
        <w:t>3、所有高低压供电系统装置的施工应遵照当地法规或条例进行。</w:t>
      </w:r>
    </w:p>
    <w:p>
      <w:pPr>
        <w:pStyle w:val="BodyText"/>
        <w:spacing w:before="10"/>
        <w:rPr>
          <w:sz w:val="23"/>
        </w:rPr>
      </w:pPr>
    </w:p>
    <w:p>
      <w:pPr>
        <w:pStyle w:val="BodyText"/>
        <w:ind w:left="1050"/>
      </w:pPr>
      <w:r>
        <w:t>4、若上述各技术要求之间发生矛盾，则应按下列顺序优选选择。</w:t>
      </w:r>
    </w:p>
    <w:p>
      <w:pPr>
        <w:pStyle w:val="BodyText"/>
        <w:spacing w:before="10"/>
        <w:rPr>
          <w:sz w:val="23"/>
        </w:rPr>
      </w:pPr>
    </w:p>
    <w:p>
      <w:pPr>
        <w:pStyle w:val="BodyText"/>
        <w:ind w:left="1050"/>
      </w:pPr>
      <w:r>
        <w:t>⑴ 当地政府的条例、指令和规范</w:t>
      </w:r>
    </w:p>
    <w:p>
      <w:pPr>
        <w:pStyle w:val="BodyText"/>
        <w:spacing w:before="10"/>
        <w:rPr>
          <w:sz w:val="23"/>
        </w:rPr>
      </w:pPr>
    </w:p>
    <w:p>
      <w:pPr>
        <w:pStyle w:val="BodyText"/>
        <w:ind w:left="1050"/>
      </w:pPr>
      <w:r>
        <w:t>⑵ 公用事业公司的条例</w:t>
      </w:r>
    </w:p>
    <w:p>
      <w:pPr>
        <w:pStyle w:val="BodyText"/>
        <w:spacing w:before="10"/>
        <w:rPr>
          <w:sz w:val="23"/>
        </w:rPr>
      </w:pPr>
    </w:p>
    <w:p>
      <w:pPr>
        <w:pStyle w:val="BodyText"/>
        <w:ind w:left="1050"/>
      </w:pPr>
      <w:r>
        <w:t>⑶ 本招标文件和图纸</w:t>
      </w:r>
    </w:p>
    <w:p>
      <w:pPr>
        <w:pStyle w:val="BodyText"/>
        <w:spacing w:before="10"/>
        <w:rPr>
          <w:sz w:val="23"/>
        </w:rPr>
      </w:pPr>
    </w:p>
    <w:p>
      <w:pPr>
        <w:spacing w:before="0" w:line="424" w:lineRule="auto"/>
        <w:ind w:left="1054" w:right="9614" w:hanging="4"/>
        <w:jc w:val="left"/>
        <w:rPr>
          <w:b/>
          <w:sz w:val="31"/>
        </w:rPr>
      </w:pPr>
      <w:r>
        <w:rPr>
          <w:sz w:val="31"/>
        </w:rPr>
        <w:t>⑷ 其它认可的标准</w:t>
      </w:r>
      <w:r>
        <w:rPr>
          <w:b/>
          <w:sz w:val="31"/>
        </w:rPr>
        <w:t>二、保证</w:t>
      </w:r>
    </w:p>
    <w:p>
      <w:pPr>
        <w:pStyle w:val="BodyText"/>
        <w:spacing w:line="424" w:lineRule="auto"/>
        <w:ind w:left="420" w:right="428" w:firstLine="629"/>
      </w:pPr>
      <w:r>
        <w:t>1、承包人须保证整个高压配电系统的安装及运行，均达到有关部门的要求并通过验收送电。</w:t>
      </w:r>
    </w:p>
    <w:p>
      <w:pPr>
        <w:pStyle w:val="BodyText"/>
        <w:spacing w:line="396" w:lineRule="exact"/>
        <w:ind w:left="1050"/>
      </w:pPr>
      <w:r>
        <w:t>2、承包人必须保证所提供的设备或配件均能按要求在任何工作环境正常操作。</w:t>
      </w:r>
    </w:p>
    <w:p>
      <w:pPr>
        <w:pStyle w:val="BodyText"/>
        <w:spacing w:before="8"/>
        <w:rPr>
          <w:sz w:val="23"/>
        </w:rPr>
      </w:pPr>
    </w:p>
    <w:p>
      <w:pPr>
        <w:pStyle w:val="BodyText"/>
        <w:ind w:left="1050"/>
      </w:pPr>
      <w:r>
        <w:t>3、保证期是指自合同生效直至竣工证书发出日起计两年为止。</w:t>
      </w:r>
    </w:p>
    <w:p>
      <w:pPr>
        <w:pStyle w:val="BodyText"/>
        <w:spacing w:before="10"/>
        <w:rPr>
          <w:sz w:val="23"/>
        </w:rPr>
      </w:pPr>
    </w:p>
    <w:p>
      <w:pPr>
        <w:pStyle w:val="BodyText"/>
        <w:spacing w:line="424" w:lineRule="auto"/>
        <w:ind w:left="420" w:right="428" w:firstLine="629"/>
      </w:pPr>
      <w:r>
        <w:t>4、承包人如认为本招标文件或图纸中的要求或说明与承包人所负的责任不适用时，必须在投标时提出。</w:t>
      </w:r>
    </w:p>
    <w:p>
      <w:pPr>
        <w:pStyle w:val="BodyText"/>
        <w:spacing w:line="395" w:lineRule="exact"/>
        <w:ind w:left="1050"/>
      </w:pPr>
      <w:r>
        <w:t>5、任何承包人的产品保证在工程完工后仍然有效，该保证的权属应自动转归业主所有，</w:t>
      </w:r>
    </w:p>
    <w:p>
      <w:pPr>
        <w:spacing w:after="0" w:line="395" w:lineRule="exact"/>
        <w:sectPr>
          <w:footerReference w:type="default" r:id="rId8"/>
          <w:pgSz w:w="17860" w:h="25260"/>
          <w:pgMar w:top="1980" w:right="2220" w:bottom="2040" w:left="2280" w:header="0" w:footer="1806"/>
          <w:pgNumType w:start="5"/>
          <w:cols w:space="708"/>
        </w:sectPr>
      </w:pPr>
    </w:p>
    <w:p>
      <w:pPr>
        <w:spacing w:before="44"/>
        <w:ind w:left="420" w:right="0" w:firstLine="0"/>
        <w:jc w:val="left"/>
        <w:rPr>
          <w:sz w:val="24"/>
        </w:rPr>
      </w:pPr>
      <w:r>
        <w:rPr>
          <w:sz w:val="31"/>
        </w:rPr>
        <w:t>其后有关承包人保证中的权利和责任也转为业主所有。</w:t>
      </w:r>
      <w:r>
        <w:rPr>
          <w:color w:val="F8F8F8"/>
          <w:position w:val="-6"/>
          <w:sz w:val="24"/>
        </w:rPr>
        <w:t>買鲷鴯譖昙膚遙闫撷凄。</w:t>
      </w:r>
    </w:p>
    <w:p>
      <w:pPr>
        <w:pStyle w:val="BodyText"/>
        <w:spacing w:before="255" w:line="424" w:lineRule="auto"/>
        <w:ind w:left="420" w:right="302" w:firstLine="629"/>
      </w:pPr>
      <w:r>
        <w:t>6、若在保证期满后，发现系统上潜在的缺陷，经技术人员认定是由于承包人的工料和 施工方法不符合本招标文件和图纸要求引起</w:t>
      </w:r>
      <w:r>
        <w:rPr>
          <w:spacing w:val="-20"/>
        </w:rPr>
        <w:t>，承包人须负全责免费更换或整改，而不得推诿。</w:t>
      </w:r>
    </w:p>
    <w:p>
      <w:pPr>
        <w:spacing w:before="108"/>
        <w:ind w:left="420" w:right="0" w:firstLine="0"/>
        <w:jc w:val="left"/>
        <w:rPr>
          <w:sz w:val="24"/>
        </w:rPr>
      </w:pPr>
      <w:r>
        <w:rPr>
          <w:color w:val="F8F8F8"/>
          <w:sz w:val="24"/>
        </w:rPr>
        <w:t>綾镝鯛駕櫬鹕踪韦辚糴。</w:t>
      </w:r>
    </w:p>
    <w:p>
      <w:pPr>
        <w:pStyle w:val="BodyText"/>
        <w:spacing w:before="3"/>
        <w:rPr>
          <w:sz w:val="22"/>
        </w:rPr>
      </w:pPr>
    </w:p>
    <w:p>
      <w:pPr>
        <w:pStyle w:val="Heading7"/>
        <w:spacing w:before="0"/>
        <w:ind w:left="1054"/>
      </w:pPr>
      <w:r>
        <w:t>三、工程更改</w:t>
      </w:r>
    </w:p>
    <w:p>
      <w:pPr>
        <w:pStyle w:val="BodyText"/>
        <w:spacing w:before="10"/>
        <w:rPr>
          <w:b/>
          <w:sz w:val="23"/>
        </w:rPr>
      </w:pPr>
    </w:p>
    <w:p>
      <w:pPr>
        <w:pStyle w:val="BodyText"/>
        <w:spacing w:line="424" w:lineRule="auto"/>
        <w:ind w:left="420" w:right="264" w:firstLine="629"/>
        <w:jc w:val="both"/>
      </w:pPr>
      <w:r>
        <w:t xml:space="preserve">1、在合同生效后，在特殊情况下，承包人需要更改某些设备或材料须以书面提交合理 </w:t>
      </w:r>
      <w:r>
        <w:rPr>
          <w:spacing w:val="-13"/>
        </w:rPr>
        <w:t>的解释及证明文件，并提出建议；重新建议的设备或材料承包人，必须在本议标书的可接受 的生产商范围内挑选并同时经业主及相关技术人员的书面批准方可使用</w:t>
      </w:r>
      <w:r>
        <w:rPr>
          <w:spacing w:val="-24"/>
        </w:rPr>
        <w:t>。同时更改后的材料  和设备必须达到本招标文件的要求。此外，如有额外费用及合同上的责任应由承包人负责。</w:t>
      </w:r>
    </w:p>
    <w:p>
      <w:pPr>
        <w:spacing w:before="107"/>
        <w:ind w:left="420" w:right="0" w:firstLine="0"/>
        <w:jc w:val="left"/>
        <w:rPr>
          <w:sz w:val="24"/>
        </w:rPr>
      </w:pPr>
      <w:r>
        <w:rPr>
          <w:color w:val="F8F8F8"/>
          <w:sz w:val="24"/>
        </w:rPr>
        <w:t>驅踬髏彦浃绥譎饴憂锦。</w:t>
      </w:r>
    </w:p>
    <w:p>
      <w:pPr>
        <w:pStyle w:val="BodyText"/>
        <w:spacing w:before="2"/>
        <w:rPr>
          <w:sz w:val="22"/>
        </w:rPr>
      </w:pPr>
    </w:p>
    <w:p>
      <w:pPr>
        <w:pStyle w:val="BodyText"/>
        <w:spacing w:before="1"/>
        <w:ind w:left="1050"/>
      </w:pPr>
      <w:r>
        <w:t>2、承包人更改材料和设备而延误的工期，由承包人全部负责。</w:t>
      </w:r>
    </w:p>
    <w:p>
      <w:pPr>
        <w:pStyle w:val="BodyText"/>
        <w:spacing w:before="10"/>
        <w:rPr>
          <w:sz w:val="23"/>
        </w:rPr>
      </w:pPr>
    </w:p>
    <w:p>
      <w:pPr>
        <w:pStyle w:val="BodyText"/>
        <w:spacing w:line="424" w:lineRule="auto"/>
        <w:ind w:left="420" w:right="428" w:firstLine="629"/>
        <w:rPr>
          <w:sz w:val="24"/>
        </w:rPr>
      </w:pPr>
      <w:r>
        <w:t>3</w:t>
      </w:r>
      <w:r>
        <w:rPr>
          <w:spacing w:val="-1"/>
        </w:rPr>
        <w:t>、因更改材料和设备导致有关建筑和结构的改动，对本承包人及其它承包人所产生的</w:t>
      </w:r>
      <w:r>
        <w:rPr>
          <w:spacing w:val="-2"/>
        </w:rPr>
        <w:t>影响及由此而引起的额外费用由本承包人负责。</w:t>
      </w:r>
      <w:r>
        <w:rPr>
          <w:color w:val="F8F8F8"/>
          <w:position w:val="-6"/>
          <w:sz w:val="24"/>
        </w:rPr>
        <w:t>猫虿驢绘燈鮒诛髅貺庑。</w:t>
      </w:r>
    </w:p>
    <w:p>
      <w:pPr>
        <w:pStyle w:val="BodyText"/>
        <w:spacing w:line="345" w:lineRule="exact"/>
        <w:ind w:left="1050"/>
      </w:pPr>
      <w:r>
        <w:t>4、因更改材料和设备而引致和相关的管道、电缆、导管和设备的数量及排列的变化，</w:t>
      </w:r>
    </w:p>
    <w:p>
      <w:pPr>
        <w:pStyle w:val="BodyText"/>
        <w:spacing w:before="10"/>
        <w:rPr>
          <w:sz w:val="23"/>
        </w:rPr>
      </w:pPr>
    </w:p>
    <w:p>
      <w:pPr>
        <w:spacing w:before="0"/>
        <w:ind w:left="420" w:right="0" w:firstLine="0"/>
        <w:jc w:val="left"/>
        <w:rPr>
          <w:sz w:val="24"/>
        </w:rPr>
      </w:pPr>
      <w:r>
        <w:rPr>
          <w:sz w:val="31"/>
        </w:rPr>
        <w:t>本承包人需提供因变化所需的材料和附件并承担所有增加的费用。</w:t>
      </w:r>
      <w:r>
        <w:rPr>
          <w:color w:val="F8F8F8"/>
          <w:position w:val="-6"/>
          <w:sz w:val="24"/>
        </w:rPr>
        <w:t>锹籁饗迳琐筆襖鸥娅薔。</w:t>
      </w:r>
    </w:p>
    <w:p>
      <w:pPr>
        <w:pStyle w:val="BodyText"/>
        <w:spacing w:before="254" w:line="424" w:lineRule="auto"/>
        <w:ind w:left="420" w:right="428" w:firstLine="629"/>
        <w:rPr>
          <w:sz w:val="24"/>
        </w:rPr>
      </w:pPr>
      <w:r>
        <w:t>5、除非在施工中出现不可预见的情况，经设计和发包方及监理同意后可允许变更，否则不予变更，由施工单位自行解决。</w:t>
      </w:r>
      <w:r>
        <w:rPr>
          <w:color w:val="F8F8F8"/>
          <w:position w:val="-6"/>
          <w:sz w:val="24"/>
        </w:rPr>
        <w:t>構氽頑黉碩饨荠龈话骛。</w:t>
      </w:r>
    </w:p>
    <w:p>
      <w:pPr>
        <w:pStyle w:val="Heading7"/>
        <w:spacing w:before="0" w:line="345" w:lineRule="exact"/>
        <w:ind w:left="1054"/>
      </w:pPr>
      <w:r>
        <w:t>四、不合格的材料、设备严禁入场</w:t>
      </w:r>
    </w:p>
    <w:p>
      <w:pPr>
        <w:pStyle w:val="BodyText"/>
        <w:spacing w:before="10"/>
        <w:rPr>
          <w:b/>
          <w:sz w:val="23"/>
        </w:rPr>
      </w:pPr>
    </w:p>
    <w:p>
      <w:pPr>
        <w:pStyle w:val="BodyText"/>
        <w:spacing w:before="1" w:line="424" w:lineRule="auto"/>
        <w:ind w:left="420" w:right="308" w:firstLine="629"/>
        <w:rPr>
          <w:sz w:val="24"/>
        </w:rPr>
      </w:pPr>
      <w:r>
        <w:rPr>
          <w:spacing w:val="-8"/>
        </w:rPr>
        <w:t>业主、监理工程师有权拒绝不合格的材料、设备进入施工现场；若发现承包人使用，有</w:t>
      </w:r>
      <w:r>
        <w:rPr>
          <w:spacing w:val="-2"/>
        </w:rPr>
        <w:t>权命令拆除和更换，由此引致工期延误和费用由承包人负责。</w:t>
      </w:r>
      <w:r>
        <w:rPr>
          <w:color w:val="F8F8F8"/>
          <w:position w:val="-6"/>
          <w:sz w:val="24"/>
        </w:rPr>
        <w:t>輒峄陽檉簖疖網儂號泶。</w:t>
      </w:r>
    </w:p>
    <w:p>
      <w:pPr>
        <w:pStyle w:val="Heading7"/>
        <w:spacing w:before="0" w:line="345" w:lineRule="exact"/>
        <w:ind w:left="1054"/>
      </w:pPr>
      <w:r>
        <w:t>五、工件的包装和保护</w:t>
      </w:r>
    </w:p>
    <w:p>
      <w:pPr>
        <w:pStyle w:val="BodyText"/>
        <w:spacing w:before="9"/>
        <w:rPr>
          <w:b/>
          <w:sz w:val="23"/>
        </w:rPr>
      </w:pPr>
    </w:p>
    <w:p>
      <w:pPr>
        <w:pStyle w:val="BodyText"/>
        <w:spacing w:before="1"/>
        <w:ind w:left="1050"/>
      </w:pPr>
      <w:r>
        <w:t>1、所有运送到工地的设备和材料均应保持全新状态，并应有适当的包装和保护。</w:t>
      </w:r>
    </w:p>
    <w:p>
      <w:pPr>
        <w:pStyle w:val="BodyText"/>
        <w:spacing w:before="10"/>
        <w:rPr>
          <w:sz w:val="23"/>
        </w:rPr>
      </w:pPr>
    </w:p>
    <w:p>
      <w:pPr>
        <w:pStyle w:val="BodyText"/>
        <w:spacing w:line="424" w:lineRule="auto"/>
        <w:ind w:left="420" w:right="299" w:firstLine="629"/>
        <w:rPr>
          <w:sz w:val="24"/>
        </w:rPr>
      </w:pPr>
      <w:r>
        <w:t>2</w:t>
      </w:r>
      <w:r>
        <w:rPr>
          <w:spacing w:val="-14"/>
        </w:rPr>
        <w:t xml:space="preserve">、所有运送过程中或在工地上受损的设备和材料，将拒绝使用，承包人必须无偿更换， </w:t>
      </w:r>
      <w:r>
        <w:rPr>
          <w:spacing w:val="-2"/>
        </w:rPr>
        <w:t>因此而引起的工期延误承包人负责。</w:t>
      </w:r>
      <w:r>
        <w:rPr>
          <w:color w:val="F8F8F8"/>
          <w:position w:val="-6"/>
          <w:sz w:val="24"/>
        </w:rPr>
        <w:t>尧侧閆繭絳闕绚勵蜆贅。</w:t>
      </w:r>
    </w:p>
    <w:p>
      <w:pPr>
        <w:pStyle w:val="BodyText"/>
        <w:spacing w:line="346" w:lineRule="exact"/>
        <w:ind w:left="1050"/>
      </w:pPr>
      <w:r>
        <w:t>3、承包人对大型设备的进场必须事先有详细的计划和安排，并提出切实可行的运送方</w:t>
      </w:r>
    </w:p>
    <w:p>
      <w:pPr>
        <w:pStyle w:val="BodyText"/>
        <w:spacing w:before="10"/>
        <w:rPr>
          <w:sz w:val="23"/>
        </w:rPr>
      </w:pPr>
    </w:p>
    <w:p>
      <w:pPr>
        <w:spacing w:before="0" w:line="393" w:lineRule="auto"/>
        <w:ind w:left="1054" w:right="4609" w:hanging="634"/>
        <w:jc w:val="left"/>
        <w:rPr>
          <w:b/>
          <w:sz w:val="31"/>
        </w:rPr>
      </w:pPr>
      <w:r>
        <w:rPr>
          <w:sz w:val="31"/>
        </w:rPr>
        <w:t>案，工地一般不可能提供临时贮存场地。</w:t>
      </w:r>
      <w:r>
        <w:rPr>
          <w:color w:val="F8F8F8"/>
          <w:position w:val="-6"/>
          <w:sz w:val="24"/>
        </w:rPr>
        <w:t>识饒鎂錕缢灩筧嚌俨淒。</w:t>
      </w:r>
      <w:r>
        <w:rPr>
          <w:b/>
          <w:sz w:val="31"/>
        </w:rPr>
        <w:t>六、对机件和设备的责任和拥有权。</w:t>
      </w:r>
    </w:p>
    <w:p>
      <w:pPr>
        <w:pStyle w:val="BodyText"/>
        <w:spacing w:before="51"/>
        <w:ind w:left="1050"/>
      </w:pPr>
      <w:r>
        <w:t>1、在工程施工期间，承包人必须对所有材料、设备、机件的破损和遗失负责。</w:t>
      </w:r>
    </w:p>
    <w:p>
      <w:pPr>
        <w:pStyle w:val="BodyText"/>
        <w:spacing w:before="10"/>
        <w:rPr>
          <w:sz w:val="23"/>
        </w:rPr>
      </w:pPr>
    </w:p>
    <w:p>
      <w:pPr>
        <w:pStyle w:val="BodyText"/>
        <w:spacing w:line="424" w:lineRule="auto"/>
        <w:ind w:left="420" w:right="428" w:firstLine="629"/>
        <w:rPr>
          <w:sz w:val="24"/>
        </w:rPr>
      </w:pPr>
      <w:r>
        <w:t>2、在本合同范围内所提供的一切材料、设备、机件一经送达工地，其拥有权归业主所有。没有业主和现场工程师的批准不得移离工地。</w:t>
      </w:r>
      <w:r>
        <w:rPr>
          <w:color w:val="F8F8F8"/>
          <w:position w:val="-6"/>
          <w:sz w:val="24"/>
        </w:rPr>
        <w:t>凍鈹鋨劳臘锴痫婦胫籴。</w:t>
      </w:r>
    </w:p>
    <w:p>
      <w:pPr>
        <w:spacing w:after="0" w:line="424" w:lineRule="auto"/>
        <w:rPr>
          <w:sz w:val="24"/>
        </w:rPr>
        <w:sectPr>
          <w:footerReference w:type="default" r:id="rId9"/>
          <w:pgSz w:w="17860" w:h="25260"/>
          <w:pgMar w:top="1980" w:right="2220" w:bottom="2040" w:left="2280" w:header="0" w:footer="1806"/>
          <w:pgNumType w:start="6"/>
          <w:cols w:space="708"/>
        </w:sectPr>
      </w:pPr>
    </w:p>
    <w:p>
      <w:pPr>
        <w:pStyle w:val="Heading7"/>
        <w:spacing w:before="44"/>
        <w:ind w:left="1054"/>
      </w:pPr>
      <w:r>
        <w:t>七、装置的大小及设备交送通道</w:t>
      </w:r>
    </w:p>
    <w:p>
      <w:pPr>
        <w:pStyle w:val="BodyText"/>
        <w:spacing w:before="11"/>
        <w:rPr>
          <w:b/>
          <w:sz w:val="23"/>
        </w:rPr>
      </w:pPr>
    </w:p>
    <w:p>
      <w:pPr>
        <w:pStyle w:val="BodyText"/>
        <w:spacing w:line="424" w:lineRule="auto"/>
        <w:ind w:left="420" w:right="428" w:firstLine="629"/>
      </w:pPr>
      <w:r>
        <w:t>1、所提供的装置和设备的大小尺寸应能适合指定的安装空间，并须考虑提供足够的维修及保养通道。</w:t>
      </w:r>
    </w:p>
    <w:p>
      <w:pPr>
        <w:pStyle w:val="BodyText"/>
        <w:spacing w:line="424" w:lineRule="auto"/>
        <w:ind w:left="420" w:right="428" w:firstLine="629"/>
        <w:jc w:val="both"/>
        <w:rPr>
          <w:sz w:val="24"/>
        </w:rPr>
      </w:pPr>
      <w:r>
        <w:t>2</w:t>
      </w:r>
      <w:r>
        <w:rPr>
          <w:spacing w:val="-1"/>
        </w:rPr>
        <w:t xml:space="preserve">、承包人应负责把全部材料运送到安装现场，对于大型重要设备的运送应拟定方案， </w:t>
      </w:r>
      <w:r>
        <w:rPr>
          <w:spacing w:val="-11"/>
        </w:rPr>
        <w:t>事先交现场监理工程师审查。若承包人所提供的设备尺寸与图纸不符，由此造成的一切改动</w:t>
      </w:r>
      <w:r>
        <w:rPr>
          <w:spacing w:val="-12"/>
        </w:rPr>
        <w:t>和费用，须由承包人负责。</w:t>
      </w:r>
      <w:r>
        <w:rPr>
          <w:color w:val="F8F8F8"/>
          <w:position w:val="-6"/>
          <w:sz w:val="24"/>
        </w:rPr>
        <w:t>恥諤銪灭萦欢煬鞏鹜錦。</w:t>
      </w:r>
    </w:p>
    <w:p>
      <w:pPr>
        <w:pStyle w:val="Heading7"/>
        <w:spacing w:before="0" w:line="344" w:lineRule="exact"/>
        <w:ind w:left="1054"/>
      </w:pPr>
      <w:r>
        <w:t>八、样品审批</w:t>
      </w:r>
    </w:p>
    <w:p>
      <w:pPr>
        <w:pStyle w:val="BodyText"/>
        <w:spacing w:before="8"/>
        <w:rPr>
          <w:b/>
          <w:sz w:val="23"/>
        </w:rPr>
      </w:pPr>
    </w:p>
    <w:p>
      <w:pPr>
        <w:pStyle w:val="BodyText"/>
        <w:spacing w:line="424" w:lineRule="auto"/>
        <w:ind w:left="420" w:right="264" w:firstLine="629"/>
        <w:rPr>
          <w:sz w:val="24"/>
        </w:rPr>
      </w:pPr>
      <w:r>
        <w:t xml:space="preserve">1、承包人须在合同生效的两周内，提交一份具体的样品清单给现场工程师审批。清单 </w:t>
      </w:r>
      <w:r>
        <w:rPr>
          <w:spacing w:val="-1"/>
        </w:rPr>
        <w:t>内应注明设备材料名称，承包人名称、产地、规格型号、预定交货的日期。如现场工程师认</w:t>
      </w:r>
      <w:r>
        <w:rPr>
          <w:spacing w:val="-2"/>
        </w:rPr>
        <w:t>为有必要，可要求承包人补充清单以外的样品。</w:t>
      </w:r>
      <w:r>
        <w:rPr>
          <w:color w:val="F8F8F8"/>
          <w:position w:val="-6"/>
          <w:sz w:val="24"/>
        </w:rPr>
        <w:t>鯊腎鑰诎褳鉀沩懼統庫。</w:t>
      </w:r>
    </w:p>
    <w:p>
      <w:pPr>
        <w:pStyle w:val="BodyText"/>
        <w:spacing w:line="345" w:lineRule="exact"/>
        <w:ind w:left="1050"/>
      </w:pPr>
      <w:r>
        <w:t>2、送审的样品需采用木板挂成行列提交，样品板应按业主指定的统一模式制造。所有</w:t>
      </w:r>
    </w:p>
    <w:p>
      <w:pPr>
        <w:pStyle w:val="BodyText"/>
        <w:spacing w:before="10"/>
        <w:rPr>
          <w:sz w:val="23"/>
        </w:rPr>
      </w:pPr>
    </w:p>
    <w:p>
      <w:pPr>
        <w:spacing w:before="0"/>
        <w:ind w:left="420" w:right="0" w:firstLine="0"/>
        <w:jc w:val="left"/>
        <w:rPr>
          <w:sz w:val="24"/>
        </w:rPr>
      </w:pPr>
      <w:r>
        <w:rPr>
          <w:sz w:val="31"/>
        </w:rPr>
        <w:t>材料及工艺的样品须先获得现场工程师的书面批准才可在现场使用。</w:t>
      </w:r>
      <w:r>
        <w:rPr>
          <w:color w:val="F8F8F8"/>
          <w:position w:val="-6"/>
          <w:sz w:val="24"/>
        </w:rPr>
        <w:t>硕癘鄴颃诌攆檸攜驤蔹。</w:t>
      </w:r>
    </w:p>
    <w:p>
      <w:pPr>
        <w:pStyle w:val="BodyText"/>
        <w:spacing w:before="255" w:line="424" w:lineRule="auto"/>
        <w:ind w:left="420" w:right="357" w:firstLine="629"/>
        <w:rPr>
          <w:sz w:val="24"/>
        </w:rPr>
      </w:pPr>
      <w:r>
        <w:rPr>
          <w:w w:val="102"/>
        </w:rPr>
        <w:t>3、承包人须将获批准的样品板（一式两份</w:t>
      </w:r>
      <w:r>
        <w:rPr>
          <w:spacing w:val="-248"/>
          <w:w w:val="102"/>
        </w:rPr>
        <w:t>）</w:t>
      </w:r>
      <w:r>
        <w:rPr>
          <w:spacing w:val="-1"/>
          <w:w w:val="102"/>
        </w:rPr>
        <w:t>，交到工地，一份保留在工地现场，一份保</w:t>
      </w:r>
      <w:r>
        <w:rPr>
          <w:spacing w:val="-2"/>
        </w:rPr>
        <w:t>留在业主处，以备日后对所用材料和工艺的核对和验收。</w:t>
      </w:r>
      <w:r>
        <w:rPr>
          <w:color w:val="F8F8F8"/>
          <w:position w:val="-6"/>
          <w:sz w:val="24"/>
        </w:rPr>
        <w:t>阌擻輳嬪諫迁择楨秘騖。</w:t>
      </w:r>
    </w:p>
    <w:p>
      <w:pPr>
        <w:pStyle w:val="BodyText"/>
        <w:spacing w:line="345" w:lineRule="exact"/>
        <w:ind w:left="1050"/>
      </w:pPr>
      <w:r>
        <w:t>4、在每一个样品上应附有中文说明标签，标明有关承包人，承包人名称，合同名称，</w:t>
      </w:r>
    </w:p>
    <w:p>
      <w:pPr>
        <w:pStyle w:val="BodyText"/>
        <w:spacing w:before="10"/>
        <w:rPr>
          <w:sz w:val="23"/>
        </w:rPr>
      </w:pPr>
    </w:p>
    <w:p>
      <w:pPr>
        <w:spacing w:before="0"/>
        <w:ind w:left="420" w:right="0" w:firstLine="0"/>
        <w:jc w:val="left"/>
        <w:rPr>
          <w:sz w:val="24"/>
        </w:rPr>
      </w:pPr>
      <w:r>
        <w:rPr>
          <w:sz w:val="31"/>
        </w:rPr>
        <w:t>将投入使用的系统名称，还必须有现场工程师的签字。</w:t>
      </w:r>
      <w:r>
        <w:rPr>
          <w:color w:val="F8F8F8"/>
          <w:position w:val="-6"/>
          <w:sz w:val="24"/>
        </w:rPr>
        <w:t>氬嚕躑竄贸恳彈瀘颔澩。</w:t>
      </w:r>
    </w:p>
    <w:p>
      <w:pPr>
        <w:pStyle w:val="BodyText"/>
        <w:spacing w:before="255" w:line="424" w:lineRule="auto"/>
        <w:ind w:left="420" w:right="292" w:firstLine="629"/>
        <w:rPr>
          <w:sz w:val="24"/>
        </w:rPr>
      </w:pPr>
      <w:r>
        <w:t>5</w:t>
      </w:r>
      <w:r>
        <w:rPr>
          <w:spacing w:val="-16"/>
        </w:rPr>
        <w:t xml:space="preserve">、承包人还应按本招标文件的要求，提供足够的样品，以备需要时进行破坏性试验用， </w:t>
      </w:r>
      <w:r>
        <w:rPr>
          <w:spacing w:val="-2"/>
        </w:rPr>
        <w:t>样品试验所需的费用应由承包人负责。</w:t>
      </w:r>
      <w:r>
        <w:rPr>
          <w:color w:val="F8F8F8"/>
          <w:position w:val="-6"/>
          <w:sz w:val="24"/>
        </w:rPr>
        <w:t>釷鹆資贏車贖孙滅獅赘。</w:t>
      </w:r>
    </w:p>
    <w:p>
      <w:pPr>
        <w:pStyle w:val="Heading7"/>
        <w:spacing w:before="0" w:line="345" w:lineRule="exact"/>
        <w:ind w:left="1054"/>
      </w:pPr>
      <w:r>
        <w:t>九、材料和工艺</w:t>
      </w:r>
    </w:p>
    <w:p>
      <w:pPr>
        <w:pStyle w:val="BodyText"/>
        <w:spacing w:before="10"/>
        <w:rPr>
          <w:b/>
          <w:sz w:val="23"/>
        </w:rPr>
      </w:pPr>
    </w:p>
    <w:p>
      <w:pPr>
        <w:pStyle w:val="BodyText"/>
        <w:spacing w:line="424" w:lineRule="auto"/>
        <w:ind w:left="420" w:right="428" w:firstLine="629"/>
        <w:jc w:val="both"/>
        <w:rPr>
          <w:sz w:val="24"/>
        </w:rPr>
      </w:pPr>
      <w:r>
        <w:t>1</w:t>
      </w:r>
      <w:r>
        <w:rPr>
          <w:spacing w:val="-1"/>
        </w:rPr>
        <w:t>、除了本招标文件有特殊说明外，本合同范围内所使用的所有设备、材料和物品必须</w:t>
      </w:r>
      <w:r>
        <w:rPr>
          <w:spacing w:val="-12"/>
        </w:rPr>
        <w:t>为全新和标准产品，并具有相应的合格等级标准。详细要求请见附表《工程所用材料性能技</w:t>
      </w:r>
      <w:r>
        <w:rPr>
          <w:spacing w:val="-41"/>
          <w:position w:val="6"/>
        </w:rPr>
        <w:t>术要求》。</w:t>
      </w:r>
      <w:r>
        <w:rPr>
          <w:color w:val="F8F8F8"/>
          <w:sz w:val="24"/>
        </w:rPr>
        <w:t>怂阐譜鯪迳導嘯畫長凉。</w:t>
      </w:r>
    </w:p>
    <w:p>
      <w:pPr>
        <w:pStyle w:val="BodyText"/>
        <w:spacing w:line="354" w:lineRule="exact"/>
        <w:ind w:left="1050"/>
      </w:pPr>
      <w:r>
        <w:t>2、同类型的设备和材料应采有同一承包人的产品。</w:t>
      </w:r>
    </w:p>
    <w:p>
      <w:pPr>
        <w:pStyle w:val="BodyText"/>
        <w:spacing w:before="11"/>
        <w:rPr>
          <w:sz w:val="23"/>
        </w:rPr>
      </w:pPr>
    </w:p>
    <w:p>
      <w:pPr>
        <w:pStyle w:val="BodyText"/>
        <w:spacing w:line="424" w:lineRule="auto"/>
        <w:ind w:left="420" w:right="428" w:firstLine="629"/>
        <w:rPr>
          <w:sz w:val="24"/>
        </w:rPr>
      </w:pPr>
      <w:r>
        <w:t>3、同类型的设备的零部件及其组装零件应能互相调换，备用零件材料与原机零件材料相同，性能相同。若需使用机械加工的备件，机械加工要求及允许偏差应符合图纸要求。</w:t>
      </w:r>
      <w:r>
        <w:rPr>
          <w:color w:val="F8F8F8"/>
          <w:position w:val="-6"/>
          <w:sz w:val="24"/>
        </w:rPr>
        <w:t>谚</w:t>
      </w:r>
    </w:p>
    <w:p>
      <w:pPr>
        <w:spacing w:before="57"/>
        <w:ind w:left="420" w:right="0" w:firstLine="0"/>
        <w:jc w:val="left"/>
        <w:rPr>
          <w:sz w:val="24"/>
        </w:rPr>
      </w:pPr>
      <w:r>
        <w:rPr>
          <w:color w:val="F8F8F8"/>
          <w:sz w:val="24"/>
        </w:rPr>
        <w:t>辞調担鈧谄动禪泻類。</w:t>
      </w:r>
    </w:p>
    <w:p>
      <w:pPr>
        <w:pStyle w:val="BodyText"/>
        <w:spacing w:before="3"/>
        <w:rPr>
          <w:sz w:val="22"/>
        </w:rPr>
      </w:pPr>
    </w:p>
    <w:p>
      <w:pPr>
        <w:pStyle w:val="BodyText"/>
        <w:ind w:left="1050"/>
      </w:pPr>
      <w:r>
        <w:t>4、所有受尘埃影响会出现磨损或损坏的零部件，应设置防尘保护罩。</w:t>
      </w:r>
    </w:p>
    <w:p>
      <w:pPr>
        <w:pStyle w:val="BodyText"/>
        <w:spacing w:before="10"/>
        <w:rPr>
          <w:sz w:val="23"/>
        </w:rPr>
      </w:pPr>
    </w:p>
    <w:p>
      <w:pPr>
        <w:pStyle w:val="BodyText"/>
        <w:spacing w:line="424" w:lineRule="auto"/>
        <w:ind w:left="420" w:right="422" w:firstLine="629"/>
        <w:jc w:val="both"/>
        <w:rPr>
          <w:sz w:val="24"/>
        </w:rPr>
      </w:pPr>
      <w:r>
        <w:t>5</w:t>
      </w:r>
      <w:r>
        <w:rPr>
          <w:spacing w:val="-1"/>
        </w:rPr>
        <w:t>、本合同范围内的全部施工须由熟练的专业工人和技术人员进行，并应遵照本说明书</w:t>
      </w:r>
      <w:r>
        <w:rPr>
          <w:spacing w:val="-14"/>
        </w:rPr>
        <w:t>所规定的工艺要求施工。业主和监理工程师有权要求承包人提供各专业工人和技术人员的资</w:t>
      </w:r>
      <w:r>
        <w:rPr>
          <w:spacing w:val="-2"/>
          <w:position w:val="6"/>
        </w:rPr>
        <w:t>历作审查。</w:t>
      </w:r>
      <w:r>
        <w:rPr>
          <w:color w:val="F8F8F8"/>
          <w:sz w:val="24"/>
        </w:rPr>
        <w:t>嘰觐詿缧铴嗫偽純铪锩。</w:t>
      </w:r>
    </w:p>
    <w:p>
      <w:pPr>
        <w:spacing w:after="0" w:line="424" w:lineRule="auto"/>
        <w:jc w:val="both"/>
        <w:rPr>
          <w:sz w:val="24"/>
        </w:rPr>
        <w:sectPr>
          <w:footerReference w:type="default" r:id="rId10"/>
          <w:pgSz w:w="17860" w:h="25260"/>
          <w:pgMar w:top="1980" w:right="2220" w:bottom="2040" w:left="2280" w:header="0" w:footer="1806"/>
          <w:pgNumType w:start="7"/>
          <w:cols w:space="708"/>
        </w:sectPr>
      </w:pPr>
    </w:p>
    <w:p>
      <w:pPr>
        <w:spacing w:before="44" w:line="424" w:lineRule="auto"/>
        <w:ind w:left="1054" w:right="5812" w:hanging="4"/>
        <w:jc w:val="left"/>
        <w:rPr>
          <w:b/>
          <w:sz w:val="31"/>
        </w:rPr>
      </w:pPr>
      <w:r>
        <w:rPr>
          <w:sz w:val="31"/>
        </w:rPr>
        <w:t>6、所有部件的安装位置方便维修保养和更换。</w:t>
      </w:r>
      <w:r>
        <w:rPr>
          <w:b/>
          <w:sz w:val="31"/>
        </w:rPr>
        <w:t>十、安全文明施工</w:t>
      </w:r>
    </w:p>
    <w:p>
      <w:pPr>
        <w:pStyle w:val="BodyText"/>
        <w:spacing w:line="424" w:lineRule="auto"/>
        <w:ind w:left="420" w:right="428" w:firstLine="629"/>
        <w:jc w:val="both"/>
        <w:rPr>
          <w:sz w:val="24"/>
        </w:rPr>
      </w:pPr>
      <w:r>
        <w:t>1</w:t>
      </w:r>
      <w:r>
        <w:rPr>
          <w:spacing w:val="-1"/>
        </w:rPr>
        <w:t>、施工期间，承包人须对提供足够的临时安全设施，若承包人的工作区域不在总承包</w:t>
      </w:r>
      <w:r>
        <w:rPr>
          <w:spacing w:val="-13"/>
        </w:rPr>
        <w:t>所负责的范围内，应对会对施工人员及其它人员构成危险的地台、墙壁孔洞提供足够的保护</w:t>
      </w:r>
      <w:r>
        <w:rPr>
          <w:spacing w:val="-10"/>
          <w:position w:val="6"/>
        </w:rPr>
        <w:t>设施。</w:t>
      </w:r>
      <w:r>
        <w:rPr>
          <w:color w:val="F8F8F8"/>
          <w:sz w:val="24"/>
        </w:rPr>
        <w:t>熒绐譏钲鏌觶鷹緇機库。</w:t>
      </w:r>
    </w:p>
    <w:p>
      <w:pPr>
        <w:pStyle w:val="BodyText"/>
        <w:spacing w:line="354" w:lineRule="exact"/>
        <w:ind w:left="1050"/>
      </w:pPr>
      <w:r>
        <w:t>2、在本承包人工作、生活范围内所有对其工作人员及其他人员构成危险的地方均须提</w:t>
      </w:r>
    </w:p>
    <w:p>
      <w:pPr>
        <w:pStyle w:val="BodyText"/>
        <w:spacing w:before="9"/>
        <w:rPr>
          <w:sz w:val="23"/>
        </w:rPr>
      </w:pPr>
    </w:p>
    <w:p>
      <w:pPr>
        <w:pStyle w:val="BodyText"/>
        <w:ind w:left="420"/>
      </w:pPr>
      <w:r>
        <w:t>供足够的安全保护设施。</w:t>
      </w:r>
    </w:p>
    <w:p>
      <w:pPr>
        <w:pStyle w:val="BodyText"/>
        <w:rPr>
          <w:sz w:val="32"/>
        </w:rPr>
      </w:pPr>
    </w:p>
    <w:p>
      <w:pPr>
        <w:pStyle w:val="BodyText"/>
        <w:rPr>
          <w:sz w:val="32"/>
        </w:rPr>
      </w:pPr>
    </w:p>
    <w:p>
      <w:pPr>
        <w:pStyle w:val="BodyText"/>
        <w:spacing w:before="8"/>
        <w:rPr>
          <w:sz w:val="34"/>
        </w:rPr>
      </w:pPr>
    </w:p>
    <w:p>
      <w:pPr>
        <w:tabs>
          <w:tab w:val="left" w:pos="2171"/>
        </w:tabs>
        <w:spacing w:before="0"/>
        <w:ind w:left="0" w:right="61" w:firstLine="0"/>
        <w:jc w:val="center"/>
        <w:rPr>
          <w:b/>
          <w:sz w:val="48"/>
        </w:rPr>
      </w:pPr>
      <w:bookmarkStart w:id="6" w:name="_TOC_250005"/>
      <w:bookmarkEnd w:id="6"/>
      <w:r>
        <w:rPr>
          <w:b/>
          <w:sz w:val="48"/>
        </w:rPr>
        <w:t>第三节</w:t>
        <w:tab/>
        <w:t>培训</w:t>
      </w:r>
    </w:p>
    <w:p>
      <w:pPr>
        <w:pStyle w:val="BodyText"/>
        <w:spacing w:before="1"/>
        <w:rPr>
          <w:b/>
          <w:sz w:val="66"/>
        </w:rPr>
      </w:pPr>
    </w:p>
    <w:p>
      <w:pPr>
        <w:pStyle w:val="BodyText"/>
        <w:spacing w:line="424" w:lineRule="auto"/>
        <w:ind w:left="420" w:right="401" w:firstLine="629"/>
        <w:jc w:val="both"/>
        <w:rPr>
          <w:sz w:val="24"/>
        </w:rPr>
      </w:pPr>
      <w:r>
        <w:rPr>
          <w:spacing w:val="-14"/>
        </w:rPr>
        <w:t>一、承包人须提供所需的培训设施和课程，以确保业主的工程人员能对承包人所提供的</w:t>
      </w:r>
      <w:r>
        <w:rPr>
          <w:spacing w:val="-15"/>
        </w:rPr>
        <w:t>系统、设备和装置的设计、日常的动作、故障和例行维护、事故的处理和解决方面等有全面</w:t>
      </w:r>
      <w:r>
        <w:rPr>
          <w:spacing w:val="-2"/>
          <w:position w:val="6"/>
        </w:rPr>
        <w:t>性的认识和了解。</w:t>
      </w:r>
      <w:r>
        <w:rPr>
          <w:color w:val="F8F8F8"/>
          <w:sz w:val="24"/>
        </w:rPr>
        <w:t>鶼渍螻偉阅劍鲰腎邏蘞。</w:t>
      </w:r>
    </w:p>
    <w:p>
      <w:pPr>
        <w:pStyle w:val="BodyText"/>
        <w:spacing w:line="354" w:lineRule="exact"/>
        <w:ind w:left="1050"/>
      </w:pPr>
      <w:r>
        <w:t>二、承包人须委派资深导师进行每项培训工作。向培训学员提供并讲解有关设计资料、</w:t>
      </w:r>
    </w:p>
    <w:p>
      <w:pPr>
        <w:pStyle w:val="BodyText"/>
        <w:spacing w:before="10"/>
        <w:rPr>
          <w:sz w:val="23"/>
        </w:rPr>
      </w:pPr>
    </w:p>
    <w:p>
      <w:pPr>
        <w:pStyle w:val="BodyText"/>
        <w:spacing w:line="393" w:lineRule="auto"/>
        <w:ind w:left="1050" w:right="1456" w:hanging="630"/>
      </w:pPr>
      <w:r>
        <w:t>文件、图纸等，以使学员对整套系统的各个方面都能熟悉掌握。</w:t>
      </w:r>
      <w:r>
        <w:rPr>
          <w:color w:val="F8F8F8"/>
          <w:position w:val="-6"/>
          <w:sz w:val="24"/>
        </w:rPr>
        <w:t>纣忧蔣氳頑莶驅藥悯骛。</w:t>
      </w:r>
      <w:r>
        <w:t>三、上述培训所需的费用应包括在承包人的合同价内。</w:t>
      </w:r>
    </w:p>
    <w:p>
      <w:pPr>
        <w:pStyle w:val="BodyText"/>
        <w:rPr>
          <w:sz w:val="32"/>
        </w:rPr>
      </w:pPr>
    </w:p>
    <w:p>
      <w:pPr>
        <w:pStyle w:val="BodyText"/>
        <w:rPr>
          <w:sz w:val="32"/>
        </w:rPr>
      </w:pPr>
    </w:p>
    <w:p>
      <w:pPr>
        <w:pStyle w:val="BodyText"/>
        <w:rPr>
          <w:sz w:val="32"/>
        </w:rPr>
      </w:pPr>
    </w:p>
    <w:p>
      <w:pPr>
        <w:pStyle w:val="BodyText"/>
        <w:spacing w:before="5"/>
      </w:pPr>
    </w:p>
    <w:p>
      <w:pPr>
        <w:tabs>
          <w:tab w:val="left" w:pos="2170"/>
        </w:tabs>
        <w:spacing w:before="0"/>
        <w:ind w:left="0" w:right="76" w:firstLine="0"/>
        <w:jc w:val="center"/>
        <w:rPr>
          <w:b/>
          <w:sz w:val="48"/>
        </w:rPr>
      </w:pPr>
      <w:bookmarkStart w:id="7" w:name="_TOC_250004"/>
      <w:bookmarkEnd w:id="7"/>
      <w:r>
        <w:rPr>
          <w:b/>
          <w:sz w:val="48"/>
        </w:rPr>
        <w:t>第四节</w:t>
        <w:tab/>
        <w:t>零备件及工具</w:t>
      </w:r>
    </w:p>
    <w:p>
      <w:pPr>
        <w:pStyle w:val="BodyText"/>
        <w:rPr>
          <w:b/>
          <w:sz w:val="66"/>
        </w:rPr>
      </w:pPr>
    </w:p>
    <w:p>
      <w:pPr>
        <w:pStyle w:val="BodyText"/>
        <w:spacing w:before="1" w:line="424" w:lineRule="auto"/>
        <w:ind w:left="420" w:right="461" w:firstLine="629"/>
        <w:rPr>
          <w:sz w:val="24"/>
        </w:rPr>
      </w:pPr>
      <w:r>
        <w:rPr>
          <w:spacing w:val="-15"/>
        </w:rPr>
        <w:t>一、承包人须提供必要的零备件和替换材料，于保修期开始前立刻交付业主，以保证设</w:t>
      </w:r>
      <w:r>
        <w:rPr>
          <w:spacing w:val="-2"/>
        </w:rPr>
        <w:t>备系统能在不影响性能和稳定性的情况下，圆满地连续运行。</w:t>
      </w:r>
      <w:r>
        <w:rPr>
          <w:color w:val="F8F8F8"/>
          <w:position w:val="-6"/>
          <w:sz w:val="24"/>
        </w:rPr>
        <w:t>颖刍莖蛺饽亿顿裊赔泷。</w:t>
      </w:r>
    </w:p>
    <w:p>
      <w:pPr>
        <w:pStyle w:val="BodyText"/>
        <w:spacing w:line="345" w:lineRule="exact"/>
        <w:ind w:left="1050"/>
      </w:pPr>
      <w:r>
        <w:t>二、所有零备件及特别工具应与系统设备同期制造，并通过测试、调校、适当地包装和</w:t>
      </w:r>
    </w:p>
    <w:p>
      <w:pPr>
        <w:pStyle w:val="BodyText"/>
        <w:spacing w:before="10"/>
        <w:rPr>
          <w:sz w:val="23"/>
        </w:rPr>
      </w:pPr>
    </w:p>
    <w:p>
      <w:pPr>
        <w:spacing w:before="0"/>
        <w:ind w:left="420" w:right="0" w:firstLine="0"/>
        <w:jc w:val="left"/>
        <w:rPr>
          <w:sz w:val="24"/>
        </w:rPr>
      </w:pPr>
      <w:r>
        <w:rPr>
          <w:sz w:val="31"/>
        </w:rPr>
        <w:t>标识，并由本承包人负责运送到工地。</w:t>
      </w:r>
      <w:r>
        <w:rPr>
          <w:color w:val="F8F8F8"/>
          <w:position w:val="-6"/>
          <w:sz w:val="24"/>
        </w:rPr>
        <w:t>濫驂膽閉驟羥闈詔寢賻。</w:t>
      </w:r>
    </w:p>
    <w:p>
      <w:pPr>
        <w:pStyle w:val="BodyText"/>
        <w:spacing w:before="255" w:line="424" w:lineRule="auto"/>
        <w:ind w:left="420" w:right="454" w:firstLine="629"/>
      </w:pPr>
      <w:r>
        <w:rPr>
          <w:spacing w:val="-14"/>
        </w:rPr>
        <w:t>三、所有用作维修保养所需的特别工具和仪器需由承包人提供，并需安放于一带锁的专</w:t>
      </w:r>
      <w:r>
        <w:t>用工具箱内。</w:t>
      </w:r>
    </w:p>
    <w:p>
      <w:pPr>
        <w:spacing w:after="0" w:line="424" w:lineRule="auto"/>
        <w:sectPr>
          <w:footerReference w:type="default" r:id="rId11"/>
          <w:pgSz w:w="17860" w:h="25260"/>
          <w:pgMar w:top="1980" w:right="2220" w:bottom="2040" w:left="2280" w:header="0" w:footer="1806"/>
          <w:pgNumType w:start="8"/>
          <w:cols w:space="708"/>
        </w:sectPr>
      </w:pPr>
    </w:p>
    <w:p>
      <w:pPr>
        <w:pStyle w:val="BodyText"/>
        <w:rPr>
          <w:sz w:val="20"/>
        </w:rPr>
      </w:pPr>
    </w:p>
    <w:p>
      <w:pPr>
        <w:pStyle w:val="BodyText"/>
        <w:rPr>
          <w:sz w:val="20"/>
        </w:rPr>
      </w:pPr>
    </w:p>
    <w:p>
      <w:pPr>
        <w:pStyle w:val="BodyText"/>
        <w:spacing w:before="10"/>
        <w:rPr>
          <w:sz w:val="19"/>
        </w:rPr>
      </w:pPr>
    </w:p>
    <w:p>
      <w:pPr>
        <w:tabs>
          <w:tab w:val="left" w:pos="2170"/>
        </w:tabs>
        <w:spacing w:before="31"/>
        <w:ind w:left="0" w:right="76" w:firstLine="0"/>
        <w:jc w:val="center"/>
        <w:rPr>
          <w:b/>
          <w:sz w:val="48"/>
        </w:rPr>
      </w:pPr>
      <w:bookmarkStart w:id="8" w:name="_TOC_250003"/>
      <w:bookmarkEnd w:id="8"/>
      <w:r>
        <w:rPr>
          <w:b/>
          <w:sz w:val="48"/>
        </w:rPr>
        <w:t>第五节</w:t>
        <w:tab/>
        <w:t>免费维修保养</w:t>
      </w:r>
    </w:p>
    <w:p>
      <w:pPr>
        <w:pStyle w:val="BodyText"/>
        <w:rPr>
          <w:b/>
          <w:sz w:val="66"/>
        </w:rPr>
      </w:pPr>
    </w:p>
    <w:p>
      <w:pPr>
        <w:pStyle w:val="BodyText"/>
        <w:spacing w:before="1" w:line="424" w:lineRule="auto"/>
        <w:ind w:left="420" w:right="459" w:firstLine="629"/>
        <w:rPr>
          <w:sz w:val="24"/>
        </w:rPr>
      </w:pPr>
      <w:r>
        <w:rPr>
          <w:spacing w:val="-16"/>
        </w:rPr>
        <w:t>一、在保修期内，本承包人须免费提供所需的工作人员和材料，作一般性的定期维修保</w:t>
      </w:r>
      <w:r>
        <w:rPr>
          <w:spacing w:val="-2"/>
        </w:rPr>
        <w:t>养，同时提供日夜二十四小时随传随到的紧急维修服务。</w:t>
      </w:r>
      <w:r>
        <w:rPr>
          <w:color w:val="F8F8F8"/>
          <w:position w:val="-6"/>
          <w:sz w:val="24"/>
        </w:rPr>
        <w:t>銚銻縵哜鳗鸿锓謎諏涼。</w:t>
      </w:r>
    </w:p>
    <w:p>
      <w:pPr>
        <w:pStyle w:val="BodyText"/>
        <w:spacing w:line="345" w:lineRule="exact"/>
        <w:ind w:left="1050"/>
      </w:pPr>
      <w:r>
        <w:t>二、收到紧急事故召唤时，承包人须按正常工作时间及非工作时间分别于两小时及六小</w:t>
      </w:r>
    </w:p>
    <w:p>
      <w:pPr>
        <w:pStyle w:val="BodyText"/>
        <w:spacing w:before="9"/>
        <w:rPr>
          <w:sz w:val="23"/>
        </w:rPr>
      </w:pPr>
    </w:p>
    <w:p>
      <w:pPr>
        <w:pStyle w:val="BodyText"/>
        <w:spacing w:before="1"/>
        <w:ind w:left="420"/>
      </w:pPr>
      <w:r>
        <w:t>时之内到场进行抢修工作。</w:t>
      </w:r>
    </w:p>
    <w:p>
      <w:pPr>
        <w:pStyle w:val="BodyText"/>
        <w:spacing w:before="10"/>
        <w:rPr>
          <w:sz w:val="43"/>
        </w:rPr>
      </w:pPr>
    </w:p>
    <w:p>
      <w:pPr>
        <w:tabs>
          <w:tab w:val="left" w:pos="2170"/>
        </w:tabs>
        <w:spacing w:before="1"/>
        <w:ind w:left="0" w:right="69" w:firstLine="0"/>
        <w:jc w:val="center"/>
        <w:rPr>
          <w:b/>
          <w:sz w:val="48"/>
        </w:rPr>
      </w:pPr>
      <w:bookmarkStart w:id="9" w:name="_TOC_250002"/>
      <w:bookmarkEnd w:id="9"/>
      <w:r>
        <w:rPr>
          <w:b/>
          <w:sz w:val="48"/>
        </w:rPr>
        <w:t>第六节</w:t>
        <w:tab/>
        <w:t>维护保养</w:t>
      </w:r>
    </w:p>
    <w:p>
      <w:pPr>
        <w:pStyle w:val="BodyText"/>
        <w:spacing w:before="9"/>
        <w:rPr>
          <w:b/>
          <w:sz w:val="65"/>
        </w:rPr>
      </w:pPr>
    </w:p>
    <w:p>
      <w:pPr>
        <w:pStyle w:val="BodyText"/>
        <w:spacing w:line="424" w:lineRule="auto"/>
        <w:ind w:left="420" w:right="443" w:firstLine="629"/>
        <w:jc w:val="both"/>
        <w:rPr>
          <w:sz w:val="24"/>
        </w:rPr>
      </w:pPr>
      <w:r>
        <w:rPr>
          <w:spacing w:val="-8"/>
        </w:rPr>
        <w:t>承包人须于工地测试和试运行进行前一个多月，预先草拟一份包含临时图纸，电脑软件表和操作和维修保养程序的操作和维修保养手册草稿</w:t>
      </w:r>
      <w:r>
        <w:rPr>
          <w:spacing w:val="-15"/>
        </w:rPr>
        <w:t>，以便业主的工程人员能预先对有关装</w:t>
      </w:r>
      <w:r>
        <w:rPr>
          <w:spacing w:val="-2"/>
          <w:position w:val="6"/>
        </w:rPr>
        <w:t>置有所认识。</w:t>
      </w:r>
      <w:r>
        <w:rPr>
          <w:color w:val="F8F8F8"/>
          <w:sz w:val="24"/>
        </w:rPr>
        <w:t>挤貼綬电麥结鈺贖哓类。</w:t>
      </w:r>
    </w:p>
    <w:p>
      <w:pPr>
        <w:pStyle w:val="Heading7"/>
        <w:spacing w:before="0" w:line="354" w:lineRule="exact"/>
        <w:ind w:left="1054"/>
      </w:pPr>
      <w:r>
        <w:t>一、技术说明</w:t>
      </w:r>
    </w:p>
    <w:p>
      <w:pPr>
        <w:pStyle w:val="BodyText"/>
        <w:spacing w:before="10"/>
        <w:rPr>
          <w:b/>
          <w:sz w:val="23"/>
        </w:rPr>
      </w:pPr>
    </w:p>
    <w:p>
      <w:pPr>
        <w:pStyle w:val="BodyText"/>
        <w:spacing w:line="424" w:lineRule="auto"/>
        <w:ind w:left="420" w:right="468" w:firstLine="629"/>
      </w:pPr>
      <w:r>
        <w:rPr>
          <w:spacing w:val="-9"/>
        </w:rPr>
        <w:t>本节应包括所有设备和部件的技术资料和功能的说明，其格式应参照本招标文件，内容</w:t>
      </w:r>
      <w:r>
        <w:t>包括：</w:t>
      </w:r>
    </w:p>
    <w:p>
      <w:pPr>
        <w:pStyle w:val="BodyText"/>
        <w:spacing w:line="396" w:lineRule="exact"/>
        <w:ind w:left="1050"/>
      </w:pPr>
      <w:r>
        <w:t>1、管道和接线图。</w:t>
      </w:r>
    </w:p>
    <w:p>
      <w:pPr>
        <w:pStyle w:val="BodyText"/>
        <w:spacing w:before="10"/>
        <w:rPr>
          <w:sz w:val="23"/>
        </w:rPr>
      </w:pPr>
    </w:p>
    <w:p>
      <w:pPr>
        <w:pStyle w:val="BodyText"/>
        <w:spacing w:before="1" w:line="424" w:lineRule="auto"/>
        <w:ind w:left="420" w:right="428" w:firstLine="629"/>
      </w:pPr>
      <w:r>
        <w:t>2、所有专利设备需附有原厂所发的制造图纸，如有需要须同时提供部件剖析图以显示各部件的位置。</w:t>
      </w:r>
    </w:p>
    <w:p>
      <w:pPr>
        <w:pStyle w:val="BodyText"/>
        <w:spacing w:line="395" w:lineRule="exact"/>
        <w:ind w:left="1050"/>
      </w:pPr>
      <w:r>
        <w:t>3、设备表：列出生产制造厂商、型号、系列编号、经调试运行后所核定的设定参数。</w:t>
      </w:r>
    </w:p>
    <w:p>
      <w:pPr>
        <w:pStyle w:val="BodyText"/>
        <w:spacing w:before="10"/>
        <w:rPr>
          <w:sz w:val="23"/>
        </w:rPr>
      </w:pPr>
    </w:p>
    <w:p>
      <w:pPr>
        <w:pStyle w:val="BodyText"/>
        <w:spacing w:line="424" w:lineRule="auto"/>
        <w:ind w:left="1054" w:right="3278" w:hanging="4"/>
        <w:rPr>
          <w:b/>
        </w:rPr>
      </w:pPr>
      <w:r>
        <w:t>4、提供所有设备的产品说明书、签证书以及性能指标表等资料。</w:t>
      </w:r>
      <w:r>
        <w:rPr>
          <w:b/>
        </w:rPr>
        <w:t>二、维修保养</w:t>
      </w:r>
    </w:p>
    <w:p>
      <w:pPr>
        <w:pStyle w:val="BodyText"/>
        <w:spacing w:line="395" w:lineRule="exact"/>
        <w:ind w:left="1050"/>
      </w:pPr>
      <w:r>
        <w:t>应提供包括所用装置的动作和维修保养程序说明。</w:t>
      </w:r>
    </w:p>
    <w:p>
      <w:pPr>
        <w:pStyle w:val="BodyText"/>
        <w:spacing w:before="10"/>
        <w:rPr>
          <w:sz w:val="23"/>
        </w:rPr>
      </w:pPr>
    </w:p>
    <w:p>
      <w:pPr>
        <w:pStyle w:val="BodyText"/>
        <w:spacing w:before="1"/>
        <w:ind w:left="1050"/>
      </w:pPr>
      <w:r>
        <w:t>1、所有系统的检查手册。</w:t>
      </w:r>
    </w:p>
    <w:p>
      <w:pPr>
        <w:pStyle w:val="BodyText"/>
        <w:spacing w:before="10"/>
        <w:rPr>
          <w:sz w:val="23"/>
        </w:rPr>
      </w:pPr>
    </w:p>
    <w:p>
      <w:pPr>
        <w:pStyle w:val="BodyText"/>
        <w:ind w:left="1050"/>
      </w:pPr>
      <w:r>
        <w:t>2、所有系统的动作手册。</w:t>
      </w:r>
    </w:p>
    <w:p>
      <w:pPr>
        <w:pStyle w:val="BodyText"/>
        <w:spacing w:before="10"/>
        <w:rPr>
          <w:sz w:val="23"/>
        </w:rPr>
      </w:pPr>
    </w:p>
    <w:p>
      <w:pPr>
        <w:pStyle w:val="BodyText"/>
        <w:ind w:left="1050"/>
      </w:pPr>
      <w:r>
        <w:t>3、更换装置部件的程序、要求和更换率。</w:t>
      </w:r>
    </w:p>
    <w:p>
      <w:pPr>
        <w:pStyle w:val="BodyText"/>
        <w:spacing w:before="10"/>
        <w:rPr>
          <w:sz w:val="23"/>
        </w:rPr>
      </w:pPr>
    </w:p>
    <w:p>
      <w:pPr>
        <w:pStyle w:val="BodyText"/>
        <w:ind w:left="1050"/>
      </w:pPr>
      <w:r>
        <w:t>4、从整个系统以至电路板的维修保养批示和说明、调校程序和寻找故障的指示和说明。</w:t>
      </w:r>
    </w:p>
    <w:p>
      <w:pPr>
        <w:pStyle w:val="BodyText"/>
        <w:spacing w:before="10"/>
        <w:rPr>
          <w:sz w:val="23"/>
        </w:rPr>
      </w:pPr>
    </w:p>
    <w:p>
      <w:pPr>
        <w:pStyle w:val="BodyText"/>
        <w:ind w:left="1050"/>
      </w:pPr>
      <w:r>
        <w:t>5、进行系统操作和维修保养的程序和需特别注意的事项。</w:t>
      </w:r>
    </w:p>
    <w:p>
      <w:pPr>
        <w:pStyle w:val="BodyText"/>
        <w:spacing w:before="10"/>
        <w:rPr>
          <w:sz w:val="23"/>
        </w:rPr>
      </w:pPr>
    </w:p>
    <w:p>
      <w:pPr>
        <w:pStyle w:val="BodyText"/>
        <w:ind w:left="1050"/>
      </w:pPr>
      <w:r>
        <w:t>6、零备件贮存和目录编册系统。</w:t>
      </w:r>
    </w:p>
    <w:p>
      <w:pPr>
        <w:spacing w:after="0"/>
        <w:sectPr>
          <w:footerReference w:type="default" r:id="rId12"/>
          <w:pgSz w:w="17860" w:h="25260"/>
          <w:pgMar w:top="2420" w:right="2220" w:bottom="2040" w:left="2280" w:header="0" w:footer="1806"/>
          <w:pgNumType w:start="9"/>
          <w:cols w:space="708"/>
        </w:sectPr>
      </w:pPr>
    </w:p>
    <w:p>
      <w:pPr>
        <w:pStyle w:val="BodyText"/>
        <w:spacing w:before="44"/>
        <w:ind w:left="1050"/>
      </w:pPr>
      <w:r>
        <w:t>7、系统的故障寻找程序。</w:t>
      </w:r>
    </w:p>
    <w:p>
      <w:pPr>
        <w:pStyle w:val="BodyText"/>
        <w:spacing w:before="11"/>
        <w:rPr>
          <w:sz w:val="23"/>
        </w:rPr>
      </w:pPr>
    </w:p>
    <w:p>
      <w:pPr>
        <w:pStyle w:val="BodyText"/>
        <w:ind w:left="1050"/>
      </w:pPr>
      <w:r>
        <w:t>8、零备件表。</w:t>
      </w:r>
    </w:p>
    <w:p>
      <w:pPr>
        <w:pStyle w:val="BodyText"/>
        <w:spacing w:before="10"/>
        <w:rPr>
          <w:sz w:val="23"/>
        </w:rPr>
      </w:pPr>
    </w:p>
    <w:p>
      <w:pPr>
        <w:pStyle w:val="Heading7"/>
        <w:spacing w:before="0"/>
        <w:ind w:left="1054"/>
      </w:pPr>
      <w:r>
        <w:t>三、供应厂商指南</w:t>
      </w:r>
    </w:p>
    <w:p>
      <w:pPr>
        <w:pStyle w:val="BodyText"/>
        <w:spacing w:before="10"/>
        <w:rPr>
          <w:b/>
          <w:sz w:val="23"/>
        </w:rPr>
      </w:pPr>
    </w:p>
    <w:p>
      <w:pPr>
        <w:pStyle w:val="BodyText"/>
        <w:spacing w:line="424" w:lineRule="auto"/>
        <w:ind w:left="420" w:right="466" w:firstLine="629"/>
      </w:pPr>
      <w:r>
        <w:rPr>
          <w:spacing w:val="-12"/>
        </w:rPr>
        <w:t>本节应列出每一种设备、材料和附件的供应厂商和代理商的名单，包括通讯地址、电话</w:t>
      </w:r>
      <w:r>
        <w:t>及图文传真号码。</w:t>
      </w:r>
    </w:p>
    <w:p>
      <w:pPr>
        <w:pStyle w:val="Heading7"/>
        <w:spacing w:before="0" w:line="395" w:lineRule="exact"/>
        <w:ind w:left="1054"/>
      </w:pPr>
      <w:r>
        <w:t>四、零备件表</w:t>
      </w:r>
    </w:p>
    <w:p>
      <w:pPr>
        <w:pStyle w:val="BodyText"/>
        <w:spacing w:before="10"/>
        <w:rPr>
          <w:b/>
          <w:sz w:val="23"/>
        </w:rPr>
      </w:pPr>
    </w:p>
    <w:p>
      <w:pPr>
        <w:pStyle w:val="BodyText"/>
        <w:ind w:left="1050"/>
      </w:pPr>
      <w:r>
        <w:t>本节应列出提供予业主的所有零备件和维修保养所用工具的清单。</w:t>
      </w:r>
    </w:p>
    <w:p>
      <w:pPr>
        <w:pStyle w:val="BodyText"/>
        <w:spacing w:before="1"/>
        <w:rPr>
          <w:sz w:val="32"/>
        </w:rPr>
      </w:pPr>
    </w:p>
    <w:p>
      <w:pPr>
        <w:tabs>
          <w:tab w:val="left" w:pos="3647"/>
        </w:tabs>
        <w:spacing w:before="0"/>
        <w:ind w:left="0" w:right="25" w:firstLine="0"/>
        <w:jc w:val="center"/>
        <w:rPr>
          <w:b/>
          <w:sz w:val="66"/>
        </w:rPr>
      </w:pPr>
      <w:bookmarkStart w:id="10" w:name="_TOC_250001"/>
      <w:bookmarkEnd w:id="10"/>
      <w:r>
        <w:rPr>
          <w:b/>
          <w:sz w:val="66"/>
        </w:rPr>
        <w:t>第三章</w:t>
        <w:tab/>
        <w:t>专用要求</w:t>
      </w:r>
    </w:p>
    <w:p>
      <w:pPr>
        <w:pStyle w:val="BodyText"/>
        <w:spacing w:before="2"/>
        <w:rPr>
          <w:b/>
          <w:sz w:val="71"/>
        </w:rPr>
      </w:pPr>
    </w:p>
    <w:p>
      <w:pPr>
        <w:tabs>
          <w:tab w:val="left" w:pos="3103"/>
        </w:tabs>
        <w:spacing w:before="0"/>
        <w:ind w:left="622" w:right="0" w:firstLine="0"/>
        <w:jc w:val="center"/>
        <w:rPr>
          <w:b/>
          <w:sz w:val="45"/>
        </w:rPr>
      </w:pPr>
      <w:r>
        <w:rPr>
          <w:b/>
          <w:sz w:val="45"/>
        </w:rPr>
        <w:t>第一节</w:t>
        <w:tab/>
        <w:t>高压柜和直流屏安装要求</w:t>
      </w:r>
    </w:p>
    <w:p>
      <w:pPr>
        <w:pStyle w:val="BodyText"/>
        <w:rPr>
          <w:b/>
          <w:sz w:val="44"/>
        </w:rPr>
      </w:pPr>
    </w:p>
    <w:p>
      <w:pPr>
        <w:pStyle w:val="BodyText"/>
        <w:rPr>
          <w:b/>
          <w:sz w:val="44"/>
        </w:rPr>
      </w:pPr>
    </w:p>
    <w:p>
      <w:pPr>
        <w:pStyle w:val="BodyText"/>
        <w:spacing w:before="11"/>
        <w:rPr>
          <w:b/>
          <w:sz w:val="40"/>
        </w:rPr>
      </w:pPr>
    </w:p>
    <w:p>
      <w:pPr>
        <w:pStyle w:val="Heading7"/>
        <w:spacing w:before="0"/>
        <w:ind w:left="1054"/>
      </w:pPr>
      <w:r>
        <w:t>一、基本要求</w:t>
      </w:r>
    </w:p>
    <w:p>
      <w:pPr>
        <w:pStyle w:val="BodyText"/>
        <w:spacing w:before="10"/>
        <w:rPr>
          <w:b/>
          <w:sz w:val="23"/>
        </w:rPr>
      </w:pPr>
    </w:p>
    <w:p>
      <w:pPr>
        <w:pStyle w:val="BodyText"/>
        <w:spacing w:line="424" w:lineRule="auto"/>
        <w:ind w:left="420" w:right="374" w:firstLine="629"/>
      </w:pPr>
      <w:r>
        <w:t>1</w:t>
      </w:r>
      <w:r>
        <w:rPr>
          <w:spacing w:val="-22"/>
        </w:rPr>
        <w:t>、</w:t>
      </w:r>
      <w:r>
        <w:t>10kV</w:t>
      </w:r>
      <w:r>
        <w:rPr>
          <w:spacing w:val="-1"/>
        </w:rPr>
        <w:t xml:space="preserve"> 真空开关柜均安装在基础槽钢上。地下室开关柜电缆为下进下出，屋顶高压柜</w:t>
      </w:r>
      <w:r>
        <w:t>电缆为上进下出。</w:t>
      </w:r>
    </w:p>
    <w:p>
      <w:pPr>
        <w:pStyle w:val="BodyText"/>
        <w:spacing w:line="396" w:lineRule="exact"/>
        <w:ind w:left="1050"/>
      </w:pPr>
      <w:r>
        <w:t>2、允许偏差应符合表 3.1 的规定</w:t>
      </w:r>
    </w:p>
    <w:p>
      <w:pPr>
        <w:pStyle w:val="BodyText"/>
        <w:spacing w:before="10"/>
        <w:rPr>
          <w:sz w:val="23"/>
        </w:rPr>
      </w:pPr>
    </w:p>
    <w:p>
      <w:pPr>
        <w:pStyle w:val="BodyText"/>
        <w:tabs>
          <w:tab w:val="left" w:pos="12018"/>
        </w:tabs>
        <w:ind w:left="5717"/>
      </w:pPr>
      <w:r>
        <w:pict>
          <v:group id="_x0000_s1025" style="width:634pt;height:192pt;margin-top:25.2pt;margin-left:133pt;mso-position-horizontal-relative:page;mso-wrap-distance-left:0;mso-wrap-distance-right:0;position:absolute;z-index:-251658240" coordorigin="2660,504" coordsize="12680,3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680;height:3840;left:2660;position:absolute;top:504" stroked="f">
              <v:imagedata r:id="rId13" o:title=""/>
            </v:shape>
            <v:shapetype id="_x0000_t202" coordsize="21600,21600" o:spt="202" path="m,l,21600r21600,l21600,xe">
              <v:stroke joinstyle="miter"/>
              <v:path gradientshapeok="t" o:connecttype="rect"/>
            </v:shapetype>
            <v:shape id="_x0000_s1027" type="#_x0000_t202" style="width:2231;height:317;left:9729;position:absolute;top:718" filled="f" stroked="f">
              <v:textbox inset="0,0,0,0">
                <w:txbxContent>
                  <w:p>
                    <w:pPr>
                      <w:tabs>
                        <w:tab w:val="left" w:pos="633"/>
                        <w:tab w:val="left" w:pos="1263"/>
                        <w:tab w:val="left" w:pos="1893"/>
                      </w:tabs>
                      <w:spacing w:before="0" w:line="317" w:lineRule="exact"/>
                      <w:ind w:left="0" w:right="0" w:firstLine="0"/>
                      <w:jc w:val="left"/>
                      <w:rPr>
                        <w:sz w:val="31"/>
                      </w:rPr>
                    </w:pPr>
                    <w:r>
                      <w:rPr>
                        <w:sz w:val="31"/>
                      </w:rPr>
                      <w:t>允</w:t>
                      <w:tab/>
                      <w:t>许</w:t>
                      <w:tab/>
                      <w:t>偏</w:t>
                      <w:tab/>
                      <w:t>差</w:t>
                    </w:r>
                  </w:p>
                </w:txbxContent>
              </v:textbox>
            </v:shape>
            <v:shape id="_x0000_s1028" type="#_x0000_t202" style="width:337;height:317;left:3899;position:absolute;top:1049" filled="f" stroked="f">
              <v:textbox inset="0,0,0,0">
                <w:txbxContent>
                  <w:p>
                    <w:pPr>
                      <w:spacing w:before="0" w:line="317" w:lineRule="exact"/>
                      <w:ind w:left="0" w:right="0" w:firstLine="0"/>
                      <w:jc w:val="left"/>
                      <w:rPr>
                        <w:sz w:val="31"/>
                      </w:rPr>
                    </w:pPr>
                    <w:r>
                      <w:rPr>
                        <w:w w:val="102"/>
                        <w:sz w:val="31"/>
                      </w:rPr>
                      <w:t>项</w:t>
                    </w:r>
                  </w:p>
                </w:txbxContent>
              </v:textbox>
            </v:shape>
            <v:shape id="_x0000_s1029" type="#_x0000_t202" style="width:337;height:317;left:4846;position:absolute;top:1049" filled="f" stroked="f">
              <v:textbox inset="0,0,0,0">
                <w:txbxContent>
                  <w:p>
                    <w:pPr>
                      <w:spacing w:before="0" w:line="317" w:lineRule="exact"/>
                      <w:ind w:left="0" w:right="0" w:firstLine="0"/>
                      <w:jc w:val="left"/>
                      <w:rPr>
                        <w:sz w:val="31"/>
                      </w:rPr>
                    </w:pPr>
                    <w:r>
                      <w:rPr>
                        <w:w w:val="102"/>
                        <w:sz w:val="31"/>
                      </w:rPr>
                      <w:t>目</w:t>
                    </w:r>
                  </w:p>
                </w:txbxContent>
              </v:textbox>
            </v:shape>
            <v:shape id="_x0000_s1030" type="#_x0000_t202" style="width:654;height:317;left:8328;position:absolute;top:1373" filled="f" stroked="f">
              <v:textbox inset="0,0,0,0">
                <w:txbxContent>
                  <w:p>
                    <w:pPr>
                      <w:spacing w:before="0" w:line="317" w:lineRule="exact"/>
                      <w:ind w:left="0" w:right="0" w:firstLine="0"/>
                      <w:jc w:val="left"/>
                      <w:rPr>
                        <w:sz w:val="31"/>
                      </w:rPr>
                    </w:pPr>
                    <w:r>
                      <w:rPr>
                        <w:sz w:val="31"/>
                      </w:rPr>
                      <w:t>mm/m</w:t>
                    </w:r>
                  </w:p>
                </w:txbxContent>
              </v:textbox>
            </v:shape>
            <v:shape id="_x0000_s1031" type="#_x0000_t202" style="width:1129;height:317;left:12558;position:absolute;top:1373" filled="f" stroked="f">
              <v:textbox inset="0,0,0,0">
                <w:txbxContent>
                  <w:p>
                    <w:pPr>
                      <w:spacing w:before="0" w:line="317" w:lineRule="exact"/>
                      <w:ind w:left="0" w:right="0" w:firstLine="0"/>
                      <w:jc w:val="left"/>
                      <w:rPr>
                        <w:sz w:val="31"/>
                      </w:rPr>
                    </w:pPr>
                    <w:r>
                      <w:rPr>
                        <w:sz w:val="31"/>
                      </w:rPr>
                      <w:t>mm/全长</w:t>
                    </w:r>
                  </w:p>
                </w:txbxContent>
              </v:textbox>
            </v:shape>
            <v:shape id="_x0000_s1032" type="#_x0000_t202" style="width:971;height:317;left:4057;position:absolute;top:2114" filled="f" stroked="f">
              <v:textbox inset="0,0,0,0">
                <w:txbxContent>
                  <w:p>
                    <w:pPr>
                      <w:spacing w:before="0" w:line="317" w:lineRule="exact"/>
                      <w:ind w:left="0" w:right="0" w:firstLine="0"/>
                      <w:jc w:val="left"/>
                      <w:rPr>
                        <w:sz w:val="31"/>
                      </w:rPr>
                    </w:pPr>
                    <w:r>
                      <w:rPr>
                        <w:sz w:val="31"/>
                      </w:rPr>
                      <w:t>不直度</w:t>
                    </w:r>
                  </w:p>
                </w:txbxContent>
              </v:textbox>
            </v:shape>
            <v:shape id="_x0000_s1033" type="#_x0000_t202" style="width:496;height:317;left:8407;position:absolute;top:2114" filled="f" stroked="f">
              <v:textbox inset="0,0,0,0">
                <w:txbxContent>
                  <w:p>
                    <w:pPr>
                      <w:spacing w:before="0" w:line="317" w:lineRule="exact"/>
                      <w:ind w:left="0" w:right="0" w:firstLine="0"/>
                      <w:jc w:val="left"/>
                      <w:rPr>
                        <w:sz w:val="31"/>
                      </w:rPr>
                    </w:pPr>
                    <w:r>
                      <w:rPr>
                        <w:sz w:val="31"/>
                      </w:rPr>
                      <w:t>&lt; 1</w:t>
                    </w:r>
                  </w:p>
                </w:txbxContent>
              </v:textbox>
            </v:shape>
            <v:shape id="_x0000_s1034" type="#_x0000_t202" style="width:496;height:317;left:12875;position:absolute;top:2114" filled="f" stroked="f">
              <v:textbox inset="0,0,0,0">
                <w:txbxContent>
                  <w:p>
                    <w:pPr>
                      <w:spacing w:before="0" w:line="317" w:lineRule="exact"/>
                      <w:ind w:left="0" w:right="0" w:firstLine="0"/>
                      <w:jc w:val="left"/>
                      <w:rPr>
                        <w:sz w:val="31"/>
                      </w:rPr>
                    </w:pPr>
                    <w:r>
                      <w:rPr>
                        <w:sz w:val="31"/>
                      </w:rPr>
                      <w:t>&lt; 5</w:t>
                    </w:r>
                  </w:p>
                </w:txbxContent>
              </v:textbox>
            </v:shape>
            <v:shape id="_x0000_s1035" type="#_x0000_t202" style="width:971;height:317;left:4057;position:absolute;top:2953" filled="f" stroked="f">
              <v:textbox inset="0,0,0,0">
                <w:txbxContent>
                  <w:p>
                    <w:pPr>
                      <w:spacing w:before="0" w:line="317" w:lineRule="exact"/>
                      <w:ind w:left="0" w:right="0" w:firstLine="0"/>
                      <w:jc w:val="left"/>
                      <w:rPr>
                        <w:sz w:val="31"/>
                      </w:rPr>
                    </w:pPr>
                    <w:r>
                      <w:rPr>
                        <w:sz w:val="31"/>
                      </w:rPr>
                      <w:t>不平度</w:t>
                    </w:r>
                  </w:p>
                </w:txbxContent>
              </v:textbox>
            </v:shape>
            <v:shape id="_x0000_s1036" type="#_x0000_t202" style="width:496;height:317;left:8407;position:absolute;top:2953" filled="f" stroked="f">
              <v:textbox inset="0,0,0,0">
                <w:txbxContent>
                  <w:p>
                    <w:pPr>
                      <w:spacing w:before="0" w:line="317" w:lineRule="exact"/>
                      <w:ind w:left="0" w:right="0" w:firstLine="0"/>
                      <w:jc w:val="left"/>
                      <w:rPr>
                        <w:sz w:val="31"/>
                      </w:rPr>
                    </w:pPr>
                    <w:r>
                      <w:rPr>
                        <w:sz w:val="31"/>
                      </w:rPr>
                      <w:t>&lt; 1</w:t>
                    </w:r>
                  </w:p>
                </w:txbxContent>
              </v:textbox>
            </v:shape>
            <v:shape id="_x0000_s1037" type="#_x0000_t202" style="width:496;height:317;left:12875;position:absolute;top:2953" filled="f" stroked="f">
              <v:textbox inset="0,0,0,0">
                <w:txbxContent>
                  <w:p>
                    <w:pPr>
                      <w:spacing w:before="0" w:line="317" w:lineRule="exact"/>
                      <w:ind w:left="0" w:right="0" w:firstLine="0"/>
                      <w:jc w:val="left"/>
                      <w:rPr>
                        <w:sz w:val="31"/>
                      </w:rPr>
                    </w:pPr>
                    <w:r>
                      <w:rPr>
                        <w:sz w:val="31"/>
                      </w:rPr>
                      <w:t>&lt; 5</w:t>
                    </w:r>
                  </w:p>
                </w:txbxContent>
              </v:textbox>
            </v:shape>
            <v:shape id="_x0000_s1038" type="#_x0000_t202" style="width:2555;height:317;left:3269;position:absolute;top:3788" filled="f" stroked="f">
              <v:textbox inset="0,0,0,0">
                <w:txbxContent>
                  <w:p>
                    <w:pPr>
                      <w:spacing w:before="0" w:line="317" w:lineRule="exact"/>
                      <w:ind w:left="0" w:right="0" w:firstLine="0"/>
                      <w:jc w:val="left"/>
                      <w:rPr>
                        <w:sz w:val="31"/>
                      </w:rPr>
                    </w:pPr>
                    <w:r>
                      <w:rPr>
                        <w:sz w:val="31"/>
                      </w:rPr>
                      <w:t>位置误差及平行度</w:t>
                    </w:r>
                  </w:p>
                </w:txbxContent>
              </v:textbox>
            </v:shape>
            <v:shape id="_x0000_s1039" type="#_x0000_t202" style="width:654;height:317;left:8328;position:absolute;top:3788" filled="f" stroked="f">
              <v:textbox inset="0,0,0,0">
                <w:txbxContent>
                  <w:p>
                    <w:pPr>
                      <w:spacing w:before="0" w:line="317" w:lineRule="exact"/>
                      <w:ind w:left="0" w:right="0" w:firstLine="0"/>
                      <w:jc w:val="left"/>
                      <w:rPr>
                        <w:sz w:val="31"/>
                      </w:rPr>
                    </w:pPr>
                    <w:r>
                      <w:rPr>
                        <w:sz w:val="31"/>
                      </w:rPr>
                      <w:t>——</w:t>
                    </w:r>
                  </w:p>
                </w:txbxContent>
              </v:textbox>
            </v:shape>
            <v:shape id="_x0000_s1040" type="#_x0000_t202" style="width:496;height:317;left:12875;position:absolute;top:3788" filled="f" stroked="f">
              <v:textbox inset="0,0,0,0">
                <w:txbxContent>
                  <w:p>
                    <w:pPr>
                      <w:spacing w:before="0" w:line="317" w:lineRule="exact"/>
                      <w:ind w:left="0" w:right="0" w:firstLine="0"/>
                      <w:jc w:val="left"/>
                      <w:rPr>
                        <w:sz w:val="31"/>
                      </w:rPr>
                    </w:pPr>
                    <w:r>
                      <w:rPr>
                        <w:sz w:val="31"/>
                      </w:rPr>
                      <w:t>&lt; 5</w:t>
                    </w:r>
                  </w:p>
                </w:txbxContent>
              </v:textbox>
            </v:shape>
            <w10:wrap type="topAndBottom"/>
          </v:group>
        </w:pict>
      </w:r>
      <w:r>
        <w:t>基础型钢安装的允许偏差</w:t>
        <w:tab/>
        <w:t>表</w:t>
      </w:r>
      <w:r>
        <w:rPr>
          <w:spacing w:val="-74"/>
        </w:rPr>
        <w:t xml:space="preserve"> </w:t>
      </w:r>
      <w:r>
        <w:t>3.1</w:t>
      </w:r>
    </w:p>
    <w:p>
      <w:pPr>
        <w:pStyle w:val="BodyText"/>
        <w:spacing w:before="70" w:line="338" w:lineRule="auto"/>
        <w:ind w:left="420" w:right="397" w:firstLine="788"/>
        <w:rPr>
          <w:sz w:val="24"/>
        </w:rPr>
      </w:pPr>
      <w:r>
        <w:t>3</w:t>
      </w:r>
      <w:r>
        <w:rPr>
          <w:spacing w:val="-11"/>
        </w:rPr>
        <w:t>、高压开关柜、直流电源柜、信号屏安装的垂直度、水平偏差以及柜面偏差和柜间接</w:t>
      </w:r>
      <w:r>
        <w:rPr>
          <w:spacing w:val="-9"/>
        </w:rPr>
        <w:t xml:space="preserve">缝的允许偏差应符合表 </w:t>
      </w:r>
      <w:r>
        <w:t>5.9</w:t>
      </w:r>
      <w:r>
        <w:rPr>
          <w:spacing w:val="-19"/>
        </w:rPr>
        <w:t xml:space="preserve"> 的规定。</w:t>
      </w:r>
      <w:r>
        <w:rPr>
          <w:color w:val="F8F8F8"/>
          <w:position w:val="-6"/>
          <w:sz w:val="24"/>
        </w:rPr>
        <w:t>赔荊紳谘侖驟辽輩袜錈。</w:t>
      </w:r>
    </w:p>
    <w:p>
      <w:pPr>
        <w:pStyle w:val="BodyText"/>
        <w:tabs>
          <w:tab w:val="left" w:pos="12018"/>
        </w:tabs>
        <w:spacing w:line="350" w:lineRule="exact"/>
        <w:ind w:left="4453"/>
      </w:pPr>
      <w:r>
        <w:pict>
          <v:group id="_x0000_s1041" style="width:632pt;height:120pt;margin-top:19.52pt;margin-left:135pt;mso-position-horizontal-relative:page;mso-wrap-distance-left:0;mso-wrap-distance-right:0;position:absolute;z-index:-251657216" coordorigin="2700,390" coordsize="12640,2400">
            <v:shape id="_x0000_s1042" type="#_x0000_t75" style="width:12640;height:2400;left:2700;position:absolute;top:390" stroked="f">
              <v:imagedata r:id="rId14" o:title=""/>
            </v:shape>
            <v:shape id="_x0000_s1043" type="#_x0000_t202" style="width:337;height:317;left:6006;position:absolute;top:724" filled="f" stroked="f">
              <v:textbox inset="0,0,0,0">
                <w:txbxContent>
                  <w:p>
                    <w:pPr>
                      <w:spacing w:before="0" w:line="317" w:lineRule="exact"/>
                      <w:ind w:left="0" w:right="0" w:firstLine="0"/>
                      <w:jc w:val="left"/>
                      <w:rPr>
                        <w:sz w:val="31"/>
                      </w:rPr>
                    </w:pPr>
                    <w:r>
                      <w:rPr>
                        <w:w w:val="102"/>
                        <w:sz w:val="31"/>
                      </w:rPr>
                      <w:t>项</w:t>
                    </w:r>
                  </w:p>
                </w:txbxContent>
              </v:textbox>
            </v:shape>
            <v:shape id="_x0000_s1044" type="#_x0000_t202" style="width:337;height:317;left:6953;position:absolute;top:724" filled="f" stroked="f">
              <v:textbox inset="0,0,0,0">
                <w:txbxContent>
                  <w:p>
                    <w:pPr>
                      <w:spacing w:before="0" w:line="317" w:lineRule="exact"/>
                      <w:ind w:left="0" w:right="0" w:firstLine="0"/>
                      <w:jc w:val="left"/>
                      <w:rPr>
                        <w:sz w:val="31"/>
                      </w:rPr>
                    </w:pPr>
                    <w:r>
                      <w:rPr>
                        <w:w w:val="102"/>
                        <w:sz w:val="31"/>
                      </w:rPr>
                      <w:t>目</w:t>
                    </w:r>
                  </w:p>
                </w:txbxContent>
              </v:textbox>
            </v:shape>
            <v:shape id="_x0000_s1045" type="#_x0000_t202" style="width:3175;height:317;left:11360;position:absolute;top:724" filled="f" stroked="f">
              <v:textbox inset="0,0,0,0">
                <w:txbxContent>
                  <w:p>
                    <w:pPr>
                      <w:tabs>
                        <w:tab w:val="left" w:pos="633"/>
                        <w:tab w:val="left" w:pos="1263"/>
                        <w:tab w:val="left" w:pos="1894"/>
                      </w:tabs>
                      <w:spacing w:before="0" w:line="317" w:lineRule="exact"/>
                      <w:ind w:left="0" w:right="0" w:firstLine="0"/>
                      <w:jc w:val="left"/>
                      <w:rPr>
                        <w:sz w:val="31"/>
                      </w:rPr>
                    </w:pPr>
                    <w:r>
                      <w:rPr>
                        <w:sz w:val="31"/>
                      </w:rPr>
                      <w:t>允</w:t>
                      <w:tab/>
                      <w:t>许</w:t>
                      <w:tab/>
                      <w:t>偏</w:t>
                      <w:tab/>
                      <w:t>差（mm）</w:t>
                    </w:r>
                  </w:p>
                </w:txbxContent>
              </v:textbox>
            </v:shape>
            <v:shape id="_x0000_s1046" type="#_x0000_t202" style="width:2238;height:317;left:5533;position:absolute;top:1502" filled="f" stroked="f">
              <v:textbox inset="0,0,0,0">
                <w:txbxContent>
                  <w:p>
                    <w:pPr>
                      <w:spacing w:before="0" w:line="317" w:lineRule="exact"/>
                      <w:ind w:left="0" w:right="0" w:firstLine="0"/>
                      <w:jc w:val="left"/>
                      <w:rPr>
                        <w:sz w:val="31"/>
                      </w:rPr>
                    </w:pPr>
                    <w:r>
                      <w:rPr>
                        <w:sz w:val="31"/>
                      </w:rPr>
                      <w:t>垂直度（每米）</w:t>
                    </w:r>
                  </w:p>
                </w:txbxContent>
              </v:textbox>
            </v:shape>
            <v:shape id="_x0000_s1047" type="#_x0000_t202" style="width:812;height:317;left:12540;position:absolute;top:1502" filled="f" stroked="f">
              <v:textbox inset="0,0,0,0">
                <w:txbxContent>
                  <w:p>
                    <w:pPr>
                      <w:spacing w:before="0" w:line="317" w:lineRule="exact"/>
                      <w:ind w:left="0" w:right="0" w:firstLine="0"/>
                      <w:jc w:val="left"/>
                      <w:rPr>
                        <w:sz w:val="31"/>
                      </w:rPr>
                    </w:pPr>
                    <w:r>
                      <w:rPr>
                        <w:sz w:val="31"/>
                      </w:rPr>
                      <w:t>&lt; 1.5</w:t>
                    </w:r>
                  </w:p>
                </w:txbxContent>
              </v:textbox>
            </v:shape>
            <v:shape id="_x0000_s1048" type="#_x0000_t202" style="width:1288;height:317;left:3809;position:absolute;top:2240" filled="f" stroked="f">
              <v:textbox inset="0,0,0,0">
                <w:txbxContent>
                  <w:p>
                    <w:pPr>
                      <w:spacing w:before="0" w:line="317" w:lineRule="exact"/>
                      <w:ind w:left="0" w:right="0" w:firstLine="0"/>
                      <w:jc w:val="left"/>
                      <w:rPr>
                        <w:sz w:val="31"/>
                      </w:rPr>
                    </w:pPr>
                    <w:r>
                      <w:rPr>
                        <w:sz w:val="31"/>
                      </w:rPr>
                      <w:t>水平偏差</w:t>
                    </w:r>
                  </w:p>
                </w:txbxContent>
              </v:textbox>
            </v:shape>
            <v:shape id="_x0000_s1049" type="#_x0000_t202" style="width:1921;height:317;left:7435;position:absolute;top:2240" filled="f" stroked="f">
              <v:textbox inset="0,0,0,0">
                <w:txbxContent>
                  <w:p>
                    <w:pPr>
                      <w:spacing w:before="0" w:line="317" w:lineRule="exact"/>
                      <w:ind w:left="0" w:right="0" w:firstLine="0"/>
                      <w:jc w:val="left"/>
                      <w:rPr>
                        <w:sz w:val="31"/>
                      </w:rPr>
                    </w:pPr>
                    <w:r>
                      <w:rPr>
                        <w:sz w:val="31"/>
                      </w:rPr>
                      <w:t>相邻两柜顶部</w:t>
                    </w:r>
                  </w:p>
                </w:txbxContent>
              </v:textbox>
            </v:shape>
            <v:shape id="_x0000_s1050" type="#_x0000_t202" style="width:496;height:317;left:12699;position:absolute;top:2240" filled="f" stroked="f">
              <v:textbox inset="0,0,0,0">
                <w:txbxContent>
                  <w:p>
                    <w:pPr>
                      <w:spacing w:before="0" w:line="317" w:lineRule="exact"/>
                      <w:ind w:left="0" w:right="0" w:firstLine="0"/>
                      <w:jc w:val="left"/>
                      <w:rPr>
                        <w:sz w:val="31"/>
                      </w:rPr>
                    </w:pPr>
                    <w:r>
                      <w:rPr>
                        <w:sz w:val="31"/>
                      </w:rPr>
                      <w:t>&lt; 2</w:t>
                    </w:r>
                  </w:p>
                </w:txbxContent>
              </v:textbox>
            </v:shape>
            <w10:wrap type="topAndBottom"/>
          </v:group>
        </w:pict>
      </w:r>
      <w:r>
        <w:t>高压开关柜、直流电源柜安装的允许偏差</w:t>
        <w:tab/>
        <w:t>表</w:t>
      </w:r>
      <w:r>
        <w:rPr>
          <w:spacing w:val="-78"/>
        </w:rPr>
        <w:t xml:space="preserve"> </w:t>
      </w:r>
      <w:r>
        <w:t>5.9</w:t>
      </w:r>
    </w:p>
    <w:p>
      <w:pPr>
        <w:spacing w:after="0" w:line="350" w:lineRule="exact"/>
        <w:sectPr>
          <w:footerReference w:type="default" r:id="rId15"/>
          <w:pgSz w:w="17860" w:h="25260"/>
          <w:pgMar w:top="1980" w:right="2220" w:bottom="2040" w:left="2280" w:header="0" w:footer="1806"/>
          <w:pgNumType w:start="10"/>
          <w:cols w:space="708"/>
        </w:sectPr>
      </w:pPr>
    </w:p>
    <w:p>
      <w:pPr>
        <w:pStyle w:val="BodyText"/>
        <w:spacing w:before="7"/>
        <w:rPr>
          <w:sz w:val="24"/>
        </w:rPr>
      </w:pPr>
    </w:p>
    <w:tbl>
      <w:tblPr>
        <w:tblStyle w:val="TableNormal0"/>
        <w:tblW w:w="0" w:type="auto"/>
        <w:jc w:val="left"/>
        <w:tblInd w:w="1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6"/>
        <w:gridCol w:w="704"/>
        <w:gridCol w:w="632"/>
        <w:gridCol w:w="630"/>
        <w:gridCol w:w="3665"/>
        <w:gridCol w:w="2000"/>
        <w:gridCol w:w="288"/>
      </w:tblGrid>
      <w:tr>
        <w:tblPrEx>
          <w:tblW w:w="0" w:type="auto"/>
          <w:jc w:val="left"/>
          <w:tblInd w:w="1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90"/>
          <w:jc w:val="left"/>
        </w:trPr>
        <w:tc>
          <w:tcPr>
            <w:tcW w:w="3512" w:type="dxa"/>
            <w:gridSpan w:val="4"/>
          </w:tcPr>
          <w:p>
            <w:pPr>
              <w:pStyle w:val="TableParagraph"/>
              <w:rPr>
                <w:rFonts w:ascii="Times New Roman"/>
                <w:sz w:val="30"/>
              </w:rPr>
            </w:pPr>
          </w:p>
        </w:tc>
        <w:tc>
          <w:tcPr>
            <w:tcW w:w="3665" w:type="dxa"/>
          </w:tcPr>
          <w:p>
            <w:pPr>
              <w:pStyle w:val="TableParagraph"/>
              <w:spacing w:line="359" w:lineRule="exact"/>
              <w:ind w:right="1761"/>
              <w:jc w:val="right"/>
              <w:rPr>
                <w:sz w:val="31"/>
              </w:rPr>
            </w:pPr>
            <w:r>
              <w:rPr>
                <w:sz w:val="31"/>
              </w:rPr>
              <w:t>成列柜顶部</w:t>
            </w:r>
          </w:p>
        </w:tc>
        <w:tc>
          <w:tcPr>
            <w:tcW w:w="2000" w:type="dxa"/>
          </w:tcPr>
          <w:p>
            <w:pPr>
              <w:pStyle w:val="TableParagraph"/>
              <w:spacing w:line="359" w:lineRule="exact"/>
              <w:ind w:right="76"/>
              <w:jc w:val="right"/>
              <w:rPr>
                <w:sz w:val="31"/>
              </w:rPr>
            </w:pPr>
            <w:r>
              <w:rPr>
                <w:w w:val="102"/>
                <w:sz w:val="31"/>
              </w:rPr>
              <w:t>&lt;</w:t>
            </w:r>
          </w:p>
        </w:tc>
        <w:tc>
          <w:tcPr>
            <w:tcW w:w="288" w:type="dxa"/>
          </w:tcPr>
          <w:p>
            <w:pPr>
              <w:pStyle w:val="TableParagraph"/>
              <w:spacing w:line="359" w:lineRule="exact"/>
              <w:ind w:right="47"/>
              <w:jc w:val="right"/>
              <w:rPr>
                <w:sz w:val="31"/>
              </w:rPr>
            </w:pPr>
            <w:r>
              <w:rPr>
                <w:w w:val="102"/>
                <w:sz w:val="31"/>
              </w:rPr>
              <w:t>5</w:t>
            </w:r>
          </w:p>
        </w:tc>
      </w:tr>
      <w:tr>
        <w:tblPrEx>
          <w:tblW w:w="0" w:type="auto"/>
          <w:jc w:val="left"/>
          <w:tblInd w:w="1486" w:type="dxa"/>
          <w:tblLayout w:type="fixed"/>
          <w:tblCellMar>
            <w:top w:w="0" w:type="dxa"/>
            <w:left w:w="0" w:type="dxa"/>
            <w:bottom w:w="0" w:type="dxa"/>
            <w:right w:w="0" w:type="dxa"/>
          </w:tblCellMar>
          <w:tblLook w:val="01E0"/>
        </w:tblPrEx>
        <w:trPr>
          <w:trHeight w:val="1090"/>
          <w:jc w:val="left"/>
        </w:trPr>
        <w:tc>
          <w:tcPr>
            <w:tcW w:w="1546" w:type="dxa"/>
          </w:tcPr>
          <w:p>
            <w:pPr>
              <w:pStyle w:val="TableParagraph"/>
              <w:rPr>
                <w:sz w:val="32"/>
              </w:rPr>
            </w:pPr>
          </w:p>
          <w:p>
            <w:pPr>
              <w:pStyle w:val="TableParagraph"/>
              <w:spacing w:before="258"/>
              <w:ind w:left="50"/>
              <w:rPr>
                <w:sz w:val="31"/>
              </w:rPr>
            </w:pPr>
            <w:r>
              <w:rPr>
                <w:sz w:val="31"/>
              </w:rPr>
              <w:t>柜面偏差</w:t>
            </w:r>
          </w:p>
        </w:tc>
        <w:tc>
          <w:tcPr>
            <w:tcW w:w="704" w:type="dxa"/>
          </w:tcPr>
          <w:p>
            <w:pPr>
              <w:pStyle w:val="TableParagraph"/>
              <w:rPr>
                <w:rFonts w:ascii="Times New Roman"/>
                <w:sz w:val="30"/>
              </w:rPr>
            </w:pPr>
          </w:p>
        </w:tc>
        <w:tc>
          <w:tcPr>
            <w:tcW w:w="632" w:type="dxa"/>
          </w:tcPr>
          <w:p>
            <w:pPr>
              <w:pStyle w:val="TableParagraph"/>
              <w:rPr>
                <w:rFonts w:ascii="Times New Roman"/>
                <w:sz w:val="30"/>
              </w:rPr>
            </w:pPr>
          </w:p>
        </w:tc>
        <w:tc>
          <w:tcPr>
            <w:tcW w:w="630" w:type="dxa"/>
          </w:tcPr>
          <w:p>
            <w:pPr>
              <w:pStyle w:val="TableParagraph"/>
              <w:rPr>
                <w:rFonts w:ascii="Times New Roman"/>
                <w:sz w:val="30"/>
              </w:rPr>
            </w:pPr>
          </w:p>
        </w:tc>
        <w:tc>
          <w:tcPr>
            <w:tcW w:w="3665" w:type="dxa"/>
          </w:tcPr>
          <w:p>
            <w:pPr>
              <w:pStyle w:val="TableParagraph"/>
              <w:spacing w:before="236"/>
              <w:ind w:right="1761"/>
              <w:jc w:val="right"/>
              <w:rPr>
                <w:sz w:val="31"/>
              </w:rPr>
            </w:pPr>
            <w:r>
              <w:rPr>
                <w:sz w:val="31"/>
              </w:rPr>
              <w:t>相邻两柜边</w:t>
            </w:r>
          </w:p>
        </w:tc>
        <w:tc>
          <w:tcPr>
            <w:tcW w:w="2000" w:type="dxa"/>
          </w:tcPr>
          <w:p>
            <w:pPr>
              <w:pStyle w:val="TableParagraph"/>
              <w:spacing w:before="236"/>
              <w:ind w:right="76"/>
              <w:jc w:val="right"/>
              <w:rPr>
                <w:sz w:val="31"/>
              </w:rPr>
            </w:pPr>
            <w:r>
              <w:rPr>
                <w:w w:val="102"/>
                <w:sz w:val="31"/>
              </w:rPr>
              <w:t>&lt;</w:t>
            </w:r>
          </w:p>
        </w:tc>
        <w:tc>
          <w:tcPr>
            <w:tcW w:w="288" w:type="dxa"/>
          </w:tcPr>
          <w:p>
            <w:pPr>
              <w:pStyle w:val="TableParagraph"/>
              <w:spacing w:before="236"/>
              <w:ind w:right="47"/>
              <w:jc w:val="right"/>
              <w:rPr>
                <w:sz w:val="31"/>
              </w:rPr>
            </w:pPr>
            <w:r>
              <w:rPr>
                <w:w w:val="102"/>
                <w:sz w:val="31"/>
              </w:rPr>
              <w:t>1</w:t>
            </w:r>
          </w:p>
        </w:tc>
      </w:tr>
      <w:tr>
        <w:tblPrEx>
          <w:tblW w:w="0" w:type="auto"/>
          <w:jc w:val="left"/>
          <w:tblInd w:w="1486" w:type="dxa"/>
          <w:tblLayout w:type="fixed"/>
          <w:tblCellMar>
            <w:top w:w="0" w:type="dxa"/>
            <w:left w:w="0" w:type="dxa"/>
            <w:bottom w:w="0" w:type="dxa"/>
            <w:right w:w="0" w:type="dxa"/>
          </w:tblCellMar>
          <w:tblLook w:val="01E0"/>
        </w:tblPrEx>
        <w:trPr>
          <w:trHeight w:val="649"/>
          <w:jc w:val="left"/>
        </w:trPr>
        <w:tc>
          <w:tcPr>
            <w:tcW w:w="1546" w:type="dxa"/>
          </w:tcPr>
          <w:p>
            <w:pPr>
              <w:pStyle w:val="TableParagraph"/>
              <w:rPr>
                <w:rFonts w:ascii="Times New Roman"/>
                <w:sz w:val="30"/>
              </w:rPr>
            </w:pPr>
          </w:p>
        </w:tc>
        <w:tc>
          <w:tcPr>
            <w:tcW w:w="704" w:type="dxa"/>
          </w:tcPr>
          <w:p>
            <w:pPr>
              <w:pStyle w:val="TableParagraph"/>
              <w:rPr>
                <w:rFonts w:ascii="Times New Roman"/>
                <w:sz w:val="30"/>
              </w:rPr>
            </w:pPr>
          </w:p>
        </w:tc>
        <w:tc>
          <w:tcPr>
            <w:tcW w:w="632" w:type="dxa"/>
          </w:tcPr>
          <w:p>
            <w:pPr>
              <w:pStyle w:val="TableParagraph"/>
              <w:rPr>
                <w:rFonts w:ascii="Times New Roman"/>
                <w:sz w:val="30"/>
              </w:rPr>
            </w:pPr>
          </w:p>
        </w:tc>
        <w:tc>
          <w:tcPr>
            <w:tcW w:w="630" w:type="dxa"/>
          </w:tcPr>
          <w:p>
            <w:pPr>
              <w:pStyle w:val="TableParagraph"/>
              <w:rPr>
                <w:rFonts w:ascii="Times New Roman"/>
                <w:sz w:val="30"/>
              </w:rPr>
            </w:pPr>
          </w:p>
        </w:tc>
        <w:tc>
          <w:tcPr>
            <w:tcW w:w="3665" w:type="dxa"/>
          </w:tcPr>
          <w:p>
            <w:pPr>
              <w:pStyle w:val="TableParagraph"/>
              <w:spacing w:before="30"/>
              <w:ind w:left="477"/>
              <w:rPr>
                <w:sz w:val="31"/>
              </w:rPr>
            </w:pPr>
            <w:r>
              <w:rPr>
                <w:sz w:val="31"/>
              </w:rPr>
              <w:t>成列柜面</w:t>
            </w:r>
          </w:p>
        </w:tc>
        <w:tc>
          <w:tcPr>
            <w:tcW w:w="2000" w:type="dxa"/>
          </w:tcPr>
          <w:p>
            <w:pPr>
              <w:pStyle w:val="TableParagraph"/>
              <w:spacing w:before="30"/>
              <w:ind w:right="76"/>
              <w:jc w:val="right"/>
              <w:rPr>
                <w:sz w:val="31"/>
              </w:rPr>
            </w:pPr>
            <w:r>
              <w:rPr>
                <w:w w:val="102"/>
                <w:sz w:val="31"/>
              </w:rPr>
              <w:t>&lt;</w:t>
            </w:r>
          </w:p>
        </w:tc>
        <w:tc>
          <w:tcPr>
            <w:tcW w:w="288" w:type="dxa"/>
          </w:tcPr>
          <w:p>
            <w:pPr>
              <w:pStyle w:val="TableParagraph"/>
              <w:spacing w:before="30"/>
              <w:ind w:right="47"/>
              <w:jc w:val="right"/>
              <w:rPr>
                <w:sz w:val="31"/>
              </w:rPr>
            </w:pPr>
            <w:r>
              <w:rPr>
                <w:w w:val="102"/>
                <w:sz w:val="31"/>
              </w:rPr>
              <w:t>5</w:t>
            </w:r>
          </w:p>
        </w:tc>
      </w:tr>
      <w:tr>
        <w:tblPrEx>
          <w:tblW w:w="0" w:type="auto"/>
          <w:jc w:val="left"/>
          <w:tblInd w:w="1486" w:type="dxa"/>
          <w:tblLayout w:type="fixed"/>
          <w:tblCellMar>
            <w:top w:w="0" w:type="dxa"/>
            <w:left w:w="0" w:type="dxa"/>
            <w:bottom w:w="0" w:type="dxa"/>
            <w:right w:w="0" w:type="dxa"/>
          </w:tblCellMar>
          <w:tblLook w:val="01E0"/>
        </w:tblPrEx>
        <w:trPr>
          <w:trHeight w:val="581"/>
          <w:jc w:val="left"/>
        </w:trPr>
        <w:tc>
          <w:tcPr>
            <w:tcW w:w="1546" w:type="dxa"/>
          </w:tcPr>
          <w:p>
            <w:pPr>
              <w:pStyle w:val="TableParagraph"/>
              <w:rPr>
                <w:rFonts w:ascii="Times New Roman"/>
                <w:sz w:val="30"/>
              </w:rPr>
            </w:pPr>
          </w:p>
        </w:tc>
        <w:tc>
          <w:tcPr>
            <w:tcW w:w="704" w:type="dxa"/>
          </w:tcPr>
          <w:p>
            <w:pPr>
              <w:pStyle w:val="TableParagraph"/>
              <w:spacing w:before="227" w:line="335" w:lineRule="exact"/>
              <w:ind w:left="228"/>
              <w:rPr>
                <w:sz w:val="31"/>
              </w:rPr>
            </w:pPr>
            <w:r>
              <w:rPr>
                <w:w w:val="102"/>
                <w:sz w:val="31"/>
              </w:rPr>
              <w:t>柜</w:t>
            </w:r>
          </w:p>
        </w:tc>
        <w:tc>
          <w:tcPr>
            <w:tcW w:w="632" w:type="dxa"/>
          </w:tcPr>
          <w:p>
            <w:pPr>
              <w:pStyle w:val="TableParagraph"/>
              <w:spacing w:before="227" w:line="335" w:lineRule="exact"/>
              <w:ind w:left="158"/>
              <w:rPr>
                <w:sz w:val="31"/>
              </w:rPr>
            </w:pPr>
            <w:r>
              <w:rPr>
                <w:w w:val="102"/>
                <w:sz w:val="31"/>
              </w:rPr>
              <w:t>间</w:t>
            </w:r>
          </w:p>
        </w:tc>
        <w:tc>
          <w:tcPr>
            <w:tcW w:w="630" w:type="dxa"/>
          </w:tcPr>
          <w:p>
            <w:pPr>
              <w:pStyle w:val="TableParagraph"/>
              <w:spacing w:before="227" w:line="335" w:lineRule="exact"/>
              <w:ind w:left="156"/>
              <w:rPr>
                <w:sz w:val="31"/>
              </w:rPr>
            </w:pPr>
            <w:r>
              <w:rPr>
                <w:w w:val="102"/>
                <w:sz w:val="31"/>
              </w:rPr>
              <w:t>接</w:t>
            </w:r>
          </w:p>
        </w:tc>
        <w:tc>
          <w:tcPr>
            <w:tcW w:w="3665" w:type="dxa"/>
          </w:tcPr>
          <w:p>
            <w:pPr>
              <w:pStyle w:val="TableParagraph"/>
              <w:spacing w:before="227" w:line="335" w:lineRule="exact"/>
              <w:ind w:left="156"/>
              <w:rPr>
                <w:sz w:val="31"/>
              </w:rPr>
            </w:pPr>
            <w:r>
              <w:rPr>
                <w:w w:val="102"/>
                <w:sz w:val="31"/>
              </w:rPr>
              <w:t>缝</w:t>
            </w:r>
          </w:p>
        </w:tc>
        <w:tc>
          <w:tcPr>
            <w:tcW w:w="2000" w:type="dxa"/>
          </w:tcPr>
          <w:p>
            <w:pPr>
              <w:pStyle w:val="TableParagraph"/>
              <w:spacing w:before="227" w:line="335" w:lineRule="exact"/>
              <w:ind w:right="76"/>
              <w:jc w:val="right"/>
              <w:rPr>
                <w:sz w:val="31"/>
              </w:rPr>
            </w:pPr>
            <w:r>
              <w:rPr>
                <w:w w:val="102"/>
                <w:sz w:val="31"/>
              </w:rPr>
              <w:t>&lt;</w:t>
            </w:r>
          </w:p>
        </w:tc>
        <w:tc>
          <w:tcPr>
            <w:tcW w:w="288" w:type="dxa"/>
          </w:tcPr>
          <w:p>
            <w:pPr>
              <w:pStyle w:val="TableParagraph"/>
              <w:spacing w:before="227" w:line="335" w:lineRule="exact"/>
              <w:ind w:right="47"/>
              <w:jc w:val="right"/>
              <w:rPr>
                <w:sz w:val="31"/>
              </w:rPr>
            </w:pPr>
            <w:r>
              <w:rPr>
                <w:w w:val="102"/>
                <w:sz w:val="31"/>
              </w:rPr>
              <w:t>2</w:t>
            </w:r>
          </w:p>
        </w:tc>
      </w:tr>
    </w:tbl>
    <w:p>
      <w:pPr>
        <w:pStyle w:val="BodyText"/>
        <w:spacing w:before="2"/>
        <w:rPr>
          <w:sz w:val="28"/>
        </w:rPr>
      </w:pPr>
    </w:p>
    <w:p>
      <w:pPr>
        <w:pStyle w:val="BodyText"/>
        <w:spacing w:before="62" w:line="424" w:lineRule="auto"/>
        <w:ind w:left="420" w:right="304" w:firstLine="629"/>
        <w:rPr>
          <w:sz w:val="24"/>
        </w:rPr>
      </w:pPr>
      <w:r>
        <w:drawing>
          <wp:anchor distT="0" distB="0" distL="0" distR="0" simplePos="0" relativeHeight="251660288" behindDoc="1" locked="0" layoutInCell="1" allowOverlap="1">
            <wp:simplePos x="0" y="0"/>
            <wp:positionH relativeFrom="page">
              <wp:posOffset>1689100</wp:posOffset>
            </wp:positionH>
            <wp:positionV relativeFrom="paragraph">
              <wp:posOffset>-2273935</wp:posOffset>
            </wp:positionV>
            <wp:extent cx="8031670" cy="2204275"/>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xmlns:r="http://schemas.openxmlformats.org/officeDocument/2006/relationships" r:embed="rId16" cstate="print"/>
                    <a:stretch>
                      <a:fillRect/>
                    </a:stretch>
                  </pic:blipFill>
                  <pic:spPr>
                    <a:xfrm>
                      <a:off x="0" y="0"/>
                      <a:ext cx="8031670" cy="2204275"/>
                    </a:xfrm>
                    <a:prstGeom prst="rect">
                      <a:avLst/>
                    </a:prstGeom>
                  </pic:spPr>
                </pic:pic>
              </a:graphicData>
            </a:graphic>
          </wp:anchor>
        </w:drawing>
      </w:r>
      <w:r>
        <w:t>4、 高压开关柜、直流电源柜和信号屏的接地应牢固。装有电器的可开启的门，应以裸铜软线与接地的金属构架可靠地连接。</w:t>
      </w:r>
      <w:r>
        <w:rPr>
          <w:color w:val="F8F8F8"/>
          <w:position w:val="-6"/>
          <w:sz w:val="24"/>
        </w:rPr>
        <w:t>塤礙籟馐决穩賽釙冊庫。</w:t>
      </w:r>
    </w:p>
    <w:p>
      <w:pPr>
        <w:pStyle w:val="BodyText"/>
        <w:spacing w:line="345" w:lineRule="exact"/>
        <w:ind w:left="1050"/>
      </w:pPr>
      <w:r>
        <w:t>5、高压的电气设备和布线系统及继电保护系统的交接试验必须符合现行国家标准《电</w:t>
      </w:r>
    </w:p>
    <w:p>
      <w:pPr>
        <w:pStyle w:val="BodyText"/>
        <w:spacing w:before="11"/>
        <w:rPr>
          <w:sz w:val="23"/>
        </w:rPr>
      </w:pPr>
    </w:p>
    <w:p>
      <w:pPr>
        <w:spacing w:before="0"/>
        <w:ind w:left="420" w:right="0" w:firstLine="0"/>
        <w:jc w:val="left"/>
        <w:rPr>
          <w:sz w:val="24"/>
        </w:rPr>
      </w:pPr>
      <w:r>
        <w:rPr>
          <w:sz w:val="31"/>
        </w:rPr>
        <w:t>气装置安装工程电气设备交接试验标准》GB50150 的规定。</w:t>
      </w:r>
      <w:r>
        <w:rPr>
          <w:color w:val="F8F8F8"/>
          <w:position w:val="-6"/>
          <w:sz w:val="24"/>
        </w:rPr>
        <w:t>裊樣祕廬廂颤谚鍘羋蔺。</w:t>
      </w:r>
    </w:p>
    <w:p>
      <w:pPr>
        <w:pStyle w:val="BodyText"/>
        <w:spacing w:before="255" w:line="424" w:lineRule="auto"/>
        <w:ind w:left="420" w:right="264" w:firstLine="629"/>
        <w:rPr>
          <w:sz w:val="24"/>
        </w:rPr>
      </w:pPr>
      <w:r>
        <w:t xml:space="preserve">6、本工程所用高压中置柜推拉应灵活，无卡阻碰撞现象，动触头与静触头的中心线一 </w:t>
      </w:r>
      <w:r>
        <w:rPr>
          <w:spacing w:val="-1"/>
        </w:rPr>
        <w:t>致，且触头接触紧密，投入时，接地触头先于主触头接触；退出时，接地触头后于主触头脱</w:t>
      </w:r>
      <w:r>
        <w:rPr>
          <w:position w:val="6"/>
        </w:rPr>
        <w:t>开。</w:t>
      </w:r>
      <w:r>
        <w:rPr>
          <w:color w:val="F8F8F8"/>
          <w:sz w:val="24"/>
        </w:rPr>
        <w:t>仓嫗盤紲嘱珑詁鍬齊驁。</w:t>
      </w:r>
    </w:p>
    <w:p>
      <w:pPr>
        <w:pStyle w:val="BodyText"/>
        <w:spacing w:line="354" w:lineRule="exact"/>
        <w:ind w:left="1050"/>
      </w:pPr>
      <w:r>
        <w:t>7、高压柜、直流电源柜和信号屏金属框架及基础型钢必须接地</w:t>
      </w:r>
      <w:r>
        <w:rPr>
          <w:spacing w:val="-30"/>
        </w:rPr>
        <w:t>（PE）</w:t>
      </w:r>
      <w:r>
        <w:t>或接零</w:t>
      </w:r>
      <w:r>
        <w:rPr>
          <w:spacing w:val="-12"/>
        </w:rPr>
        <w:t>（PEN）</w:t>
      </w:r>
      <w:r>
        <w:t>可</w:t>
      </w:r>
    </w:p>
    <w:p>
      <w:pPr>
        <w:pStyle w:val="BodyText"/>
        <w:spacing w:before="10"/>
        <w:rPr>
          <w:sz w:val="23"/>
        </w:rPr>
      </w:pPr>
    </w:p>
    <w:p>
      <w:pPr>
        <w:pStyle w:val="BodyText"/>
        <w:ind w:left="420"/>
        <w:rPr>
          <w:sz w:val="24"/>
        </w:rPr>
      </w:pPr>
      <w:r>
        <w:t>靠，装有电器的门可开启，门和框架的接地端子间应用裸编织铜线连接，且有标识。</w:t>
      </w:r>
      <w:r>
        <w:rPr>
          <w:color w:val="F8F8F8"/>
          <w:position w:val="-6"/>
          <w:sz w:val="24"/>
        </w:rPr>
        <w:t>绽萬璉</w:t>
      </w:r>
    </w:p>
    <w:p>
      <w:pPr>
        <w:pStyle w:val="BodyText"/>
        <w:spacing w:before="5"/>
        <w:rPr>
          <w:sz w:val="28"/>
        </w:rPr>
      </w:pPr>
    </w:p>
    <w:p>
      <w:pPr>
        <w:spacing w:before="0"/>
        <w:ind w:left="420" w:right="0" w:firstLine="0"/>
        <w:jc w:val="left"/>
        <w:rPr>
          <w:sz w:val="24"/>
        </w:rPr>
      </w:pPr>
      <w:r>
        <w:rPr>
          <w:color w:val="F8F8F8"/>
          <w:sz w:val="24"/>
        </w:rPr>
        <w:t>轆娛閬蛏鬮绾瀧。</w:t>
      </w:r>
    </w:p>
    <w:p>
      <w:pPr>
        <w:pStyle w:val="BodyText"/>
        <w:spacing w:before="3"/>
        <w:rPr>
          <w:sz w:val="22"/>
        </w:rPr>
      </w:pPr>
    </w:p>
    <w:p>
      <w:pPr>
        <w:pStyle w:val="BodyText"/>
        <w:spacing w:line="424" w:lineRule="auto"/>
        <w:ind w:left="420" w:right="428" w:firstLine="629"/>
        <w:rPr>
          <w:sz w:val="24"/>
        </w:rPr>
      </w:pPr>
      <w:r>
        <w:t>8、高压柜、直流电源柜和信号屏应有可靠的电击保护，柜内保护导体应有裸露的连接外部保护导体的端子。保护导体的最小截面应符合设计和规范要求。</w:t>
      </w:r>
      <w:r>
        <w:rPr>
          <w:color w:val="F8F8F8"/>
          <w:position w:val="-6"/>
          <w:sz w:val="24"/>
        </w:rPr>
        <w:t>骁顾燁鶚巯瀆蕪領鲡赙。</w:t>
      </w:r>
    </w:p>
    <w:p>
      <w:pPr>
        <w:pStyle w:val="BodyText"/>
        <w:spacing w:line="345" w:lineRule="exact"/>
        <w:ind w:left="1050"/>
      </w:pPr>
      <w:r>
        <w:t>9、柜内线路相间和相对地面绝缘电阻，馈线线路必须大于0.5M</w:t>
      </w:r>
      <w:r>
        <w:rPr>
          <w:rFonts w:ascii="Arial" w:eastAsia="Arial" w:hAnsi="Arial"/>
        </w:rPr>
        <w:t xml:space="preserve">Ω </w:t>
      </w:r>
      <w:r>
        <w:t>；二次回路必须大于</w:t>
      </w:r>
    </w:p>
    <w:p>
      <w:pPr>
        <w:pStyle w:val="BodyText"/>
        <w:spacing w:before="305"/>
        <w:ind w:left="420"/>
      </w:pPr>
      <w:r>
        <w:t>1M</w:t>
      </w:r>
      <w:r>
        <w:rPr>
          <w:rFonts w:ascii="Arial" w:eastAsia="Arial" w:hAnsi="Arial"/>
        </w:rPr>
        <w:t xml:space="preserve">Ω </w:t>
      </w:r>
      <w:r>
        <w:t>。</w:t>
      </w:r>
    </w:p>
    <w:p>
      <w:pPr>
        <w:pStyle w:val="BodyText"/>
        <w:spacing w:before="305" w:line="424" w:lineRule="auto"/>
        <w:ind w:left="420" w:right="268" w:firstLine="629"/>
      </w:pPr>
      <w:r>
        <w:t>10、柜上的标识器件标明被控设备编号及名称或操作位置，接线端子有编号，且清晰、工整、不易脱色。</w:t>
      </w:r>
    </w:p>
    <w:p>
      <w:pPr>
        <w:pStyle w:val="BodyText"/>
        <w:spacing w:before="12"/>
        <w:rPr>
          <w:sz w:val="43"/>
        </w:rPr>
      </w:pPr>
    </w:p>
    <w:p>
      <w:pPr>
        <w:tabs>
          <w:tab w:val="left" w:pos="2815"/>
        </w:tabs>
        <w:spacing w:before="0"/>
        <w:ind w:left="886" w:right="0" w:firstLine="0"/>
        <w:jc w:val="center"/>
        <w:rPr>
          <w:b/>
          <w:sz w:val="48"/>
        </w:rPr>
      </w:pPr>
      <w:bookmarkStart w:id="11" w:name="_TOC_250000"/>
      <w:bookmarkEnd w:id="11"/>
      <w:r>
        <w:rPr>
          <w:b/>
          <w:sz w:val="48"/>
        </w:rPr>
        <w:t>第二节</w:t>
        <w:tab/>
        <w:t>变压器安装要求</w:t>
      </w:r>
    </w:p>
    <w:p>
      <w:pPr>
        <w:pStyle w:val="BodyText"/>
        <w:spacing w:before="10"/>
        <w:rPr>
          <w:b/>
          <w:sz w:val="35"/>
        </w:rPr>
      </w:pPr>
    </w:p>
    <w:p>
      <w:pPr>
        <w:pStyle w:val="Heading7"/>
        <w:spacing w:before="0"/>
        <w:ind w:left="1054"/>
      </w:pPr>
      <w:r>
        <w:t>一、基本要求</w:t>
      </w:r>
    </w:p>
    <w:p>
      <w:pPr>
        <w:pStyle w:val="BodyText"/>
        <w:spacing w:before="10"/>
        <w:rPr>
          <w:b/>
          <w:sz w:val="23"/>
        </w:rPr>
      </w:pPr>
    </w:p>
    <w:p>
      <w:pPr>
        <w:pStyle w:val="BodyText"/>
        <w:spacing w:line="424" w:lineRule="auto"/>
        <w:ind w:left="420" w:right="461" w:firstLine="629"/>
      </w:pPr>
      <w:r>
        <w:t>1</w:t>
      </w:r>
      <w:r>
        <w:rPr>
          <w:spacing w:val="-3"/>
        </w:rPr>
        <w:t>、变压器直接落地安装，变压器高压裸母线套热缩套管护套保护，基础型钢的安装应</w:t>
      </w:r>
      <w:r>
        <w:t>符合要求。</w:t>
      </w:r>
    </w:p>
    <w:p>
      <w:pPr>
        <w:pStyle w:val="BodyText"/>
        <w:spacing w:line="424" w:lineRule="auto"/>
        <w:ind w:left="420" w:right="342" w:firstLine="629"/>
        <w:rPr>
          <w:sz w:val="24"/>
        </w:rPr>
      </w:pPr>
      <w:r>
        <w:t>2、接地装置引出的接地干线与变压器的低压侧中性点直接相连，接地干线与变电所的  N</w:t>
      </w:r>
      <w:r>
        <w:rPr>
          <w:spacing w:val="33"/>
        </w:rPr>
        <w:t xml:space="preserve"> 线和</w:t>
      </w:r>
      <w:r>
        <w:t>PE</w:t>
      </w:r>
      <w:r>
        <w:rPr>
          <w:spacing w:val="-17"/>
        </w:rPr>
        <w:t xml:space="preserve"> 母线直接相连，变压器箱体，干式变压器的支架或外壳应接地。</w:t>
      </w:r>
      <w:r>
        <w:rPr>
          <w:color w:val="F8F8F8"/>
          <w:spacing w:val="-2"/>
          <w:position w:val="-6"/>
          <w:sz w:val="24"/>
        </w:rPr>
        <w:t>瑣钋濺暧惲锟缟馭篩凉。</w:t>
      </w:r>
    </w:p>
    <w:p>
      <w:pPr>
        <w:pStyle w:val="BodyText"/>
        <w:spacing w:line="345" w:lineRule="exact"/>
        <w:ind w:left="1050"/>
      </w:pPr>
      <w:r>
        <w:t>3、变压器的交接试验必须符合规定。</w:t>
      </w:r>
    </w:p>
    <w:p>
      <w:pPr>
        <w:spacing w:after="0" w:line="345" w:lineRule="exact"/>
        <w:sectPr>
          <w:footerReference w:type="default" r:id="rId17"/>
          <w:pgSz w:w="17860" w:h="25260"/>
          <w:pgMar w:top="1820" w:right="2220" w:bottom="2040" w:left="2280" w:header="0" w:footer="1806"/>
          <w:pgNumType w:start="11"/>
          <w:cols w:space="708"/>
        </w:sectPr>
      </w:pPr>
    </w:p>
    <w:p>
      <w:pPr>
        <w:pStyle w:val="BodyText"/>
        <w:spacing w:before="24" w:line="424" w:lineRule="auto"/>
        <w:ind w:left="420" w:right="428" w:firstLine="629"/>
        <w:rPr>
          <w:rFonts w:ascii="幼圆" w:eastAsia="幼圆" w:hint="eastAsia"/>
          <w:sz w:val="24"/>
        </w:rPr>
      </w:pPr>
      <w:r>
        <w:rPr>
          <w:rFonts w:ascii="幼圆" w:eastAsia="幼圆" w:hint="eastAsia"/>
        </w:rPr>
        <w:t>4、变压器基础的轨道应水平，轨距与轮距应配合。当变压器低压侧须与封闭母线槽连接时，其低压出线中心线应与封闭母线安装中心线相符。</w:t>
      </w:r>
      <w:r>
        <w:rPr>
          <w:rFonts w:ascii="幼圆" w:eastAsia="幼圆" w:hint="eastAsia"/>
          <w:color w:val="F8F8F8"/>
          <w:position w:val="-6"/>
          <w:sz w:val="24"/>
        </w:rPr>
        <w:t>鎦诗涇艳损楼紲鯗餳類。</w:t>
      </w:r>
    </w:p>
    <w:p>
      <w:pPr>
        <w:pStyle w:val="BodyText"/>
        <w:spacing w:line="345" w:lineRule="exact"/>
        <w:ind w:left="1050"/>
        <w:rPr>
          <w:rFonts w:ascii="幼圆" w:eastAsia="幼圆" w:hint="eastAsia"/>
        </w:rPr>
      </w:pPr>
      <w:r>
        <w:rPr>
          <w:rFonts w:ascii="幼圆" w:eastAsia="幼圆" w:hint="eastAsia"/>
        </w:rPr>
        <w:t>5、变压器安装位置正确，附件齐全。</w:t>
      </w:r>
    </w:p>
    <w:p>
      <w:pPr>
        <w:pStyle w:val="BodyText"/>
        <w:spacing w:before="10"/>
        <w:rPr>
          <w:rFonts w:ascii="幼圆"/>
          <w:sz w:val="23"/>
        </w:rPr>
      </w:pPr>
    </w:p>
    <w:p>
      <w:pPr>
        <w:pStyle w:val="BodyText"/>
        <w:spacing w:line="424" w:lineRule="auto"/>
        <w:ind w:left="420" w:right="292" w:firstLine="629"/>
        <w:rPr>
          <w:rFonts w:ascii="幼圆" w:eastAsia="幼圆" w:hint="eastAsia"/>
          <w:sz w:val="24"/>
        </w:rPr>
      </w:pPr>
      <w:r>
        <w:rPr>
          <w:rFonts w:ascii="幼圆" w:eastAsia="幼圆" w:hint="eastAsia"/>
        </w:rPr>
        <w:t>6</w:t>
      </w:r>
      <w:r>
        <w:rPr>
          <w:rFonts w:ascii="幼圆" w:eastAsia="幼圆" w:hint="eastAsia"/>
          <w:spacing w:val="-15"/>
        </w:rPr>
        <w:t xml:space="preserve">、有载调压开关的传动部分润滑良好，动作灵活，点动给定位置与开关实际位置一致， </w:t>
      </w:r>
      <w:r>
        <w:rPr>
          <w:rFonts w:ascii="幼圆" w:eastAsia="幼圆" w:hint="eastAsia"/>
          <w:spacing w:val="-2"/>
        </w:rPr>
        <w:t>自动调节符合产品的技术文件要求。</w:t>
      </w:r>
      <w:r>
        <w:rPr>
          <w:rFonts w:ascii="幼圆" w:eastAsia="幼圆" w:hint="eastAsia"/>
          <w:color w:val="F8F8F8"/>
          <w:position w:val="-6"/>
          <w:sz w:val="24"/>
        </w:rPr>
        <w:t>栉缏歐锄棗鈕种鵑瑶锬。</w:t>
      </w:r>
    </w:p>
    <w:p>
      <w:pPr>
        <w:pStyle w:val="BodyText"/>
        <w:spacing w:line="345" w:lineRule="exact"/>
        <w:ind w:left="1050"/>
        <w:rPr>
          <w:rFonts w:ascii="幼圆" w:eastAsia="幼圆" w:hint="eastAsia"/>
        </w:rPr>
      </w:pPr>
      <w:r>
        <w:rPr>
          <w:rFonts w:ascii="幼圆" w:eastAsia="幼圆" w:hint="eastAsia"/>
        </w:rPr>
        <w:t>7、接地装置引出的接地干线与变压器的低压侧中性点直接连接。干式变压器的支架或</w:t>
      </w:r>
    </w:p>
    <w:p>
      <w:pPr>
        <w:pStyle w:val="BodyText"/>
        <w:spacing w:before="10"/>
        <w:rPr>
          <w:rFonts w:ascii="幼圆"/>
          <w:sz w:val="23"/>
        </w:rPr>
      </w:pPr>
    </w:p>
    <w:p>
      <w:pPr>
        <w:pStyle w:val="BodyText"/>
        <w:spacing w:before="1" w:line="393" w:lineRule="auto"/>
        <w:ind w:left="1050" w:right="1617" w:hanging="630"/>
        <w:rPr>
          <w:rFonts w:ascii="幼圆" w:eastAsia="幼圆" w:hint="eastAsia"/>
        </w:rPr>
      </w:pPr>
      <w:r>
        <w:rPr>
          <w:rFonts w:ascii="幼圆" w:eastAsia="幼圆" w:hint="eastAsia"/>
          <w:w w:val="102"/>
        </w:rPr>
        <w:t>外壳应接地</w:t>
      </w:r>
      <w:r>
        <w:rPr>
          <w:rFonts w:ascii="幼圆" w:eastAsia="幼圆" w:hint="eastAsia"/>
          <w:spacing w:val="-8"/>
          <w:w w:val="102"/>
        </w:rPr>
        <w:t>（</w:t>
      </w:r>
      <w:r>
        <w:rPr>
          <w:rFonts w:ascii="幼圆" w:eastAsia="幼圆" w:hint="eastAsia"/>
          <w:w w:val="102"/>
        </w:rPr>
        <w:t>P</w:t>
      </w:r>
      <w:r>
        <w:rPr>
          <w:rFonts w:ascii="幼圆" w:eastAsia="幼圆" w:hint="eastAsia"/>
          <w:spacing w:val="-4"/>
          <w:w w:val="102"/>
        </w:rPr>
        <w:t>E</w:t>
      </w:r>
      <w:r>
        <w:rPr>
          <w:rFonts w:ascii="幼圆" w:eastAsia="幼圆" w:hint="eastAsia"/>
          <w:spacing w:val="-159"/>
          <w:w w:val="102"/>
        </w:rPr>
        <w:t>）</w:t>
      </w:r>
      <w:r>
        <w:rPr>
          <w:rFonts w:ascii="幼圆" w:eastAsia="幼圆" w:hint="eastAsia"/>
          <w:spacing w:val="-2"/>
          <w:w w:val="102"/>
        </w:rPr>
        <w:t>。所有连接应可靠，紧固件及防松零件齐全。</w:t>
      </w:r>
      <w:r>
        <w:rPr>
          <w:rFonts w:ascii="幼圆" w:eastAsia="幼圆" w:hint="eastAsia"/>
          <w:color w:val="F8F8F8"/>
          <w:spacing w:val="-2"/>
          <w:w w:val="100"/>
          <w:position w:val="-6"/>
          <w:sz w:val="24"/>
        </w:rPr>
        <w:t>辔烨棟剛殓攬瑤丽阄应。</w:t>
      </w:r>
      <w:r>
        <w:rPr>
          <w:rFonts w:ascii="幼圆" w:eastAsia="幼圆" w:hint="eastAsia"/>
          <w:color w:val="F8F8F8"/>
          <w:w w:val="100"/>
          <w:position w:val="-6"/>
          <w:sz w:val="24"/>
        </w:rPr>
        <w:t xml:space="preserve"> </w:t>
      </w:r>
      <w:r>
        <w:rPr>
          <w:rFonts w:ascii="幼圆" w:eastAsia="幼圆" w:hint="eastAsia"/>
        </w:rPr>
        <w:t>8、变压器接地、进线出线符合设计与规范要求。</w:t>
      </w:r>
    </w:p>
    <w:p>
      <w:pPr>
        <w:pStyle w:val="BodyText"/>
        <w:spacing w:before="51" w:line="424" w:lineRule="auto"/>
        <w:ind w:left="420" w:right="397" w:firstLine="629"/>
        <w:jc w:val="both"/>
        <w:rPr>
          <w:rFonts w:ascii="幼圆" w:eastAsia="幼圆" w:hint="eastAsia"/>
          <w:sz w:val="24"/>
        </w:rPr>
      </w:pPr>
      <w:r>
        <w:rPr>
          <w:rFonts w:ascii="幼圆" w:eastAsia="幼圆" w:hint="eastAsia"/>
        </w:rPr>
        <w:t>9、变压器试运行前应进行空载全电压冲击合闸试验，有条件时从零起升压且宜从高压侧投入；第一次冲击带电持续时间不少于10min；变压器应无异常，投运前要求做五次冲击</w:t>
      </w:r>
      <w:r>
        <w:rPr>
          <w:rFonts w:ascii="幼圆" w:eastAsia="幼圆" w:hint="eastAsia"/>
          <w:position w:val="6"/>
        </w:rPr>
        <w:t>合闸试验。</w:t>
      </w:r>
      <w:r>
        <w:rPr>
          <w:rFonts w:ascii="幼圆" w:eastAsia="幼圆" w:hint="eastAsia"/>
          <w:color w:val="F8F8F8"/>
          <w:sz w:val="24"/>
        </w:rPr>
        <w:t>峴扬斕滾澗辐滠兴渙藺。</w:t>
      </w:r>
    </w:p>
    <w:p>
      <w:pPr>
        <w:pStyle w:val="BodyText"/>
        <w:spacing w:line="354" w:lineRule="exact"/>
        <w:ind w:left="1050"/>
        <w:rPr>
          <w:rFonts w:ascii="幼圆" w:eastAsia="幼圆" w:hint="eastAsia"/>
        </w:rPr>
      </w:pPr>
      <w:r>
        <w:rPr>
          <w:rFonts w:ascii="幼圆" w:eastAsia="幼圆" w:hint="eastAsia"/>
        </w:rPr>
        <w:t>10、高压的电气设备和布线系统及继电保护系统的交接试验必须符合现行国家标准《电</w:t>
      </w:r>
    </w:p>
    <w:p>
      <w:pPr>
        <w:pStyle w:val="BodyText"/>
        <w:spacing w:before="10"/>
        <w:rPr>
          <w:rFonts w:ascii="幼圆"/>
          <w:sz w:val="23"/>
        </w:rPr>
      </w:pPr>
    </w:p>
    <w:p>
      <w:pPr>
        <w:spacing w:before="1"/>
        <w:ind w:left="420" w:right="0" w:firstLine="0"/>
        <w:jc w:val="left"/>
        <w:rPr>
          <w:rFonts w:ascii="幼圆" w:eastAsia="幼圆" w:hint="eastAsia"/>
          <w:sz w:val="24"/>
        </w:rPr>
      </w:pPr>
      <w:r>
        <w:rPr>
          <w:rFonts w:ascii="幼圆" w:eastAsia="幼圆" w:hint="eastAsia"/>
          <w:sz w:val="31"/>
        </w:rPr>
        <w:t>气装置安装工程电气设备交接试验标准》GB50150 的规定。</w:t>
      </w:r>
      <w:r>
        <w:rPr>
          <w:rFonts w:ascii="幼圆" w:eastAsia="幼圆" w:hint="eastAsia"/>
          <w:color w:val="F8F8F8"/>
          <w:position w:val="-6"/>
          <w:sz w:val="24"/>
        </w:rPr>
        <w:t>詩叁撻訥烬忧毀厉鋨骜。</w:t>
      </w:r>
    </w:p>
    <w:p>
      <w:pPr>
        <w:pStyle w:val="BodyText"/>
        <w:spacing w:before="254"/>
        <w:ind w:left="1050"/>
        <w:rPr>
          <w:rFonts w:ascii="幼圆" w:eastAsia="幼圆" w:hint="eastAsia"/>
        </w:rPr>
      </w:pPr>
      <w:r>
        <w:rPr>
          <w:rFonts w:ascii="幼圆" w:eastAsia="幼圆" w:hint="eastAsia"/>
        </w:rPr>
        <w:t>11、高压柜主变压器高压侧采用 10KV 交联聚乙烯绝缘聚乙烯护套铜芯电力电缆。</w:t>
      </w:r>
    </w:p>
    <w:p>
      <w:pPr>
        <w:pStyle w:val="BodyText"/>
        <w:rPr>
          <w:rFonts w:ascii="幼圆"/>
          <w:sz w:val="32"/>
        </w:rPr>
      </w:pPr>
    </w:p>
    <w:p>
      <w:pPr>
        <w:pStyle w:val="BodyText"/>
        <w:spacing w:before="8"/>
        <w:rPr>
          <w:rFonts w:ascii="幼圆"/>
          <w:sz w:val="26"/>
        </w:rPr>
      </w:pPr>
    </w:p>
    <w:p>
      <w:pPr>
        <w:tabs>
          <w:tab w:val="left" w:pos="3056"/>
        </w:tabs>
        <w:spacing w:before="1"/>
        <w:ind w:left="886" w:right="0" w:firstLine="0"/>
        <w:jc w:val="center"/>
        <w:rPr>
          <w:rFonts w:ascii="幼圆" w:eastAsia="幼圆" w:hint="eastAsia"/>
          <w:b/>
          <w:sz w:val="48"/>
        </w:rPr>
      </w:pPr>
      <w:r>
        <w:rPr>
          <w:rFonts w:ascii="幼圆" w:eastAsia="幼圆" w:hint="eastAsia"/>
          <w:b/>
          <w:sz w:val="48"/>
        </w:rPr>
        <w:t>第三节</w:t>
        <w:tab/>
        <w:t>电缆敷设要求</w:t>
      </w:r>
    </w:p>
    <w:p>
      <w:pPr>
        <w:pStyle w:val="BodyText"/>
        <w:rPr>
          <w:rFonts w:ascii="幼圆"/>
          <w:b/>
          <w:sz w:val="48"/>
        </w:rPr>
      </w:pPr>
    </w:p>
    <w:p>
      <w:pPr>
        <w:pStyle w:val="Heading7"/>
        <w:spacing w:before="372"/>
        <w:ind w:left="1039"/>
        <w:rPr>
          <w:rFonts w:ascii="幼圆" w:eastAsia="幼圆" w:hint="eastAsia"/>
        </w:rPr>
      </w:pPr>
      <w:r>
        <w:rPr>
          <w:rFonts w:ascii="幼圆" w:eastAsia="幼圆" w:hint="eastAsia"/>
        </w:rPr>
        <w:t>一、基本要求</w:t>
      </w:r>
    </w:p>
    <w:p>
      <w:pPr>
        <w:pStyle w:val="BodyText"/>
        <w:spacing w:before="186"/>
        <w:ind w:left="1050"/>
        <w:rPr>
          <w:rFonts w:ascii="幼圆" w:eastAsia="幼圆" w:hint="eastAsia"/>
        </w:rPr>
      </w:pPr>
      <w:r>
        <w:rPr>
          <w:rFonts w:ascii="幼圆" w:eastAsia="幼圆" w:hint="eastAsia"/>
        </w:rPr>
        <w:t>1、10KV 外线施工须满足深圳供电部门的要求，并在施工中对周边环境影响最小。</w:t>
      </w:r>
    </w:p>
    <w:p>
      <w:pPr>
        <w:pStyle w:val="Heading6"/>
        <w:spacing w:before="163" w:line="326" w:lineRule="auto"/>
        <w:ind w:right="563" w:firstLine="629"/>
        <w:rPr>
          <w:rFonts w:ascii="幼圆" w:eastAsia="幼圆" w:hint="eastAsia"/>
        </w:rPr>
      </w:pPr>
      <w:r>
        <w:rPr>
          <w:rFonts w:ascii="幼圆" w:eastAsia="幼圆" w:hint="eastAsia"/>
          <w:sz w:val="31"/>
        </w:rPr>
        <w:t>2、</w:t>
      </w:r>
      <w:r>
        <w:rPr>
          <w:rFonts w:ascii="幼圆" w:eastAsia="幼圆" w:hint="eastAsia"/>
          <w:position w:val="1"/>
        </w:rPr>
        <w:t>电缆的耐压试验结果，泄漏电流和绝缘电阻必须符合施工规范规定。应附有检</w:t>
      </w:r>
      <w:r>
        <w:rPr>
          <w:rFonts w:ascii="幼圆" w:eastAsia="幼圆" w:hint="eastAsia"/>
        </w:rPr>
        <w:t>验方法检查试验记录。</w:t>
      </w:r>
    </w:p>
    <w:p>
      <w:pPr>
        <w:pStyle w:val="Heading6"/>
        <w:spacing w:before="13"/>
        <w:ind w:left="1083"/>
        <w:rPr>
          <w:rFonts w:ascii="幼圆" w:eastAsia="幼圆" w:hint="eastAsia"/>
        </w:rPr>
      </w:pPr>
      <w:r>
        <w:rPr>
          <w:rFonts w:ascii="幼圆" w:eastAsia="幼圆" w:hint="eastAsia"/>
        </w:rPr>
        <w:t>3、电缆敷设必须符合以下规定：</w:t>
      </w:r>
    </w:p>
    <w:p>
      <w:pPr>
        <w:pStyle w:val="Heading6"/>
        <w:spacing w:before="161" w:line="333" w:lineRule="auto"/>
        <w:ind w:right="351" w:firstLine="662"/>
        <w:rPr>
          <w:rFonts w:ascii="幼圆" w:eastAsia="幼圆" w:hint="eastAsia"/>
          <w:sz w:val="24"/>
        </w:rPr>
      </w:pPr>
      <w:r>
        <w:rPr>
          <w:rFonts w:ascii="幼圆" w:eastAsia="幼圆" w:hint="eastAsia"/>
        </w:rPr>
        <w:t>电缆严禁有绞拧、铠装压扁、护层断裂和表面严重划伤等缺陷；直埋敷设时，严禁在管道的上面或下面平行敷设。</w:t>
      </w:r>
      <w:r>
        <w:rPr>
          <w:rFonts w:ascii="幼圆" w:eastAsia="幼圆" w:hint="eastAsia"/>
          <w:color w:val="F8F8F8"/>
          <w:position w:val="-7"/>
          <w:sz w:val="24"/>
        </w:rPr>
        <w:t>则鯤愜韋瘓賈晖园栋泷。</w:t>
      </w:r>
    </w:p>
    <w:p>
      <w:pPr>
        <w:pStyle w:val="Heading6"/>
        <w:spacing w:line="363" w:lineRule="exact"/>
        <w:ind w:left="1083"/>
        <w:rPr>
          <w:rFonts w:ascii="幼圆" w:eastAsia="幼圆" w:hint="eastAsia"/>
        </w:rPr>
      </w:pPr>
      <w:r>
        <w:rPr>
          <w:rFonts w:ascii="幼圆" w:eastAsia="幼圆" w:hint="eastAsia"/>
        </w:rPr>
        <w:t>4、电缆终端头和电缆接头的制作、安装必须符合下列规定：</w:t>
      </w:r>
    </w:p>
    <w:p>
      <w:pPr>
        <w:pStyle w:val="Heading6"/>
        <w:numPr>
          <w:ilvl w:val="0"/>
          <w:numId w:val="26"/>
        </w:numPr>
        <w:tabs>
          <w:tab w:val="left" w:pos="1898"/>
        </w:tabs>
        <w:spacing w:before="164" w:after="0" w:line="331" w:lineRule="auto"/>
        <w:ind w:left="420" w:right="365" w:firstLine="651"/>
        <w:jc w:val="left"/>
        <w:rPr>
          <w:rFonts w:ascii="幼圆" w:eastAsia="幼圆" w:hint="eastAsia"/>
        </w:rPr>
      </w:pPr>
      <w:r>
        <w:rPr>
          <w:rFonts w:ascii="幼圆" w:eastAsia="幼圆" w:hint="eastAsia"/>
        </w:rPr>
        <w:t>、封闭严密，填料灌注饱满、无气泡、无渗油现象；芯线连接紧密，绝缘带</w:t>
      </w:r>
      <w:r>
        <w:rPr>
          <w:rFonts w:ascii="幼圆" w:eastAsia="幼圆" w:hint="eastAsia"/>
          <w:spacing w:val="-4"/>
        </w:rPr>
        <w:t>包扎严密，防潮涂料涂刷均匀；封铅表面光滑，无砂眼和裂纹。</w:t>
      </w:r>
    </w:p>
    <w:p>
      <w:pPr>
        <w:pStyle w:val="Heading6"/>
        <w:numPr>
          <w:ilvl w:val="0"/>
          <w:numId w:val="26"/>
        </w:numPr>
        <w:tabs>
          <w:tab w:val="left" w:pos="1920"/>
        </w:tabs>
        <w:spacing w:before="3" w:after="0" w:line="331" w:lineRule="auto"/>
        <w:ind w:left="420" w:right="509" w:firstLine="665"/>
        <w:jc w:val="left"/>
        <w:rPr>
          <w:rFonts w:ascii="幼圆" w:eastAsia="幼圆" w:hint="eastAsia"/>
        </w:rPr>
      </w:pPr>
      <w:r>
        <w:rPr>
          <w:rFonts w:ascii="幼圆" w:eastAsia="幼圆" w:hint="eastAsia"/>
          <w:spacing w:val="-1"/>
        </w:rPr>
        <w:t>交联聚乙烯电缆头的半导体带、屏蔽带包缠不超越应力锥中间最大处，锥体</w:t>
      </w:r>
      <w:r>
        <w:rPr>
          <w:rFonts w:ascii="幼圆" w:eastAsia="幼圆" w:hint="eastAsia"/>
        </w:rPr>
        <w:t>坡度匀称，表面光滑。</w:t>
      </w:r>
    </w:p>
    <w:p>
      <w:pPr>
        <w:pStyle w:val="Heading6"/>
        <w:numPr>
          <w:ilvl w:val="0"/>
          <w:numId w:val="26"/>
        </w:numPr>
        <w:tabs>
          <w:tab w:val="left" w:pos="1898"/>
        </w:tabs>
        <w:spacing w:before="4" w:after="0" w:line="331" w:lineRule="auto"/>
        <w:ind w:left="420" w:right="365" w:firstLine="647"/>
        <w:jc w:val="left"/>
        <w:rPr>
          <w:rFonts w:ascii="幼圆" w:eastAsia="幼圆" w:hint="eastAsia"/>
        </w:rPr>
      </w:pPr>
      <w:r>
        <w:rPr>
          <w:rFonts w:ascii="幼圆" w:eastAsia="幼圆" w:hint="eastAsia"/>
        </w:rPr>
        <w:t>、电缆头安装、固定牢靠，相序正确。直埋电缆接头保护措施完整，标志准</w:t>
      </w:r>
      <w:r>
        <w:rPr>
          <w:rFonts w:ascii="幼圆" w:eastAsia="幼圆" w:hint="eastAsia"/>
          <w:spacing w:val="-5"/>
        </w:rPr>
        <w:t>确清晰。</w:t>
      </w:r>
    </w:p>
    <w:p>
      <w:pPr>
        <w:pStyle w:val="Heading6"/>
        <w:spacing w:before="2"/>
        <w:ind w:left="1083"/>
        <w:rPr>
          <w:rFonts w:ascii="幼圆" w:eastAsia="幼圆" w:hint="eastAsia"/>
        </w:rPr>
      </w:pPr>
      <w:r>
        <w:rPr>
          <w:rFonts w:ascii="幼圆" w:eastAsia="幼圆" w:hint="eastAsia"/>
        </w:rPr>
        <w:t>5、电缆支、托架安装应符合以下规定：</w:t>
      </w:r>
    </w:p>
    <w:p>
      <w:pPr>
        <w:spacing w:after="0"/>
        <w:rPr>
          <w:rFonts w:ascii="幼圆" w:eastAsia="幼圆" w:hint="eastAsia"/>
        </w:rPr>
        <w:sectPr>
          <w:footerReference w:type="default" r:id="rId18"/>
          <w:pgSz w:w="17860" w:h="25260"/>
          <w:pgMar w:top="2000" w:right="2220" w:bottom="2000" w:left="2280" w:header="0" w:footer="1806"/>
          <w:pgNumType w:start="12"/>
          <w:cols w:space="708"/>
        </w:sectPr>
      </w:pPr>
    </w:p>
    <w:p>
      <w:pPr>
        <w:pStyle w:val="Heading6"/>
        <w:spacing w:before="38" w:line="331" w:lineRule="auto"/>
        <w:ind w:right="294" w:firstLine="662"/>
        <w:rPr>
          <w:sz w:val="24"/>
        </w:rPr>
      </w:pPr>
      <w:r>
        <w:rPr>
          <w:spacing w:val="-18"/>
        </w:rPr>
        <w:t xml:space="preserve">位置正确，连接可靠，固定牢靠，油漆完整，在转弯处能托住电缆平滑均匀的过渡， </w:t>
      </w:r>
      <w:r>
        <w:rPr>
          <w:spacing w:val="-5"/>
        </w:rPr>
        <w:t>托架加盖部分盖板齐全。间距均匀，排列整齐，横平竖直，油漆色泽均匀。</w:t>
      </w:r>
      <w:r>
        <w:rPr>
          <w:color w:val="F8F8F8"/>
          <w:position w:val="-7"/>
          <w:sz w:val="24"/>
        </w:rPr>
        <w:t>胀鏝彈奥秘孫戶</w:t>
      </w:r>
    </w:p>
    <w:p>
      <w:pPr>
        <w:spacing w:before="87"/>
        <w:ind w:left="420" w:right="0" w:firstLine="0"/>
        <w:jc w:val="left"/>
        <w:rPr>
          <w:sz w:val="24"/>
        </w:rPr>
      </w:pPr>
      <w:r>
        <w:rPr>
          <w:color w:val="F8F8F8"/>
          <w:sz w:val="24"/>
        </w:rPr>
        <w:t>孪钇賻。</w:t>
      </w:r>
    </w:p>
    <w:p>
      <w:pPr>
        <w:pStyle w:val="Heading6"/>
        <w:spacing w:before="138"/>
        <w:ind w:left="1079"/>
      </w:pPr>
      <w:r>
        <w:rPr>
          <w:rFonts w:ascii="Arial" w:eastAsia="Arial"/>
        </w:rPr>
        <w:t>6</w:t>
      </w:r>
      <w:r>
        <w:t>、电缆保护管安装应符合以下规定：</w:t>
      </w:r>
    </w:p>
    <w:p>
      <w:pPr>
        <w:pStyle w:val="Heading6"/>
        <w:spacing w:before="164" w:line="331" w:lineRule="auto"/>
        <w:ind w:right="351" w:firstLine="662"/>
        <w:rPr>
          <w:sz w:val="24"/>
        </w:rPr>
      </w:pPr>
      <w:r>
        <w:t>管口光滑，无毛刺，固定牢靠，防腐良好。弯曲处无弯扁现象，其弯曲半径不小于电缆的最小允许弯曲半径；出入地沟、隧道和建筑物的保护管口封闭严密。弯曲处无明显的折皱和不平；出入地沟、隧道和建筑物，保护管坡向及坡度正确。明敷部分横平竖直，成排敷设的排列整齐</w:t>
      </w:r>
      <w:r>
        <w:rPr>
          <w:rFonts w:ascii="Arial" w:eastAsia="Arial"/>
        </w:rPr>
        <w:t>;</w:t>
      </w:r>
      <w:r>
        <w:t>检查数量按不同敷设方式</w:t>
      </w:r>
      <w:r>
        <w:rPr>
          <w:rFonts w:ascii="Arial" w:eastAsia="Arial"/>
        </w:rPr>
        <w:t xml:space="preserve">; </w:t>
      </w:r>
      <w:r>
        <w:t>室外埋地的电缆保护管应做防锈防</w:t>
      </w:r>
      <w:r>
        <w:rPr>
          <w:position w:val="8"/>
        </w:rPr>
        <w:t>腐处理。</w:t>
      </w:r>
      <w:r>
        <w:rPr>
          <w:color w:val="F8F8F8"/>
          <w:sz w:val="24"/>
        </w:rPr>
        <w:t>鳃躋峽祷紉诵帮废掃減。</w:t>
      </w:r>
    </w:p>
    <w:p>
      <w:pPr>
        <w:pStyle w:val="Heading6"/>
        <w:spacing w:line="374" w:lineRule="exact"/>
        <w:ind w:left="1079"/>
      </w:pPr>
      <w:r>
        <w:rPr>
          <w:rFonts w:ascii="Arial" w:eastAsia="Arial"/>
        </w:rPr>
        <w:t>7</w:t>
      </w:r>
      <w:r>
        <w:t>、电缆敷设应符合以下规定：</w:t>
      </w:r>
    </w:p>
    <w:p>
      <w:pPr>
        <w:pStyle w:val="Heading6"/>
        <w:numPr>
          <w:ilvl w:val="0"/>
          <w:numId w:val="25"/>
        </w:numPr>
        <w:tabs>
          <w:tab w:val="left" w:pos="1909"/>
        </w:tabs>
        <w:spacing w:before="165" w:after="0" w:line="331" w:lineRule="auto"/>
        <w:ind w:left="420" w:right="356" w:firstLine="658"/>
        <w:jc w:val="left"/>
      </w:pPr>
      <w:r>
        <w:t>、坐标和标高正确，排列整齐，标志桩、标志牌设置准确；有防燃、隔热和</w:t>
      </w:r>
      <w:r>
        <w:rPr>
          <w:spacing w:val="-5"/>
        </w:rPr>
        <w:t>防腐蚀要求的电缆保护措施完整。</w:t>
      </w:r>
    </w:p>
    <w:p>
      <w:pPr>
        <w:pStyle w:val="Heading6"/>
        <w:numPr>
          <w:ilvl w:val="0"/>
          <w:numId w:val="25"/>
        </w:numPr>
        <w:tabs>
          <w:tab w:val="left" w:pos="1894"/>
        </w:tabs>
        <w:spacing w:before="3" w:after="0" w:line="331" w:lineRule="auto"/>
        <w:ind w:left="420" w:right="351" w:firstLine="644"/>
        <w:jc w:val="both"/>
      </w:pPr>
      <w:r>
        <w:t>、在支架上敷设时，固定可靠，同一侧支架上的电缆排列顺序正确，控制电</w:t>
      </w:r>
      <w:r>
        <w:rPr>
          <w:spacing w:val="-1"/>
        </w:rPr>
        <w:t>缆应放在电力电缆的下面，</w:t>
      </w:r>
      <w:r>
        <w:rPr>
          <w:rFonts w:ascii="Arial" w:eastAsia="Arial"/>
          <w:spacing w:val="-4"/>
        </w:rPr>
        <w:t>1KV</w:t>
      </w:r>
      <w:r>
        <w:rPr>
          <w:rFonts w:ascii="Arial" w:eastAsia="Arial"/>
          <w:spacing w:val="21"/>
        </w:rPr>
        <w:t xml:space="preserve"> </w:t>
      </w:r>
      <w:r>
        <w:rPr>
          <w:spacing w:val="-5"/>
        </w:rPr>
        <w:t xml:space="preserve">及其以下的电力电缆应放在 </w:t>
      </w:r>
      <w:r>
        <w:rPr>
          <w:rFonts w:ascii="Arial" w:eastAsia="Arial"/>
        </w:rPr>
        <w:t>1KV</w:t>
      </w:r>
      <w:r>
        <w:rPr>
          <w:rFonts w:ascii="Arial" w:eastAsia="Arial"/>
          <w:spacing w:val="22"/>
        </w:rPr>
        <w:t xml:space="preserve"> </w:t>
      </w:r>
      <w:r>
        <w:t>以上电力电缆的下面；电缆的架设深度、盖板要求、保护措施以及电缆间和电缆与地下管网间平行或交叉的</w:t>
      </w:r>
      <w:r>
        <w:rPr>
          <w:spacing w:val="-5"/>
        </w:rPr>
        <w:t>最小距离均应符合施工规范规定。</w:t>
      </w:r>
    </w:p>
    <w:p>
      <w:pPr>
        <w:pStyle w:val="Heading6"/>
        <w:numPr>
          <w:ilvl w:val="0"/>
          <w:numId w:val="25"/>
        </w:numPr>
        <w:tabs>
          <w:tab w:val="left" w:pos="1920"/>
        </w:tabs>
        <w:spacing w:before="6" w:after="0" w:line="331" w:lineRule="auto"/>
        <w:ind w:left="420" w:right="509" w:firstLine="665"/>
        <w:jc w:val="left"/>
        <w:rPr>
          <w:sz w:val="24"/>
        </w:rPr>
      </w:pPr>
      <w:r>
        <w:rPr>
          <w:spacing w:val="-1"/>
        </w:rPr>
        <w:t xml:space="preserve">电缆转弯和分支处不紊乱，走向整齐清楚；电缆的标志桩、标牌清晰齐全； </w:t>
      </w:r>
      <w:r>
        <w:rPr>
          <w:spacing w:val="-2"/>
        </w:rPr>
        <w:t>直埋电缆的隐蔽工程记录及简图齐全、准确。</w:t>
      </w:r>
      <w:r>
        <w:rPr>
          <w:color w:val="F8F8F8"/>
          <w:position w:val="-7"/>
          <w:sz w:val="24"/>
        </w:rPr>
        <w:t>稟虛嬪赈维哜妝扩踴粜。</w:t>
      </w:r>
    </w:p>
    <w:p>
      <w:pPr>
        <w:pStyle w:val="BodyText"/>
        <w:spacing w:line="378" w:lineRule="exact"/>
        <w:ind w:left="1079"/>
      </w:pPr>
      <w:r>
        <w:rPr>
          <w:position w:val="1"/>
          <w:sz w:val="33"/>
        </w:rPr>
        <w:t>8、</w:t>
      </w:r>
      <w:r>
        <w:t>电缆在沟内、竖井内支架上敷设价须按以下程序进行：</w:t>
      </w:r>
    </w:p>
    <w:p>
      <w:pPr>
        <w:pStyle w:val="ListParagraph"/>
        <w:numPr>
          <w:ilvl w:val="0"/>
          <w:numId w:val="24"/>
        </w:numPr>
        <w:tabs>
          <w:tab w:val="left" w:pos="1844"/>
        </w:tabs>
        <w:spacing w:before="183" w:after="0" w:line="355" w:lineRule="auto"/>
        <w:ind w:left="420" w:right="428" w:firstLine="629"/>
        <w:jc w:val="left"/>
        <w:rPr>
          <w:sz w:val="31"/>
        </w:rPr>
      </w:pPr>
      <w:r>
        <w:rPr>
          <w:spacing w:val="-1"/>
          <w:sz w:val="31"/>
        </w:rPr>
        <w:t>电缆沟：电缆竖井内的设施，模板及建筑填料等清除，测量后定位，才能安装支</w:t>
      </w:r>
      <w:r>
        <w:rPr>
          <w:sz w:val="31"/>
        </w:rPr>
        <w:t>架；</w:t>
      </w:r>
    </w:p>
    <w:p>
      <w:pPr>
        <w:pStyle w:val="ListParagraph"/>
        <w:numPr>
          <w:ilvl w:val="0"/>
          <w:numId w:val="24"/>
        </w:numPr>
        <w:tabs>
          <w:tab w:val="left" w:pos="1844"/>
        </w:tabs>
        <w:spacing w:before="0" w:after="0" w:line="355" w:lineRule="auto"/>
        <w:ind w:left="420" w:right="446" w:firstLine="629"/>
        <w:jc w:val="left"/>
        <w:rPr>
          <w:sz w:val="24"/>
        </w:rPr>
      </w:pPr>
      <w:r>
        <w:rPr>
          <w:w w:val="102"/>
          <w:sz w:val="31"/>
        </w:rPr>
        <w:t>电缆沟、电缆竖井内支架安装及电缆导管敷设结束，接地</w:t>
      </w:r>
      <w:r>
        <w:rPr>
          <w:spacing w:val="-125"/>
          <w:w w:val="102"/>
          <w:sz w:val="31"/>
        </w:rPr>
        <w:t>（</w:t>
      </w:r>
      <w:r>
        <w:rPr>
          <w:w w:val="102"/>
          <w:sz w:val="31"/>
        </w:rPr>
        <w:t>P</w:t>
      </w:r>
      <w:r>
        <w:rPr>
          <w:spacing w:val="-4"/>
          <w:w w:val="102"/>
          <w:sz w:val="31"/>
        </w:rPr>
        <w:t>E</w:t>
      </w:r>
      <w:r>
        <w:rPr>
          <w:w w:val="102"/>
          <w:sz w:val="31"/>
        </w:rPr>
        <w:t>）或接零</w:t>
      </w:r>
      <w:r>
        <w:rPr>
          <w:spacing w:val="-50"/>
          <w:w w:val="102"/>
          <w:sz w:val="31"/>
        </w:rPr>
        <w:t>（</w:t>
      </w:r>
      <w:r>
        <w:rPr>
          <w:w w:val="102"/>
          <w:sz w:val="31"/>
        </w:rPr>
        <w:t>PEN）</w:t>
      </w:r>
      <w:r>
        <w:rPr>
          <w:spacing w:val="-15"/>
          <w:w w:val="102"/>
          <w:sz w:val="31"/>
        </w:rPr>
        <w:t>连</w:t>
      </w:r>
      <w:r>
        <w:rPr>
          <w:spacing w:val="-2"/>
          <w:sz w:val="31"/>
        </w:rPr>
        <w:t>接完成，经检查确认，才能敷设电缆；</w:t>
      </w:r>
      <w:r>
        <w:rPr>
          <w:color w:val="F8F8F8"/>
          <w:position w:val="-6"/>
          <w:sz w:val="24"/>
        </w:rPr>
        <w:t>陽簍埡鲑罷規呜旧岿錟。</w:t>
      </w:r>
    </w:p>
    <w:p>
      <w:pPr>
        <w:pStyle w:val="ListParagraph"/>
        <w:numPr>
          <w:ilvl w:val="0"/>
          <w:numId w:val="24"/>
        </w:numPr>
        <w:tabs>
          <w:tab w:val="left" w:pos="1844"/>
        </w:tabs>
        <w:spacing w:before="0" w:after="0" w:line="341" w:lineRule="exact"/>
        <w:ind w:left="1843" w:right="0" w:hanging="794"/>
        <w:jc w:val="left"/>
        <w:rPr>
          <w:sz w:val="31"/>
        </w:rPr>
      </w:pPr>
      <w:r>
        <w:rPr>
          <w:sz w:val="31"/>
        </w:rPr>
        <w:t>电缆敷设前绝缘测试合格，才能敷设；</w:t>
      </w:r>
    </w:p>
    <w:p>
      <w:pPr>
        <w:pStyle w:val="ListParagraph"/>
        <w:numPr>
          <w:ilvl w:val="0"/>
          <w:numId w:val="24"/>
        </w:numPr>
        <w:tabs>
          <w:tab w:val="left" w:pos="1844"/>
        </w:tabs>
        <w:spacing w:before="184" w:after="0" w:line="240" w:lineRule="auto"/>
        <w:ind w:left="1843" w:right="0" w:hanging="794"/>
        <w:jc w:val="left"/>
        <w:rPr>
          <w:sz w:val="31"/>
        </w:rPr>
      </w:pPr>
      <w:r>
        <w:rPr>
          <w:spacing w:val="-11"/>
          <w:sz w:val="31"/>
        </w:rPr>
        <w:t>电缆交接试验合格，且对接线去向，相位和防火隔堵措施等检查确认，才能通电；</w:t>
      </w:r>
    </w:p>
    <w:p>
      <w:pPr>
        <w:pStyle w:val="ListParagraph"/>
        <w:numPr>
          <w:ilvl w:val="0"/>
          <w:numId w:val="24"/>
        </w:numPr>
        <w:tabs>
          <w:tab w:val="left" w:pos="1844"/>
        </w:tabs>
        <w:spacing w:before="186" w:after="0" w:line="240" w:lineRule="auto"/>
        <w:ind w:left="1843" w:right="0" w:hanging="794"/>
        <w:jc w:val="left"/>
        <w:rPr>
          <w:sz w:val="31"/>
        </w:rPr>
      </w:pPr>
      <w:r>
        <w:rPr>
          <w:sz w:val="31"/>
        </w:rPr>
        <w:t>电缆在沟内、竖井内支架上敷设，支架要经预制、防腐和安装，且还要焊接接地</w:t>
      </w:r>
    </w:p>
    <w:p>
      <w:pPr>
        <w:pStyle w:val="BodyText"/>
        <w:spacing w:before="189" w:line="352" w:lineRule="auto"/>
        <w:ind w:left="420" w:right="434"/>
        <w:rPr>
          <w:sz w:val="24"/>
        </w:rPr>
      </w:pPr>
      <w:r>
        <w:t>（PE）或接零（PEN）线，同时对有碍安装或安装后不便清理的建筑垃圾进行清除，具备这样的条件，才以敷设固定电缆，否则不能施工。</w:t>
      </w:r>
      <w:r>
        <w:rPr>
          <w:color w:val="F8F8F8"/>
          <w:position w:val="-6"/>
          <w:sz w:val="24"/>
        </w:rPr>
        <w:t>沩氣嘮戇苌鑿鑿槠谔應。</w:t>
      </w:r>
    </w:p>
    <w:p>
      <w:pPr>
        <w:pStyle w:val="BodyText"/>
        <w:spacing w:line="350" w:lineRule="exact"/>
        <w:ind w:left="1367"/>
      </w:pPr>
      <w:r>
        <w:t>9、在有行人通过的地坪、堤坝、桥面、地下商业设施的路面或通行的隧洞中，电缆</w:t>
      </w:r>
    </w:p>
    <w:p>
      <w:pPr>
        <w:spacing w:before="186"/>
        <w:ind w:left="420" w:right="0" w:firstLine="0"/>
        <w:jc w:val="left"/>
        <w:rPr>
          <w:sz w:val="24"/>
        </w:rPr>
      </w:pPr>
      <w:r>
        <w:rPr>
          <w:sz w:val="31"/>
        </w:rPr>
        <w:t>不得敞露敷设于地坪上或楼梯走道上。</w:t>
      </w:r>
      <w:r>
        <w:rPr>
          <w:color w:val="F8F8F8"/>
          <w:position w:val="-6"/>
          <w:sz w:val="24"/>
        </w:rPr>
        <w:t>钡嵐縣緱虜荣产涛團蔺。</w:t>
      </w:r>
    </w:p>
    <w:p>
      <w:pPr>
        <w:pStyle w:val="BodyText"/>
        <w:rPr>
          <w:sz w:val="36"/>
        </w:rPr>
      </w:pPr>
    </w:p>
    <w:p>
      <w:pPr>
        <w:pStyle w:val="BodyText"/>
        <w:spacing w:before="10"/>
        <w:rPr>
          <w:sz w:val="41"/>
        </w:rPr>
      </w:pPr>
    </w:p>
    <w:p>
      <w:pPr>
        <w:tabs>
          <w:tab w:val="left" w:pos="2170"/>
        </w:tabs>
        <w:spacing w:before="0"/>
        <w:ind w:left="0" w:right="76" w:firstLine="0"/>
        <w:jc w:val="center"/>
        <w:rPr>
          <w:b/>
          <w:sz w:val="48"/>
        </w:rPr>
      </w:pPr>
      <w:r>
        <w:rPr>
          <w:b/>
          <w:sz w:val="48"/>
        </w:rPr>
        <w:t>第四节</w:t>
        <w:tab/>
        <w:t>架空地板安装要求</w:t>
      </w:r>
    </w:p>
    <w:p>
      <w:pPr>
        <w:pStyle w:val="BodyText"/>
        <w:rPr>
          <w:b/>
          <w:sz w:val="48"/>
        </w:rPr>
      </w:pPr>
    </w:p>
    <w:p>
      <w:pPr>
        <w:pStyle w:val="BodyText"/>
        <w:spacing w:before="368"/>
        <w:ind w:left="420"/>
      </w:pPr>
      <w:r>
        <w:rPr>
          <w:rFonts w:ascii="Arial" w:eastAsia="Arial"/>
        </w:rPr>
        <w:t>1</w:t>
      </w:r>
      <w:r>
        <w:t>、架空地板的深化设计和安装须符合相应的规范和设计图纸要求。</w:t>
      </w:r>
    </w:p>
    <w:p>
      <w:pPr>
        <w:spacing w:after="0"/>
        <w:sectPr>
          <w:footerReference w:type="default" r:id="rId19"/>
          <w:pgSz w:w="17860" w:h="25260"/>
          <w:pgMar w:top="1900" w:right="2220" w:bottom="2020" w:left="2280" w:header="0" w:footer="1806"/>
          <w:pgNumType w:start="13"/>
          <w:cols w:space="708"/>
        </w:sectPr>
      </w:pPr>
    </w:p>
    <w:p>
      <w:pPr>
        <w:pStyle w:val="BodyText"/>
        <w:spacing w:before="87" w:line="352" w:lineRule="auto"/>
        <w:ind w:left="420" w:right="423"/>
        <w:rPr>
          <w:sz w:val="24"/>
        </w:rPr>
      </w:pPr>
      <w:r>
        <w:rPr>
          <w:rFonts w:ascii="Arial" w:eastAsia="Arial"/>
        </w:rPr>
        <w:t>2</w:t>
      </w:r>
      <w:r>
        <w:t>、架空地板的设计和施工范围为地下变配电室和屋顶变配电室，建筑面积、安装高度及载重的设备数量和排列方式详见电</w:t>
      </w:r>
      <w:r>
        <w:rPr>
          <w:rFonts w:ascii="Arial" w:eastAsia="Arial"/>
        </w:rPr>
        <w:t xml:space="preserve">Z4 </w:t>
      </w:r>
      <w:r>
        <w:t>和电</w:t>
      </w:r>
      <w:r>
        <w:rPr>
          <w:rFonts w:ascii="Arial" w:eastAsia="Arial"/>
        </w:rPr>
        <w:t>Z5</w:t>
      </w:r>
      <w:r>
        <w:t>。</w:t>
      </w:r>
      <w:r>
        <w:rPr>
          <w:color w:val="F8F8F8"/>
          <w:position w:val="-6"/>
          <w:sz w:val="24"/>
        </w:rPr>
        <w:t>懨俠劑鈍触乐鹇烬觶騮。</w:t>
      </w:r>
    </w:p>
    <w:p>
      <w:pPr>
        <w:pStyle w:val="BodyText"/>
        <w:spacing w:line="350" w:lineRule="exact"/>
        <w:ind w:left="420"/>
      </w:pPr>
      <w:r>
        <w:rPr>
          <w:rFonts w:ascii="Arial" w:eastAsia="Arial" w:hAnsi="Arial"/>
        </w:rPr>
        <w:t>3</w:t>
      </w:r>
      <w:r>
        <w:t>、变配电室主要设备重量如下：低压柜：500—800 公斤/个；高压柜：800—1300 公斤/个；</w:t>
      </w:r>
    </w:p>
    <w:p>
      <w:pPr>
        <w:spacing w:before="186"/>
        <w:ind w:left="420" w:right="0" w:firstLine="0"/>
        <w:jc w:val="left"/>
        <w:rPr>
          <w:sz w:val="24"/>
        </w:rPr>
      </w:pPr>
      <w:r>
        <w:rPr>
          <w:sz w:val="31"/>
        </w:rPr>
        <w:t>1000KVA 的变压器：3495 公斤/个；2000KVA 公斤/个。</w:t>
      </w:r>
      <w:r>
        <w:rPr>
          <w:color w:val="F8F8F8"/>
          <w:position w:val="-6"/>
          <w:sz w:val="24"/>
        </w:rPr>
        <w:t>謾饱兗争詣繚鮐癞别瀘。</w:t>
      </w:r>
    </w:p>
    <w:p>
      <w:pPr>
        <w:pStyle w:val="BodyText"/>
        <w:spacing w:before="139"/>
        <w:ind w:left="420"/>
      </w:pPr>
      <w:r>
        <w:t>4、架空地板支架和地板均采用钢结构，并按重型考虑。钢材要除锈并刷三道防锈漆。</w:t>
      </w:r>
    </w:p>
    <w:p>
      <w:pPr>
        <w:pStyle w:val="BodyText"/>
        <w:spacing w:before="186" w:line="355" w:lineRule="auto"/>
        <w:ind w:left="420" w:right="423"/>
      </w:pPr>
      <w:r>
        <w:rPr>
          <w:rFonts w:ascii="Arial" w:eastAsia="Arial"/>
        </w:rPr>
        <w:t>5</w:t>
      </w:r>
      <w:r>
        <w:t>、架空地板的分格由本承包人根据室内建筑面积和设备的重量进行设计，保证地面不得倒蹋和变形，并能开启。</w:t>
      </w:r>
    </w:p>
    <w:p>
      <w:pPr>
        <w:pStyle w:val="BodyText"/>
        <w:spacing w:before="52" w:line="424" w:lineRule="auto"/>
        <w:ind w:left="463" w:right="381"/>
        <w:rPr>
          <w:sz w:val="24"/>
        </w:rPr>
      </w:pPr>
      <w:r>
        <w:rPr>
          <w:rFonts w:ascii="Arial" w:eastAsia="Arial"/>
        </w:rPr>
        <w:t>6</w:t>
      </w:r>
      <w:r>
        <w:t>、架空地板的深化设计需经发包人、设计院及监理单位进行审核确认，由于审核确认引起的修改中标人不得拒绝，直到发包人、设计院及监理单位批准为止。</w:t>
      </w:r>
      <w:r>
        <w:rPr>
          <w:color w:val="F8F8F8"/>
          <w:position w:val="-6"/>
          <w:sz w:val="24"/>
        </w:rPr>
        <w:t>呙铉們欤谦鸪饺竞荡赚。</w:t>
      </w:r>
    </w:p>
    <w:p>
      <w:pPr>
        <w:pStyle w:val="BodyText"/>
        <w:rPr>
          <w:sz w:val="36"/>
        </w:rPr>
      </w:pPr>
    </w:p>
    <w:p>
      <w:pPr>
        <w:pStyle w:val="BodyText"/>
        <w:rPr>
          <w:sz w:val="36"/>
        </w:rPr>
      </w:pPr>
    </w:p>
    <w:p>
      <w:pPr>
        <w:pStyle w:val="BodyText"/>
        <w:rPr>
          <w:sz w:val="36"/>
        </w:rPr>
      </w:pPr>
    </w:p>
    <w:p>
      <w:pPr>
        <w:tabs>
          <w:tab w:val="left" w:pos="2411"/>
        </w:tabs>
        <w:spacing w:before="300"/>
        <w:ind w:left="0" w:right="73" w:firstLine="0"/>
        <w:jc w:val="center"/>
        <w:rPr>
          <w:b/>
          <w:sz w:val="48"/>
        </w:rPr>
      </w:pPr>
      <w:r>
        <w:rPr>
          <w:b/>
          <w:sz w:val="48"/>
        </w:rPr>
        <w:t>第五节</w:t>
        <w:tab/>
        <w:t>设备技术要求</w:t>
      </w:r>
    </w:p>
    <w:p>
      <w:pPr>
        <w:pStyle w:val="Heading5"/>
      </w:pPr>
      <w:r>
        <w:pict>
          <v:group id="_x0000_s1051" style="width:659pt;height:61pt;margin-top:60.44pt;margin-left:110pt;mso-position-horizontal-relative:page;position:absolute;z-index:251661312" coordorigin="2200,1209" coordsize="13180,1220">
            <v:shape id="_x0000_s1052" type="#_x0000_t75" style="width:13180;height:1220;left:2200;position:absolute;top:1208" stroked="f">
              <v:imagedata r:id="rId20" o:title=""/>
            </v:shape>
            <v:shape id="_x0000_s1053" type="#_x0000_t202" style="width:1288;height:317;left:2438;position:absolute;top:1690" filled="f" stroked="f">
              <v:textbox inset="0,0,0,0">
                <w:txbxContent>
                  <w:p>
                    <w:pPr>
                      <w:spacing w:before="0" w:line="317" w:lineRule="exact"/>
                      <w:ind w:left="0" w:right="0" w:firstLine="0"/>
                      <w:jc w:val="left"/>
                      <w:rPr>
                        <w:b/>
                        <w:sz w:val="31"/>
                      </w:rPr>
                    </w:pPr>
                    <w:r>
                      <w:rPr>
                        <w:b/>
                        <w:sz w:val="31"/>
                      </w:rPr>
                      <w:t>产品名称</w:t>
                    </w:r>
                  </w:p>
                </w:txbxContent>
              </v:textbox>
            </v:shape>
            <v:shape id="_x0000_s1054" type="#_x0000_t202" style="width:1921;height:317;left:7755;position:absolute;top:1690" filled="f" stroked="f">
              <v:textbox inset="0,0,0,0">
                <w:txbxContent>
                  <w:p>
                    <w:pPr>
                      <w:spacing w:before="0" w:line="317" w:lineRule="exact"/>
                      <w:ind w:left="0" w:right="0" w:firstLine="0"/>
                      <w:jc w:val="left"/>
                      <w:rPr>
                        <w:b/>
                        <w:sz w:val="31"/>
                      </w:rPr>
                    </w:pPr>
                    <w:r>
                      <w:rPr>
                        <w:b/>
                        <w:sz w:val="31"/>
                      </w:rPr>
                      <w:t>产品技术要求</w:t>
                    </w:r>
                  </w:p>
                </w:txbxContent>
              </v:textbox>
            </v:shape>
            <v:shape id="_x0000_s1055" type="#_x0000_t202" style="width:1288;height:317;left:13780;position:absolute;top:1690" filled="f" stroked="f">
              <v:textbox inset="0,0,0,0">
                <w:txbxContent>
                  <w:p>
                    <w:pPr>
                      <w:spacing w:before="0" w:line="317" w:lineRule="exact"/>
                      <w:ind w:left="0" w:right="0" w:firstLine="0"/>
                      <w:jc w:val="left"/>
                      <w:rPr>
                        <w:b/>
                        <w:sz w:val="31"/>
                      </w:rPr>
                    </w:pPr>
                    <w:r>
                      <w:rPr>
                        <w:b/>
                        <w:sz w:val="31"/>
                      </w:rPr>
                      <w:t>参考品牌</w:t>
                    </w:r>
                  </w:p>
                </w:txbxContent>
              </v:textbox>
            </v:shape>
          </v:group>
        </w:pict>
      </w:r>
      <w:r>
        <w:t>高压变配电及 10KV 外线工程材料、设备技术规格表</w:t>
      </w:r>
    </w:p>
    <w:p>
      <w:pPr>
        <w:spacing w:after="0"/>
        <w:sectPr>
          <w:footerReference w:type="default" r:id="rId21"/>
          <w:pgSz w:w="17860" w:h="25260"/>
          <w:pgMar w:top="1880" w:right="2220" w:bottom="2040" w:left="2280" w:header="0" w:footer="1806"/>
          <w:pgNumType w:start="14"/>
          <w:cols w:space="708"/>
        </w:sectPr>
      </w:pPr>
    </w:p>
    <w:p>
      <w:pPr>
        <w:pStyle w:val="BodyText"/>
        <w:rPr>
          <w:b/>
          <w:sz w:val="20"/>
        </w:rPr>
      </w:pPr>
    </w:p>
    <w:p>
      <w:pPr>
        <w:spacing w:after="0"/>
        <w:rPr>
          <w:sz w:val="20"/>
        </w:rPr>
        <w:sectPr>
          <w:footerReference w:type="default" r:id="rId22"/>
          <w:pgSz w:w="17860" w:h="25260"/>
          <w:pgMar w:top="1820" w:right="2220" w:bottom="2040" w:left="2280" w:header="0" w:footer="1806"/>
          <w:pgNumType w:start="15"/>
          <w:cols w:space="708"/>
        </w:sectPr>
      </w:pPr>
    </w:p>
    <w:p>
      <w:pPr>
        <w:pStyle w:val="Heading7"/>
      </w:pPr>
      <w:r>
        <w:drawing>
          <wp:anchor distT="0" distB="0" distL="0" distR="0" simplePos="0" relativeHeight="251662336" behindDoc="1" locked="0" layoutInCell="1" allowOverlap="1">
            <wp:simplePos x="0" y="0"/>
            <wp:positionH relativeFrom="page">
              <wp:posOffset>1397000</wp:posOffset>
            </wp:positionH>
            <wp:positionV relativeFrom="page">
              <wp:posOffset>1168400</wp:posOffset>
            </wp:positionV>
            <wp:extent cx="8369300" cy="13271500"/>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png"/>
                    <pic:cNvPicPr/>
                  </pic:nvPicPr>
                  <pic:blipFill>
                    <a:blip xmlns:r="http://schemas.openxmlformats.org/officeDocument/2006/relationships" r:embed="rId23" cstate="print"/>
                    <a:stretch>
                      <a:fillRect/>
                    </a:stretch>
                  </pic:blipFill>
                  <pic:spPr>
                    <a:xfrm>
                      <a:off x="0" y="0"/>
                      <a:ext cx="8369300" cy="13271500"/>
                    </a:xfrm>
                    <a:prstGeom prst="rect">
                      <a:avLst/>
                    </a:prstGeom>
                  </pic:spPr>
                </pic:pic>
              </a:graphicData>
            </a:graphic>
          </wp:anchor>
        </w:drawing>
      </w:r>
      <w:r>
        <w:t>产品名称</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9"/>
        <w:rPr>
          <w:b/>
          <w:sz w:val="35"/>
        </w:rPr>
      </w:pPr>
    </w:p>
    <w:p>
      <w:pPr>
        <w:pStyle w:val="Heading7"/>
        <w:spacing w:before="0"/>
        <w:ind w:left="114"/>
      </w:pPr>
      <w:r>
        <w:t>高压柜</w:t>
      </w:r>
    </w:p>
    <w:p>
      <w:pPr>
        <w:pStyle w:val="Heading7"/>
        <w:ind w:left="3800" w:right="3892"/>
        <w:jc w:val="center"/>
      </w:pPr>
      <w:r>
        <w:rPr>
          <w:b w:val="0"/>
        </w:rPr>
        <w:br w:type="column"/>
      </w:r>
      <w:r>
        <w:t>产品技术要求</w:t>
      </w:r>
    </w:p>
    <w:p>
      <w:pPr>
        <w:pStyle w:val="BodyText"/>
        <w:spacing w:before="12"/>
        <w:rPr>
          <w:b/>
          <w:sz w:val="40"/>
        </w:rPr>
      </w:pPr>
    </w:p>
    <w:p>
      <w:pPr>
        <w:pStyle w:val="BodyText"/>
        <w:ind w:left="114"/>
      </w:pPr>
      <w:r>
        <w:t>一、高压开关柜设备特殊要求：</w:t>
      </w:r>
    </w:p>
    <w:p>
      <w:pPr>
        <w:pStyle w:val="BodyText"/>
        <w:spacing w:before="10"/>
        <w:rPr>
          <w:sz w:val="23"/>
        </w:rPr>
      </w:pPr>
    </w:p>
    <w:p>
      <w:pPr>
        <w:pStyle w:val="BodyText"/>
        <w:ind w:left="744"/>
      </w:pPr>
      <w:r>
        <w:t>1、高压真空开关柜选用高压真空手车式开关柜。</w:t>
      </w:r>
    </w:p>
    <w:p>
      <w:pPr>
        <w:pStyle w:val="BodyText"/>
        <w:spacing w:before="10"/>
        <w:rPr>
          <w:sz w:val="23"/>
        </w:rPr>
      </w:pPr>
    </w:p>
    <w:p>
      <w:pPr>
        <w:pStyle w:val="BodyText"/>
        <w:spacing w:line="424" w:lineRule="auto"/>
        <w:ind w:left="114" w:right="140" w:firstLine="630"/>
      </w:pPr>
      <w:r>
        <w:t>2</w:t>
      </w:r>
      <w:r>
        <w:rPr>
          <w:spacing w:val="-1"/>
        </w:rPr>
        <w:t xml:space="preserve">、高压开关柜应是供应商技术参数最优系列成熟定型的产品， </w:t>
      </w:r>
      <w:r>
        <w:t>要求高压真空手车式开关柜、高压负荷开关柜为国际知名品牌柜， 并且高压真空手车式开关柜中配置的真空断路器（含操作机构</w:t>
      </w:r>
      <w:r>
        <w:rPr>
          <w:spacing w:val="-214"/>
        </w:rPr>
        <w:t>）</w:t>
      </w:r>
      <w:r>
        <w:t>、综合继电保护装置接地开关应属同一品牌。选用产品必须是成熟的定 型产品，选用产品品牌和柜型应为同一品牌技术专利持有人，招标 人不接受为此次工程单独设计、配置的设备，也不接受派生的非主 流柜型。高压真空手车开关柜、高压负荷开关柜必须通过国家级高 压电器质量监督检验机构的型式试验，提供型式试验报告复印件并 由制造厂盖红章。</w:t>
      </w:r>
    </w:p>
    <w:p>
      <w:pPr>
        <w:pStyle w:val="BodyText"/>
        <w:spacing w:line="424" w:lineRule="auto"/>
        <w:ind w:left="114" w:right="140" w:firstLine="630"/>
      </w:pPr>
      <w:r>
        <w:t>3、选用产品必须符合国家有关规范及广东省、深圳供电主管部门的规定。</w:t>
      </w:r>
    </w:p>
    <w:p>
      <w:pPr>
        <w:pStyle w:val="BodyText"/>
        <w:tabs>
          <w:tab w:val="left" w:pos="8756"/>
        </w:tabs>
        <w:spacing w:line="395" w:lineRule="exact"/>
        <w:ind w:left="744"/>
        <w:rPr>
          <w:rFonts w:ascii="Times New Roman" w:eastAsia="Times New Roman"/>
        </w:rPr>
      </w:pPr>
      <w:r>
        <w:rPr>
          <w:spacing w:val="3"/>
        </w:rPr>
        <w:t>4</w:t>
      </w:r>
      <w:r>
        <w:t>、投标人所提供的设备制造商的注册资金不少于人民币</w:t>
        <w:tab/>
      </w:r>
      <w:r>
        <w:rPr>
          <w:rFonts w:ascii="Times New Roman" w:eastAsia="Times New Roman"/>
        </w:rPr>
        <w:t>2000</w:t>
      </w:r>
    </w:p>
    <w:p>
      <w:pPr>
        <w:pStyle w:val="BodyText"/>
        <w:spacing w:before="298"/>
        <w:ind w:left="114"/>
      </w:pPr>
      <w:r>
        <w:t>万元，过去三年（</w:t>
      </w:r>
      <w:r>
        <w:rPr>
          <w:rFonts w:ascii="Times New Roman" w:eastAsia="Times New Roman"/>
        </w:rPr>
        <w:t>2003</w:t>
      </w:r>
      <w:r>
        <w:rPr>
          <w:rFonts w:ascii="Times New Roman" w:eastAsia="Times New Roman"/>
          <w:spacing w:val="43"/>
        </w:rPr>
        <w:t xml:space="preserve"> </w:t>
      </w:r>
      <w:r>
        <w:rPr>
          <w:spacing w:val="-17"/>
        </w:rPr>
        <w:t xml:space="preserve">年 </w:t>
      </w:r>
      <w:r>
        <w:rPr>
          <w:rFonts w:ascii="Times New Roman" w:eastAsia="Times New Roman"/>
        </w:rPr>
        <w:t>1</w:t>
      </w:r>
      <w:r>
        <w:rPr>
          <w:rFonts w:ascii="Times New Roman" w:eastAsia="Times New Roman"/>
          <w:spacing w:val="48"/>
        </w:rPr>
        <w:t xml:space="preserve"> </w:t>
      </w:r>
      <w:r>
        <w:rPr>
          <w:spacing w:val="-14"/>
        </w:rPr>
        <w:t xml:space="preserve">月 </w:t>
      </w:r>
      <w:r>
        <w:rPr>
          <w:rFonts w:ascii="Times New Roman" w:eastAsia="Times New Roman"/>
        </w:rPr>
        <w:t>1</w:t>
      </w:r>
      <w:r>
        <w:rPr>
          <w:rFonts w:ascii="Times New Roman" w:eastAsia="Times New Roman"/>
          <w:spacing w:val="49"/>
        </w:rPr>
        <w:t xml:space="preserve"> </w:t>
      </w:r>
      <w:r>
        <w:t>日至今）深圳地区真空柜年平均销</w:t>
      </w:r>
    </w:p>
    <w:p>
      <w:pPr>
        <w:pStyle w:val="BodyText"/>
        <w:spacing w:before="304" w:line="424" w:lineRule="auto"/>
        <w:ind w:left="114" w:right="164"/>
      </w:pPr>
      <w:r>
        <w:t xml:space="preserve">售须在 </w:t>
      </w:r>
      <w:r>
        <w:rPr>
          <w:rFonts w:ascii="Times New Roman" w:eastAsia="Times New Roman"/>
        </w:rPr>
        <w:t xml:space="preserve">200 </w:t>
      </w:r>
      <w:r>
        <w:t xml:space="preserve">台以上，必须提供客户名单；代理商的注册资金不少于人民币 </w:t>
      </w:r>
      <w:r>
        <w:rPr>
          <w:rFonts w:ascii="Times New Roman" w:eastAsia="Times New Roman"/>
        </w:rPr>
        <w:t xml:space="preserve">200 </w:t>
      </w:r>
      <w:r>
        <w:t>万元。</w:t>
      </w:r>
    </w:p>
    <w:p>
      <w:pPr>
        <w:pStyle w:val="BodyText"/>
        <w:spacing w:line="424" w:lineRule="auto"/>
        <w:ind w:left="114" w:right="203" w:firstLine="630"/>
      </w:pPr>
      <w:r>
        <w:t xml:space="preserve">5、投标人所提供的设备制造商生产高压柜历史不少于 </w:t>
      </w:r>
      <w:r>
        <w:rPr>
          <w:rFonts w:ascii="Times New Roman" w:eastAsia="Times New Roman"/>
        </w:rPr>
        <w:t xml:space="preserve">20 </w:t>
      </w:r>
      <w:r>
        <w:t>年， 在深圳有售后服务机构，并在深圳地区有良好的信誉。</w:t>
      </w:r>
    </w:p>
    <w:p>
      <w:pPr>
        <w:pStyle w:val="BodyText"/>
        <w:spacing w:line="424" w:lineRule="auto"/>
        <w:ind w:left="114" w:right="38" w:firstLine="630"/>
      </w:pPr>
      <w:r>
        <w:t>6、投标人所提供的设备制造商必须通过</w:t>
      </w:r>
      <w:r>
        <w:rPr>
          <w:rFonts w:ascii="Times New Roman" w:eastAsia="Times New Roman"/>
        </w:rPr>
        <w:t xml:space="preserve">ISO9000 </w:t>
      </w:r>
      <w:r>
        <w:t>质量体系认证， 提供认证证书的复印件。</w:t>
      </w:r>
    </w:p>
    <w:p>
      <w:pPr>
        <w:pStyle w:val="BodyText"/>
        <w:spacing w:line="424" w:lineRule="auto"/>
        <w:ind w:left="114" w:right="140" w:firstLine="630"/>
      </w:pPr>
      <w:r>
        <w:t>7</w:t>
      </w:r>
      <w:r>
        <w:rPr>
          <w:spacing w:val="-1"/>
        </w:rPr>
        <w:t>、投标人所提供的设备必须是经过现场验证过的，并且在最近</w:t>
      </w:r>
      <w:r>
        <w:t>三年至少为三个以上工程提供相同型号设备一年以上的满意运行， 必须提供用户清单及详细的设备型号、规格、数量。</w:t>
      </w:r>
    </w:p>
    <w:p>
      <w:pPr>
        <w:pStyle w:val="BodyText"/>
        <w:spacing w:line="424" w:lineRule="auto"/>
        <w:ind w:left="114" w:right="140" w:firstLine="630"/>
      </w:pPr>
      <w:r>
        <w:t>8、提供制造商提供的供货证明及保证售后服务、保证产品质量的承诺函。</w:t>
      </w:r>
    </w:p>
    <w:p>
      <w:pPr>
        <w:pStyle w:val="BodyText"/>
        <w:spacing w:line="424" w:lineRule="auto"/>
        <w:ind w:left="114" w:right="207" w:firstLine="630"/>
      </w:pPr>
      <w:r>
        <w:t>9</w:t>
      </w:r>
      <w:r>
        <w:rPr>
          <w:spacing w:val="-4"/>
        </w:rPr>
        <w:t>、高压配电设备见设备采购清单，</w:t>
      </w:r>
      <w:r>
        <w:rPr>
          <w:color w:val="FF0000"/>
          <w:spacing w:val="-2"/>
        </w:rPr>
        <w:t xml:space="preserve">具体要求详见电洽 </w:t>
      </w:r>
      <w:r>
        <w:rPr>
          <w:color w:val="FF0000"/>
        </w:rPr>
        <w:t>D-006</w:t>
      </w:r>
      <w:r>
        <w:rPr>
          <w:color w:val="FF0000"/>
          <w:spacing w:val="-5"/>
        </w:rPr>
        <w:t xml:space="preserve"> 及</w:t>
      </w:r>
      <w:r>
        <w:rPr>
          <w:color w:val="FF0000"/>
          <w:spacing w:val="-38"/>
        </w:rPr>
        <w:t xml:space="preserve">电 </w:t>
      </w:r>
      <w:r>
        <w:rPr>
          <w:color w:val="FF0000"/>
        </w:rPr>
        <w:t>Z7</w:t>
      </w:r>
      <w:r>
        <w:rPr>
          <w:color w:val="FF0000"/>
          <w:spacing w:val="-52"/>
        </w:rPr>
        <w:t xml:space="preserve"> 改 </w:t>
      </w:r>
      <w:r>
        <w:rPr>
          <w:color w:val="FF0000"/>
        </w:rPr>
        <w:t>G</w:t>
      </w:r>
      <w:r>
        <w:rPr>
          <w:color w:val="FF0000"/>
          <w:spacing w:val="-10"/>
        </w:rPr>
        <w:t xml:space="preserve"> 高压变配电系统图。</w:t>
      </w:r>
    </w:p>
    <w:p>
      <w:pPr>
        <w:pStyle w:val="Heading7"/>
        <w:ind w:left="114"/>
      </w:pPr>
      <w:r>
        <w:rPr>
          <w:b w:val="0"/>
        </w:rPr>
        <w:br w:type="column"/>
      </w:r>
      <w:r>
        <w:t>参考品牌</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4" w:history="1">
        <w:r>
          <w:rPr>
            <w:rFonts w:ascii="SimSun" w:eastAsia="SimSun" w:hAnsi="SimSun" w:cs="SimSun"/>
            <w:b/>
            <w:bCs/>
            <w:color w:val="0000EE"/>
            <w:sz w:val="30"/>
            <w:szCs w:val="30"/>
            <w:u w:val="single" w:color="0000EE"/>
          </w:rPr>
          <w:t>https://d.book118.com/447020102034006045</w:t>
        </w:r>
      </w:hyperlink>
    </w:p>
    <w:p>
      <w:pPr>
        <w:spacing w:after="0"/>
      </w:pPr>
    </w:p>
    <w:sectPr>
      <w:footerReference w:type="default" r:id="rId25"/>
      <w:type w:val="continuous"/>
      <w:pgSz w:w="17860" w:h="25260"/>
      <w:pgMar w:top="2420" w:right="2220" w:bottom="280" w:left="2280" w:header="708" w:footer="708"/>
      <w:pgNumType w:start="16"/>
      <w:cols w:num="3" w:space="708" w:equalWidth="0">
        <w:col w:w="1466" w:space="208"/>
        <w:col w:w="9600" w:space="112"/>
        <w:col w:w="1974" w:space="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9.95pt;height:18.45pt;margin-top:1159.35pt;margin-left:434.31pt;mso-position-horizontal-relative:page;mso-position-vertical-relative:page;position:absolute;z-index:-251658240"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1</w:t>
                </w:r>
                <w:r>
                  <w:fldChar w:fldCharType="end"/>
                </w:r>
                <w:r>
                  <w:rPr>
                    <w:rFonts w:ascii="幼圆"/>
                    <w:sz w:val="27"/>
                  </w:rPr>
                  <w:t>-</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9.95pt;height:18.45pt;margin-top:1159.35pt;margin-left:434.31pt;mso-position-horizontal-relative:page;mso-position-vertical-relative:page;position:absolute;z-index:-251649024"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10</w:t>
                </w:r>
                <w:r>
                  <w:fldChar w:fldCharType="end"/>
                </w:r>
                <w:r>
                  <w:rPr>
                    <w:rFonts w:ascii="幼圆"/>
                    <w:sz w:val="27"/>
                  </w:rPr>
                  <w:t>-</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9.95pt;height:18.45pt;margin-top:1159.35pt;margin-left:434.31pt;mso-position-horizontal-relative:page;mso-position-vertical-relative:page;position:absolute;z-index:-251648000"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11</w:t>
                </w:r>
                <w:r>
                  <w:fldChar w:fldCharType="end"/>
                </w:r>
                <w:r>
                  <w:rPr>
                    <w:rFonts w:ascii="幼圆"/>
                    <w:sz w:val="27"/>
                  </w:rPr>
                  <w:t>-</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29.95pt;height:18.45pt;margin-top:1159.35pt;margin-left:434.31pt;mso-position-horizontal-relative:page;mso-position-vertical-relative:page;position:absolute;z-index:-251646976"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12</w:t>
                </w:r>
                <w:r>
                  <w:fldChar w:fldCharType="end"/>
                </w:r>
                <w:r>
                  <w:rPr>
                    <w:rFonts w:ascii="幼圆"/>
                    <w:sz w:val="27"/>
                  </w:rPr>
                  <w:t>-</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29.95pt;height:18.45pt;margin-top:1159.35pt;margin-left:434.31pt;mso-position-horizontal-relative:page;mso-position-vertical-relative:page;position:absolute;z-index:-251645952"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13</w:t>
                </w:r>
                <w:r>
                  <w:fldChar w:fldCharType="end"/>
                </w:r>
                <w:r>
                  <w:rPr>
                    <w:rFonts w:ascii="幼圆"/>
                    <w:sz w:val="27"/>
                  </w:rPr>
                  <w:t>-</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29.95pt;height:18.45pt;margin-top:1159.35pt;margin-left:434.31pt;mso-position-horizontal-relative:page;mso-position-vertical-relative:page;position:absolute;z-index:-251644928"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14</w:t>
                </w:r>
                <w:r>
                  <w:fldChar w:fldCharType="end"/>
                </w:r>
                <w:r>
                  <w:rPr>
                    <w:rFonts w:ascii="幼圆"/>
                    <w:sz w:val="27"/>
                  </w:rPr>
                  <w:t>-</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29.95pt;height:18.45pt;margin-top:1159.35pt;margin-left:434.31pt;mso-position-horizontal-relative:page;mso-position-vertical-relative:page;position:absolute;z-index:-251643904"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15</w:t>
                </w:r>
                <w:r>
                  <w:fldChar w:fldCharType="end"/>
                </w:r>
                <w:r>
                  <w:rPr>
                    <w:rFonts w:ascii="幼圆"/>
                    <w:sz w:val="27"/>
                  </w:rPr>
                  <w:t>-</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29.95pt;height:18.45pt;margin-top:1159.35pt;margin-left:434.31pt;mso-position-horizontal-relative:page;mso-position-vertical-relative:page;position:absolute;z-index:-251642880"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36</w:t>
                </w:r>
                <w:r>
                  <w:fldChar w:fldCharType="end"/>
                </w:r>
                <w:r>
                  <w:rPr>
                    <w:rFonts w:ascii="幼圆"/>
                    <w:sz w:val="27"/>
                  </w:rPr>
                  <w:t>-</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9.95pt;height:18.45pt;margin-top:1159.35pt;margin-left:434.31pt;mso-position-horizontal-relative:page;mso-position-vertical-relative:page;position:absolute;z-index:-251657216"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2</w:t>
                </w:r>
                <w:r>
                  <w:fldChar w:fldCharType="end"/>
                </w:r>
                <w:r>
                  <w:rPr>
                    <w:rFonts w:ascii="幼圆"/>
                    <w:sz w:val="27"/>
                  </w:rPr>
                  <w:t>-</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29.95pt;height:18.45pt;margin-top:1159.35pt;margin-left:434.31pt;mso-position-horizontal-relative:page;mso-position-vertical-relative:page;position:absolute;z-index:-251656192"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3</w:t>
                </w:r>
                <w:r>
                  <w:fldChar w:fldCharType="end"/>
                </w:r>
                <w:r>
                  <w:rPr>
                    <w:rFonts w:ascii="幼圆"/>
                    <w:sz w:val="27"/>
                  </w:rPr>
                  <w:t>-</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9.95pt;height:18.45pt;margin-top:1159.35pt;margin-left:434.31pt;mso-position-horizontal-relative:page;mso-position-vertical-relative:page;position:absolute;z-index:-251655168"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4</w:t>
                </w:r>
                <w:r>
                  <w:fldChar w:fldCharType="end"/>
                </w:r>
                <w:r>
                  <w:rPr>
                    <w:rFonts w:ascii="幼圆"/>
                    <w:sz w:val="27"/>
                  </w:rPr>
                  <w:t>-</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9.95pt;height:18.45pt;margin-top:1159.35pt;margin-left:434.31pt;mso-position-horizontal-relative:page;mso-position-vertical-relative:page;position:absolute;z-index:-251654144"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5</w:t>
                </w:r>
                <w:r>
                  <w:fldChar w:fldCharType="end"/>
                </w:r>
                <w:r>
                  <w:rPr>
                    <w:rFonts w:ascii="幼圆"/>
                    <w:sz w:val="27"/>
                  </w:rPr>
                  <w:t>-</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9.95pt;height:18.45pt;margin-top:1159.35pt;margin-left:434.31pt;mso-position-horizontal-relative:page;mso-position-vertical-relative:page;position:absolute;z-index:-251653120"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6</w:t>
                </w:r>
                <w:r>
                  <w:fldChar w:fldCharType="end"/>
                </w:r>
                <w:r>
                  <w:rPr>
                    <w:rFonts w:ascii="幼圆"/>
                    <w:sz w:val="27"/>
                  </w:rPr>
                  <w:t>-</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9.95pt;height:18.45pt;margin-top:1159.35pt;margin-left:434.31pt;mso-position-horizontal-relative:page;mso-position-vertical-relative:page;position:absolute;z-index:-251652096"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7</w:t>
                </w:r>
                <w:r>
                  <w:fldChar w:fldCharType="end"/>
                </w:r>
                <w:r>
                  <w:rPr>
                    <w:rFonts w:ascii="幼圆"/>
                    <w:sz w:val="27"/>
                  </w:rPr>
                  <w:t>-</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9.95pt;height:18.45pt;margin-top:1159.35pt;margin-left:434.31pt;mso-position-horizontal-relative:page;mso-position-vertical-relative:page;position:absolute;z-index:-251651072"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8</w:t>
                </w:r>
                <w:r>
                  <w:fldChar w:fldCharType="end"/>
                </w:r>
                <w:r>
                  <w:rPr>
                    <w:rFonts w:ascii="幼圆"/>
                    <w:sz w:val="27"/>
                  </w:rPr>
                  <w:t>-</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9.95pt;height:18.45pt;margin-top:1159.35pt;margin-left:434.31pt;mso-position-horizontal-relative:page;mso-position-vertical-relative:page;position:absolute;z-index:-251650048" filled="f" stroked="f">
          <v:textbox inset="0,0,0,0">
            <w:txbxContent>
              <w:p>
                <w:pPr>
                  <w:spacing w:before="20"/>
                  <w:ind w:left="20" w:right="0" w:firstLine="0"/>
                  <w:jc w:val="left"/>
                  <w:rPr>
                    <w:rFonts w:ascii="幼圆"/>
                    <w:sz w:val="27"/>
                  </w:rPr>
                </w:pPr>
                <w:r>
                  <w:rPr>
                    <w:rFonts w:ascii="幼圆"/>
                    <w:sz w:val="27"/>
                  </w:rPr>
                  <w:t>-</w:t>
                </w:r>
                <w:r>
                  <w:fldChar w:fldCharType="begin"/>
                </w:r>
                <w:r>
                  <w:rPr>
                    <w:rFonts w:ascii="幼圆"/>
                    <w:sz w:val="27"/>
                  </w:rPr>
                  <w:instrText xml:space="preserve"> PAGE </w:instrText>
                </w:r>
                <w:r>
                  <w:fldChar w:fldCharType="separate"/>
                </w:r>
                <w:r>
                  <w:rPr>
                    <w:rFonts w:ascii="幼圆"/>
                    <w:sz w:val="27"/>
                  </w:rPr>
                  <w:t>9</w:t>
                </w:r>
                <w:r>
                  <w:fldChar w:fldCharType="end"/>
                </w:r>
                <w:r>
                  <w:rPr>
                    <w:rFonts w:ascii="幼圆"/>
                    <w:sz w:val="27"/>
                  </w:rPr>
                  <w:t>-</w:t>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FD57"/>
    <w:multiLevelType w:val="hybridMultilevel"/>
    <w:tmpl w:val="00000000"/>
    <w:lvl w:ilvl="0">
      <w:start w:val="1"/>
      <w:numFmt w:val="decimal"/>
      <w:lvlText w:val="（%1）"/>
      <w:lvlJc w:val="left"/>
      <w:pPr>
        <w:ind w:left="158" w:hanging="793"/>
        <w:jc w:val="left"/>
      </w:pPr>
      <w:rPr>
        <w:rFonts w:ascii="宋体" w:eastAsia="宋体" w:hAnsi="宋体" w:cs="宋体" w:hint="default"/>
        <w:w w:val="102"/>
        <w:sz w:val="29"/>
        <w:szCs w:val="29"/>
      </w:rPr>
    </w:lvl>
    <w:lvl w:ilvl="1">
      <w:start w:val="0"/>
      <w:numFmt w:val="bullet"/>
      <w:lvlText w:val="•"/>
      <w:lvlJc w:val="left"/>
      <w:pPr>
        <w:ind w:left="1098" w:hanging="793"/>
      </w:pPr>
      <w:rPr>
        <w:rFonts w:hint="default"/>
      </w:rPr>
    </w:lvl>
    <w:lvl w:ilvl="2">
      <w:start w:val="0"/>
      <w:numFmt w:val="bullet"/>
      <w:lvlText w:val="•"/>
      <w:lvlJc w:val="left"/>
      <w:pPr>
        <w:ind w:left="2036" w:hanging="793"/>
      </w:pPr>
      <w:rPr>
        <w:rFonts w:hint="default"/>
      </w:rPr>
    </w:lvl>
    <w:lvl w:ilvl="3">
      <w:start w:val="0"/>
      <w:numFmt w:val="bullet"/>
      <w:lvlText w:val="•"/>
      <w:lvlJc w:val="left"/>
      <w:pPr>
        <w:ind w:left="2974" w:hanging="793"/>
      </w:pPr>
      <w:rPr>
        <w:rFonts w:hint="default"/>
      </w:rPr>
    </w:lvl>
    <w:lvl w:ilvl="4">
      <w:start w:val="0"/>
      <w:numFmt w:val="bullet"/>
      <w:lvlText w:val="•"/>
      <w:lvlJc w:val="left"/>
      <w:pPr>
        <w:ind w:left="3912" w:hanging="793"/>
      </w:pPr>
      <w:rPr>
        <w:rFonts w:hint="default"/>
      </w:rPr>
    </w:lvl>
    <w:lvl w:ilvl="5">
      <w:start w:val="0"/>
      <w:numFmt w:val="bullet"/>
      <w:lvlText w:val="•"/>
      <w:lvlJc w:val="left"/>
      <w:pPr>
        <w:ind w:left="4850" w:hanging="793"/>
      </w:pPr>
      <w:rPr>
        <w:rFonts w:hint="default"/>
      </w:rPr>
    </w:lvl>
    <w:lvl w:ilvl="6">
      <w:start w:val="0"/>
      <w:numFmt w:val="bullet"/>
      <w:lvlText w:val="•"/>
      <w:lvlJc w:val="left"/>
      <w:pPr>
        <w:ind w:left="5788" w:hanging="793"/>
      </w:pPr>
      <w:rPr>
        <w:rFonts w:hint="default"/>
      </w:rPr>
    </w:lvl>
    <w:lvl w:ilvl="7">
      <w:start w:val="0"/>
      <w:numFmt w:val="bullet"/>
      <w:lvlText w:val="•"/>
      <w:lvlJc w:val="left"/>
      <w:pPr>
        <w:ind w:left="6726" w:hanging="793"/>
      </w:pPr>
      <w:rPr>
        <w:rFonts w:hint="default"/>
      </w:rPr>
    </w:lvl>
    <w:lvl w:ilvl="8">
      <w:start w:val="0"/>
      <w:numFmt w:val="bullet"/>
      <w:lvlText w:val="•"/>
      <w:lvlJc w:val="left"/>
      <w:pPr>
        <w:ind w:left="7664" w:hanging="793"/>
      </w:pPr>
      <w:rPr>
        <w:rFonts w:hint="default"/>
      </w:rPr>
    </w:lvl>
  </w:abstractNum>
  <w:abstractNum w:abstractNumId="1">
    <w:nsid w:val="008A0A39"/>
    <w:multiLevelType w:val="hybridMultilevel"/>
    <w:tmpl w:val="00000000"/>
    <w:lvl w:ilvl="0">
      <w:start w:val="1"/>
      <w:numFmt w:val="decimal"/>
      <w:lvlText w:val="（%1）"/>
      <w:lvlJc w:val="left"/>
      <w:pPr>
        <w:ind w:left="114" w:hanging="991"/>
        <w:jc w:val="left"/>
      </w:pPr>
      <w:rPr>
        <w:rFonts w:ascii="宋体" w:eastAsia="宋体" w:hAnsi="宋体" w:cs="宋体" w:hint="default"/>
        <w:w w:val="102"/>
        <w:sz w:val="31"/>
        <w:szCs w:val="31"/>
      </w:rPr>
    </w:lvl>
    <w:lvl w:ilvl="1">
      <w:start w:val="0"/>
      <w:numFmt w:val="bullet"/>
      <w:lvlText w:val="•"/>
      <w:lvlJc w:val="left"/>
      <w:pPr>
        <w:ind w:left="1057" w:hanging="991"/>
      </w:pPr>
      <w:rPr>
        <w:rFonts w:hint="default"/>
      </w:rPr>
    </w:lvl>
    <w:lvl w:ilvl="2">
      <w:start w:val="0"/>
      <w:numFmt w:val="bullet"/>
      <w:lvlText w:val="•"/>
      <w:lvlJc w:val="left"/>
      <w:pPr>
        <w:ind w:left="1995" w:hanging="991"/>
      </w:pPr>
      <w:rPr>
        <w:rFonts w:hint="default"/>
      </w:rPr>
    </w:lvl>
    <w:lvl w:ilvl="3">
      <w:start w:val="0"/>
      <w:numFmt w:val="bullet"/>
      <w:lvlText w:val="•"/>
      <w:lvlJc w:val="left"/>
      <w:pPr>
        <w:ind w:left="2933" w:hanging="991"/>
      </w:pPr>
      <w:rPr>
        <w:rFonts w:hint="default"/>
      </w:rPr>
    </w:lvl>
    <w:lvl w:ilvl="4">
      <w:start w:val="0"/>
      <w:numFmt w:val="bullet"/>
      <w:lvlText w:val="•"/>
      <w:lvlJc w:val="left"/>
      <w:pPr>
        <w:ind w:left="3870" w:hanging="991"/>
      </w:pPr>
      <w:rPr>
        <w:rFonts w:hint="default"/>
      </w:rPr>
    </w:lvl>
    <w:lvl w:ilvl="5">
      <w:start w:val="0"/>
      <w:numFmt w:val="bullet"/>
      <w:lvlText w:val="•"/>
      <w:lvlJc w:val="left"/>
      <w:pPr>
        <w:ind w:left="4808" w:hanging="991"/>
      </w:pPr>
      <w:rPr>
        <w:rFonts w:hint="default"/>
      </w:rPr>
    </w:lvl>
    <w:lvl w:ilvl="6">
      <w:start w:val="0"/>
      <w:numFmt w:val="bullet"/>
      <w:lvlText w:val="•"/>
      <w:lvlJc w:val="left"/>
      <w:pPr>
        <w:ind w:left="5746" w:hanging="991"/>
      </w:pPr>
      <w:rPr>
        <w:rFonts w:hint="default"/>
      </w:rPr>
    </w:lvl>
    <w:lvl w:ilvl="7">
      <w:start w:val="0"/>
      <w:numFmt w:val="bullet"/>
      <w:lvlText w:val="•"/>
      <w:lvlJc w:val="left"/>
      <w:pPr>
        <w:ind w:left="6683" w:hanging="991"/>
      </w:pPr>
      <w:rPr>
        <w:rFonts w:hint="default"/>
      </w:rPr>
    </w:lvl>
    <w:lvl w:ilvl="8">
      <w:start w:val="0"/>
      <w:numFmt w:val="bullet"/>
      <w:lvlText w:val="•"/>
      <w:lvlJc w:val="left"/>
      <w:pPr>
        <w:ind w:left="7621" w:hanging="991"/>
      </w:pPr>
      <w:rPr>
        <w:rFonts w:hint="default"/>
      </w:rPr>
    </w:lvl>
  </w:abstractNum>
  <w:abstractNum w:abstractNumId="2">
    <w:nsid w:val="019FD76A"/>
    <w:multiLevelType w:val="hybridMultilevel"/>
    <w:tmpl w:val="00000000"/>
    <w:lvl w:ilvl="0">
      <w:start w:val="1"/>
      <w:numFmt w:val="decimal"/>
      <w:lvlText w:val="（%1）"/>
      <w:lvlJc w:val="left"/>
      <w:pPr>
        <w:ind w:left="158" w:hanging="793"/>
        <w:jc w:val="left"/>
      </w:pPr>
      <w:rPr>
        <w:rFonts w:ascii="宋体" w:eastAsia="宋体" w:hAnsi="宋体" w:cs="宋体" w:hint="default"/>
        <w:w w:val="102"/>
        <w:sz w:val="29"/>
        <w:szCs w:val="29"/>
      </w:rPr>
    </w:lvl>
    <w:lvl w:ilvl="1">
      <w:start w:val="2"/>
      <w:numFmt w:val="decimal"/>
      <w:lvlText w:val="（%2）"/>
      <w:lvlJc w:val="left"/>
      <w:pPr>
        <w:ind w:left="158" w:hanging="793"/>
        <w:jc w:val="left"/>
      </w:pPr>
      <w:rPr>
        <w:rFonts w:ascii="宋体" w:eastAsia="宋体" w:hAnsi="宋体" w:cs="宋体" w:hint="default"/>
        <w:w w:val="102"/>
        <w:sz w:val="29"/>
        <w:szCs w:val="29"/>
      </w:rPr>
    </w:lvl>
    <w:lvl w:ilvl="2">
      <w:start w:val="0"/>
      <w:numFmt w:val="bullet"/>
      <w:lvlText w:val="•"/>
      <w:lvlJc w:val="left"/>
      <w:pPr>
        <w:ind w:left="2036" w:hanging="793"/>
      </w:pPr>
      <w:rPr>
        <w:rFonts w:hint="default"/>
      </w:rPr>
    </w:lvl>
    <w:lvl w:ilvl="3">
      <w:start w:val="0"/>
      <w:numFmt w:val="bullet"/>
      <w:lvlText w:val="•"/>
      <w:lvlJc w:val="left"/>
      <w:pPr>
        <w:ind w:left="2975" w:hanging="793"/>
      </w:pPr>
      <w:rPr>
        <w:rFonts w:hint="default"/>
      </w:rPr>
    </w:lvl>
    <w:lvl w:ilvl="4">
      <w:start w:val="0"/>
      <w:numFmt w:val="bullet"/>
      <w:lvlText w:val="•"/>
      <w:lvlJc w:val="left"/>
      <w:pPr>
        <w:ind w:left="3913" w:hanging="793"/>
      </w:pPr>
      <w:rPr>
        <w:rFonts w:hint="default"/>
      </w:rPr>
    </w:lvl>
    <w:lvl w:ilvl="5">
      <w:start w:val="0"/>
      <w:numFmt w:val="bullet"/>
      <w:lvlText w:val="•"/>
      <w:lvlJc w:val="left"/>
      <w:pPr>
        <w:ind w:left="4851" w:hanging="793"/>
      </w:pPr>
      <w:rPr>
        <w:rFonts w:hint="default"/>
      </w:rPr>
    </w:lvl>
    <w:lvl w:ilvl="6">
      <w:start w:val="0"/>
      <w:numFmt w:val="bullet"/>
      <w:lvlText w:val="•"/>
      <w:lvlJc w:val="left"/>
      <w:pPr>
        <w:ind w:left="5790" w:hanging="793"/>
      </w:pPr>
      <w:rPr>
        <w:rFonts w:hint="default"/>
      </w:rPr>
    </w:lvl>
    <w:lvl w:ilvl="7">
      <w:start w:val="0"/>
      <w:numFmt w:val="bullet"/>
      <w:lvlText w:val="•"/>
      <w:lvlJc w:val="left"/>
      <w:pPr>
        <w:ind w:left="6728" w:hanging="793"/>
      </w:pPr>
      <w:rPr>
        <w:rFonts w:hint="default"/>
      </w:rPr>
    </w:lvl>
    <w:lvl w:ilvl="8">
      <w:start w:val="0"/>
      <w:numFmt w:val="bullet"/>
      <w:lvlText w:val="•"/>
      <w:lvlJc w:val="left"/>
      <w:pPr>
        <w:ind w:left="7666" w:hanging="793"/>
      </w:pPr>
      <w:rPr>
        <w:rFonts w:hint="default"/>
      </w:rPr>
    </w:lvl>
  </w:abstractNum>
  <w:abstractNum w:abstractNumId="3">
    <w:nsid w:val="01A1ED25"/>
    <w:multiLevelType w:val="hybridMultilevel"/>
    <w:tmpl w:val="00000000"/>
    <w:lvl w:ilvl="0">
      <w:start w:val="1"/>
      <w:numFmt w:val="decimal"/>
      <w:lvlText w:val="（%1）"/>
      <w:lvlJc w:val="left"/>
      <w:pPr>
        <w:ind w:left="420" w:hanging="829"/>
        <w:jc w:val="left"/>
      </w:pPr>
      <w:rPr>
        <w:rFonts w:ascii="宋体" w:eastAsia="宋体" w:hAnsi="宋体" w:cs="宋体" w:hint="default"/>
        <w:spacing w:val="-166"/>
        <w:w w:val="90"/>
        <w:sz w:val="31"/>
        <w:szCs w:val="31"/>
      </w:rPr>
    </w:lvl>
    <w:lvl w:ilvl="1">
      <w:start w:val="0"/>
      <w:numFmt w:val="bullet"/>
      <w:lvlText w:val="•"/>
      <w:lvlJc w:val="left"/>
      <w:pPr>
        <w:ind w:left="1713" w:hanging="829"/>
      </w:pPr>
      <w:rPr>
        <w:rFonts w:hint="default"/>
      </w:rPr>
    </w:lvl>
    <w:lvl w:ilvl="2">
      <w:start w:val="0"/>
      <w:numFmt w:val="bullet"/>
      <w:lvlText w:val="•"/>
      <w:lvlJc w:val="left"/>
      <w:pPr>
        <w:ind w:left="3007" w:hanging="829"/>
      </w:pPr>
      <w:rPr>
        <w:rFonts w:hint="default"/>
      </w:rPr>
    </w:lvl>
    <w:lvl w:ilvl="3">
      <w:start w:val="0"/>
      <w:numFmt w:val="bullet"/>
      <w:lvlText w:val="•"/>
      <w:lvlJc w:val="left"/>
      <w:pPr>
        <w:ind w:left="4301" w:hanging="829"/>
      </w:pPr>
      <w:rPr>
        <w:rFonts w:hint="default"/>
      </w:rPr>
    </w:lvl>
    <w:lvl w:ilvl="4">
      <w:start w:val="0"/>
      <w:numFmt w:val="bullet"/>
      <w:lvlText w:val="•"/>
      <w:lvlJc w:val="left"/>
      <w:pPr>
        <w:ind w:left="5595" w:hanging="829"/>
      </w:pPr>
      <w:rPr>
        <w:rFonts w:hint="default"/>
      </w:rPr>
    </w:lvl>
    <w:lvl w:ilvl="5">
      <w:start w:val="0"/>
      <w:numFmt w:val="bullet"/>
      <w:lvlText w:val="•"/>
      <w:lvlJc w:val="left"/>
      <w:pPr>
        <w:ind w:left="6889" w:hanging="829"/>
      </w:pPr>
      <w:rPr>
        <w:rFonts w:hint="default"/>
      </w:rPr>
    </w:lvl>
    <w:lvl w:ilvl="6">
      <w:start w:val="0"/>
      <w:numFmt w:val="bullet"/>
      <w:lvlText w:val="•"/>
      <w:lvlJc w:val="left"/>
      <w:pPr>
        <w:ind w:left="8183" w:hanging="829"/>
      </w:pPr>
      <w:rPr>
        <w:rFonts w:hint="default"/>
      </w:rPr>
    </w:lvl>
    <w:lvl w:ilvl="7">
      <w:start w:val="0"/>
      <w:numFmt w:val="bullet"/>
      <w:lvlText w:val="•"/>
      <w:lvlJc w:val="left"/>
      <w:pPr>
        <w:ind w:left="9477" w:hanging="829"/>
      </w:pPr>
      <w:rPr>
        <w:rFonts w:hint="default"/>
      </w:rPr>
    </w:lvl>
    <w:lvl w:ilvl="8">
      <w:start w:val="0"/>
      <w:numFmt w:val="bullet"/>
      <w:lvlText w:val="•"/>
      <w:lvlJc w:val="left"/>
      <w:pPr>
        <w:ind w:left="10771" w:hanging="829"/>
      </w:pPr>
      <w:rPr>
        <w:rFonts w:hint="default"/>
      </w:rPr>
    </w:lvl>
  </w:abstractNum>
  <w:abstractNum w:abstractNumId="4">
    <w:nsid w:val="06379CD3"/>
    <w:multiLevelType w:val="hybridMultilevel"/>
    <w:tmpl w:val="00000000"/>
    <w:lvl w:ilvl="0">
      <w:start w:val="0"/>
      <w:numFmt w:val="decimal"/>
      <w:lvlText w:val="%1"/>
      <w:lvlJc w:val="left"/>
      <w:pPr>
        <w:ind w:left="1022" w:hanging="710"/>
        <w:jc w:val="left"/>
      </w:pPr>
      <w:rPr>
        <w:rFonts w:hint="default"/>
      </w:rPr>
    </w:lvl>
    <w:lvl w:ilvl="1">
      <w:start w:val="1"/>
      <w:numFmt w:val="decimalZero"/>
      <w:lvlText w:val="%1.%2"/>
      <w:lvlJc w:val="left"/>
      <w:pPr>
        <w:ind w:left="1022" w:hanging="710"/>
        <w:jc w:val="left"/>
      </w:pPr>
      <w:rPr>
        <w:rFonts w:ascii="宋体" w:eastAsia="宋体" w:hAnsi="宋体" w:cs="宋体" w:hint="default"/>
        <w:w w:val="102"/>
        <w:sz w:val="31"/>
        <w:szCs w:val="31"/>
      </w:rPr>
    </w:lvl>
    <w:lvl w:ilvl="2">
      <w:start w:val="1"/>
      <w:numFmt w:val="decimal"/>
      <w:lvlText w:val="（%3）"/>
      <w:lvlJc w:val="left"/>
      <w:pPr>
        <w:ind w:left="1104" w:hanging="793"/>
        <w:jc w:val="right"/>
      </w:pPr>
      <w:rPr>
        <w:rFonts w:ascii="宋体" w:eastAsia="宋体" w:hAnsi="宋体" w:cs="宋体" w:hint="default"/>
        <w:w w:val="102"/>
        <w:sz w:val="29"/>
        <w:szCs w:val="29"/>
      </w:rPr>
    </w:lvl>
    <w:lvl w:ilvl="3">
      <w:start w:val="0"/>
      <w:numFmt w:val="bullet"/>
      <w:lvlText w:val="•"/>
      <w:lvlJc w:val="left"/>
      <w:pPr>
        <w:ind w:left="2976" w:hanging="793"/>
      </w:pPr>
      <w:rPr>
        <w:rFonts w:hint="default"/>
      </w:rPr>
    </w:lvl>
    <w:lvl w:ilvl="4">
      <w:start w:val="0"/>
      <w:numFmt w:val="bullet"/>
      <w:lvlText w:val="•"/>
      <w:lvlJc w:val="left"/>
      <w:pPr>
        <w:ind w:left="3914" w:hanging="793"/>
      </w:pPr>
      <w:rPr>
        <w:rFonts w:hint="default"/>
      </w:rPr>
    </w:lvl>
    <w:lvl w:ilvl="5">
      <w:start w:val="0"/>
      <w:numFmt w:val="bullet"/>
      <w:lvlText w:val="•"/>
      <w:lvlJc w:val="left"/>
      <w:pPr>
        <w:ind w:left="4852" w:hanging="793"/>
      </w:pPr>
      <w:rPr>
        <w:rFonts w:hint="default"/>
      </w:rPr>
    </w:lvl>
    <w:lvl w:ilvl="6">
      <w:start w:val="0"/>
      <w:numFmt w:val="bullet"/>
      <w:lvlText w:val="•"/>
      <w:lvlJc w:val="left"/>
      <w:pPr>
        <w:ind w:left="5790" w:hanging="793"/>
      </w:pPr>
      <w:rPr>
        <w:rFonts w:hint="default"/>
      </w:rPr>
    </w:lvl>
    <w:lvl w:ilvl="7">
      <w:start w:val="0"/>
      <w:numFmt w:val="bullet"/>
      <w:lvlText w:val="•"/>
      <w:lvlJc w:val="left"/>
      <w:pPr>
        <w:ind w:left="6729" w:hanging="793"/>
      </w:pPr>
      <w:rPr>
        <w:rFonts w:hint="default"/>
      </w:rPr>
    </w:lvl>
    <w:lvl w:ilvl="8">
      <w:start w:val="0"/>
      <w:numFmt w:val="bullet"/>
      <w:lvlText w:val="•"/>
      <w:lvlJc w:val="left"/>
      <w:pPr>
        <w:ind w:left="7667" w:hanging="793"/>
      </w:pPr>
      <w:rPr>
        <w:rFonts w:hint="default"/>
      </w:rPr>
    </w:lvl>
  </w:abstractNum>
  <w:abstractNum w:abstractNumId="5">
    <w:nsid w:val="07A043FA"/>
    <w:multiLevelType w:val="hybridMultilevel"/>
    <w:tmpl w:val="00000000"/>
    <w:lvl w:ilvl="0">
      <w:start w:val="1"/>
      <w:numFmt w:val="decimal"/>
      <w:lvlText w:val="（%1）"/>
      <w:lvlJc w:val="left"/>
      <w:pPr>
        <w:ind w:left="1608" w:hanging="793"/>
        <w:jc w:val="right"/>
      </w:pPr>
      <w:rPr>
        <w:rFonts w:ascii="宋体" w:eastAsia="宋体" w:hAnsi="宋体" w:cs="宋体" w:hint="default"/>
        <w:w w:val="102"/>
        <w:sz w:val="29"/>
        <w:szCs w:val="29"/>
      </w:rPr>
    </w:lvl>
    <w:lvl w:ilvl="1">
      <w:start w:val="0"/>
      <w:numFmt w:val="bullet"/>
      <w:lvlText w:val="•"/>
      <w:lvlJc w:val="left"/>
      <w:pPr>
        <w:ind w:left="2775" w:hanging="793"/>
      </w:pPr>
      <w:rPr>
        <w:rFonts w:hint="default"/>
      </w:rPr>
    </w:lvl>
    <w:lvl w:ilvl="2">
      <w:start w:val="0"/>
      <w:numFmt w:val="bullet"/>
      <w:lvlText w:val="•"/>
      <w:lvlJc w:val="left"/>
      <w:pPr>
        <w:ind w:left="3951" w:hanging="793"/>
      </w:pPr>
      <w:rPr>
        <w:rFonts w:hint="default"/>
      </w:rPr>
    </w:lvl>
    <w:lvl w:ilvl="3">
      <w:start w:val="0"/>
      <w:numFmt w:val="bullet"/>
      <w:lvlText w:val="•"/>
      <w:lvlJc w:val="left"/>
      <w:pPr>
        <w:ind w:left="5127" w:hanging="793"/>
      </w:pPr>
      <w:rPr>
        <w:rFonts w:hint="default"/>
      </w:rPr>
    </w:lvl>
    <w:lvl w:ilvl="4">
      <w:start w:val="0"/>
      <w:numFmt w:val="bullet"/>
      <w:lvlText w:val="•"/>
      <w:lvlJc w:val="left"/>
      <w:pPr>
        <w:ind w:left="6303" w:hanging="793"/>
      </w:pPr>
      <w:rPr>
        <w:rFonts w:hint="default"/>
      </w:rPr>
    </w:lvl>
    <w:lvl w:ilvl="5">
      <w:start w:val="0"/>
      <w:numFmt w:val="bullet"/>
      <w:lvlText w:val="•"/>
      <w:lvlJc w:val="left"/>
      <w:pPr>
        <w:ind w:left="7479" w:hanging="793"/>
      </w:pPr>
      <w:rPr>
        <w:rFonts w:hint="default"/>
      </w:rPr>
    </w:lvl>
    <w:lvl w:ilvl="6">
      <w:start w:val="0"/>
      <w:numFmt w:val="bullet"/>
      <w:lvlText w:val="•"/>
      <w:lvlJc w:val="left"/>
      <w:pPr>
        <w:ind w:left="8655" w:hanging="793"/>
      </w:pPr>
      <w:rPr>
        <w:rFonts w:hint="default"/>
      </w:rPr>
    </w:lvl>
    <w:lvl w:ilvl="7">
      <w:start w:val="0"/>
      <w:numFmt w:val="bullet"/>
      <w:lvlText w:val="•"/>
      <w:lvlJc w:val="left"/>
      <w:pPr>
        <w:ind w:left="9831" w:hanging="793"/>
      </w:pPr>
      <w:rPr>
        <w:rFonts w:hint="default"/>
      </w:rPr>
    </w:lvl>
    <w:lvl w:ilvl="8">
      <w:start w:val="0"/>
      <w:numFmt w:val="bullet"/>
      <w:lvlText w:val="•"/>
      <w:lvlJc w:val="left"/>
      <w:pPr>
        <w:ind w:left="11007" w:hanging="793"/>
      </w:pPr>
      <w:rPr>
        <w:rFonts w:hint="default"/>
      </w:rPr>
    </w:lvl>
  </w:abstractNum>
  <w:abstractNum w:abstractNumId="6">
    <w:nsid w:val="091A9E23"/>
    <w:multiLevelType w:val="hybridMultilevel"/>
    <w:tmpl w:val="00000000"/>
    <w:lvl w:ilvl="0">
      <w:start w:val="1"/>
      <w:numFmt w:val="decimal"/>
      <w:lvlText w:val="（%1）"/>
      <w:lvlJc w:val="left"/>
      <w:pPr>
        <w:ind w:left="420" w:hanging="793"/>
        <w:jc w:val="left"/>
      </w:pPr>
      <w:rPr>
        <w:rFonts w:ascii="宋体" w:eastAsia="宋体" w:hAnsi="宋体" w:cs="宋体" w:hint="default"/>
        <w:w w:val="102"/>
        <w:sz w:val="29"/>
        <w:szCs w:val="29"/>
      </w:rPr>
    </w:lvl>
    <w:lvl w:ilvl="1">
      <w:start w:val="0"/>
      <w:numFmt w:val="bullet"/>
      <w:lvlText w:val="•"/>
      <w:lvlJc w:val="left"/>
      <w:pPr>
        <w:ind w:left="1713" w:hanging="793"/>
      </w:pPr>
      <w:rPr>
        <w:rFonts w:hint="default"/>
      </w:rPr>
    </w:lvl>
    <w:lvl w:ilvl="2">
      <w:start w:val="0"/>
      <w:numFmt w:val="bullet"/>
      <w:lvlText w:val="•"/>
      <w:lvlJc w:val="left"/>
      <w:pPr>
        <w:ind w:left="3007" w:hanging="793"/>
      </w:pPr>
      <w:rPr>
        <w:rFonts w:hint="default"/>
      </w:rPr>
    </w:lvl>
    <w:lvl w:ilvl="3">
      <w:start w:val="0"/>
      <w:numFmt w:val="bullet"/>
      <w:lvlText w:val="•"/>
      <w:lvlJc w:val="left"/>
      <w:pPr>
        <w:ind w:left="4301" w:hanging="793"/>
      </w:pPr>
      <w:rPr>
        <w:rFonts w:hint="default"/>
      </w:rPr>
    </w:lvl>
    <w:lvl w:ilvl="4">
      <w:start w:val="0"/>
      <w:numFmt w:val="bullet"/>
      <w:lvlText w:val="•"/>
      <w:lvlJc w:val="left"/>
      <w:pPr>
        <w:ind w:left="5595" w:hanging="793"/>
      </w:pPr>
      <w:rPr>
        <w:rFonts w:hint="default"/>
      </w:rPr>
    </w:lvl>
    <w:lvl w:ilvl="5">
      <w:start w:val="0"/>
      <w:numFmt w:val="bullet"/>
      <w:lvlText w:val="•"/>
      <w:lvlJc w:val="left"/>
      <w:pPr>
        <w:ind w:left="6889" w:hanging="793"/>
      </w:pPr>
      <w:rPr>
        <w:rFonts w:hint="default"/>
      </w:rPr>
    </w:lvl>
    <w:lvl w:ilvl="6">
      <w:start w:val="0"/>
      <w:numFmt w:val="bullet"/>
      <w:lvlText w:val="•"/>
      <w:lvlJc w:val="left"/>
      <w:pPr>
        <w:ind w:left="8183" w:hanging="793"/>
      </w:pPr>
      <w:rPr>
        <w:rFonts w:hint="default"/>
      </w:rPr>
    </w:lvl>
    <w:lvl w:ilvl="7">
      <w:start w:val="0"/>
      <w:numFmt w:val="bullet"/>
      <w:lvlText w:val="•"/>
      <w:lvlJc w:val="left"/>
      <w:pPr>
        <w:ind w:left="9477" w:hanging="793"/>
      </w:pPr>
      <w:rPr>
        <w:rFonts w:hint="default"/>
      </w:rPr>
    </w:lvl>
    <w:lvl w:ilvl="8">
      <w:start w:val="0"/>
      <w:numFmt w:val="bullet"/>
      <w:lvlText w:val="•"/>
      <w:lvlJc w:val="left"/>
      <w:pPr>
        <w:ind w:left="10771" w:hanging="793"/>
      </w:pPr>
      <w:rPr>
        <w:rFonts w:hint="default"/>
      </w:rPr>
    </w:lvl>
  </w:abstractNum>
  <w:abstractNum w:abstractNumId="7">
    <w:nsid w:val="0CEBB906"/>
    <w:multiLevelType w:val="hybridMultilevel"/>
    <w:tmpl w:val="00000000"/>
    <w:lvl w:ilvl="0">
      <w:start w:val="2"/>
      <w:numFmt w:val="decimal"/>
      <w:lvlText w:val="（%1）"/>
      <w:lvlJc w:val="left"/>
      <w:pPr>
        <w:ind w:left="1799" w:hanging="815"/>
        <w:jc w:val="left"/>
      </w:pPr>
      <w:rPr>
        <w:rFonts w:ascii="宋体" w:eastAsia="宋体" w:hAnsi="宋体" w:cs="宋体" w:hint="default"/>
        <w:spacing w:val="0"/>
        <w:w w:val="102"/>
        <w:sz w:val="29"/>
        <w:szCs w:val="29"/>
      </w:rPr>
    </w:lvl>
    <w:lvl w:ilvl="1">
      <w:start w:val="0"/>
      <w:numFmt w:val="bullet"/>
      <w:lvlText w:val="•"/>
      <w:lvlJc w:val="left"/>
      <w:pPr>
        <w:ind w:left="2808" w:hanging="815"/>
      </w:pPr>
      <w:rPr>
        <w:rFonts w:hint="default"/>
      </w:rPr>
    </w:lvl>
    <w:lvl w:ilvl="2">
      <w:start w:val="0"/>
      <w:numFmt w:val="bullet"/>
      <w:lvlText w:val="•"/>
      <w:lvlJc w:val="left"/>
      <w:pPr>
        <w:ind w:left="3816" w:hanging="815"/>
      </w:pPr>
      <w:rPr>
        <w:rFonts w:hint="default"/>
      </w:rPr>
    </w:lvl>
    <w:lvl w:ilvl="3">
      <w:start w:val="0"/>
      <w:numFmt w:val="bullet"/>
      <w:lvlText w:val="•"/>
      <w:lvlJc w:val="left"/>
      <w:pPr>
        <w:ind w:left="4825" w:hanging="815"/>
      </w:pPr>
      <w:rPr>
        <w:rFonts w:hint="default"/>
      </w:rPr>
    </w:lvl>
    <w:lvl w:ilvl="4">
      <w:start w:val="0"/>
      <w:numFmt w:val="bullet"/>
      <w:lvlText w:val="•"/>
      <w:lvlJc w:val="left"/>
      <w:pPr>
        <w:ind w:left="5833" w:hanging="815"/>
      </w:pPr>
      <w:rPr>
        <w:rFonts w:hint="default"/>
      </w:rPr>
    </w:lvl>
    <w:lvl w:ilvl="5">
      <w:start w:val="0"/>
      <w:numFmt w:val="bullet"/>
      <w:lvlText w:val="•"/>
      <w:lvlJc w:val="left"/>
      <w:pPr>
        <w:ind w:left="6841" w:hanging="815"/>
      </w:pPr>
      <w:rPr>
        <w:rFonts w:hint="default"/>
      </w:rPr>
    </w:lvl>
    <w:lvl w:ilvl="6">
      <w:start w:val="0"/>
      <w:numFmt w:val="bullet"/>
      <w:lvlText w:val="•"/>
      <w:lvlJc w:val="left"/>
      <w:pPr>
        <w:ind w:left="7850" w:hanging="815"/>
      </w:pPr>
      <w:rPr>
        <w:rFonts w:hint="default"/>
      </w:rPr>
    </w:lvl>
    <w:lvl w:ilvl="7">
      <w:start w:val="0"/>
      <w:numFmt w:val="bullet"/>
      <w:lvlText w:val="•"/>
      <w:lvlJc w:val="left"/>
      <w:pPr>
        <w:ind w:left="8858" w:hanging="815"/>
      </w:pPr>
      <w:rPr>
        <w:rFonts w:hint="default"/>
      </w:rPr>
    </w:lvl>
    <w:lvl w:ilvl="8">
      <w:start w:val="0"/>
      <w:numFmt w:val="bullet"/>
      <w:lvlText w:val="•"/>
      <w:lvlJc w:val="left"/>
      <w:pPr>
        <w:ind w:left="9867" w:hanging="815"/>
      </w:pPr>
      <w:rPr>
        <w:rFonts w:hint="default"/>
      </w:rPr>
    </w:lvl>
  </w:abstractNum>
  <w:abstractNum w:abstractNumId="8">
    <w:nsid w:val="0D60D962"/>
    <w:multiLevelType w:val="hybridMultilevel"/>
    <w:tmpl w:val="00000000"/>
    <w:lvl w:ilvl="0">
      <w:start w:val="1"/>
      <w:numFmt w:val="decimal"/>
      <w:lvlText w:val="（%1）"/>
      <w:lvlJc w:val="left"/>
      <w:pPr>
        <w:ind w:left="1019" w:hanging="793"/>
        <w:jc w:val="left"/>
      </w:pPr>
      <w:rPr>
        <w:rFonts w:ascii="宋体" w:eastAsia="宋体" w:hAnsi="宋体" w:cs="宋体" w:hint="default"/>
        <w:w w:val="102"/>
        <w:sz w:val="29"/>
        <w:szCs w:val="29"/>
      </w:rPr>
    </w:lvl>
    <w:lvl w:ilvl="1">
      <w:start w:val="0"/>
      <w:numFmt w:val="bullet"/>
      <w:lvlText w:val="•"/>
      <w:lvlJc w:val="left"/>
      <w:pPr>
        <w:ind w:left="1609" w:hanging="793"/>
      </w:pPr>
      <w:rPr>
        <w:rFonts w:hint="default"/>
      </w:rPr>
    </w:lvl>
    <w:lvl w:ilvl="2">
      <w:start w:val="0"/>
      <w:numFmt w:val="bullet"/>
      <w:lvlText w:val="•"/>
      <w:lvlJc w:val="left"/>
      <w:pPr>
        <w:ind w:left="2199" w:hanging="793"/>
      </w:pPr>
      <w:rPr>
        <w:rFonts w:hint="default"/>
      </w:rPr>
    </w:lvl>
    <w:lvl w:ilvl="3">
      <w:start w:val="0"/>
      <w:numFmt w:val="bullet"/>
      <w:lvlText w:val="•"/>
      <w:lvlJc w:val="left"/>
      <w:pPr>
        <w:ind w:left="2788" w:hanging="793"/>
      </w:pPr>
      <w:rPr>
        <w:rFonts w:hint="default"/>
      </w:rPr>
    </w:lvl>
    <w:lvl w:ilvl="4">
      <w:start w:val="0"/>
      <w:numFmt w:val="bullet"/>
      <w:lvlText w:val="•"/>
      <w:lvlJc w:val="left"/>
      <w:pPr>
        <w:ind w:left="3378" w:hanging="793"/>
      </w:pPr>
      <w:rPr>
        <w:rFonts w:hint="default"/>
      </w:rPr>
    </w:lvl>
    <w:lvl w:ilvl="5">
      <w:start w:val="0"/>
      <w:numFmt w:val="bullet"/>
      <w:lvlText w:val="•"/>
      <w:lvlJc w:val="left"/>
      <w:pPr>
        <w:ind w:left="3967" w:hanging="793"/>
      </w:pPr>
      <w:rPr>
        <w:rFonts w:hint="default"/>
      </w:rPr>
    </w:lvl>
    <w:lvl w:ilvl="6">
      <w:start w:val="0"/>
      <w:numFmt w:val="bullet"/>
      <w:lvlText w:val="•"/>
      <w:lvlJc w:val="left"/>
      <w:pPr>
        <w:ind w:left="4557" w:hanging="793"/>
      </w:pPr>
      <w:rPr>
        <w:rFonts w:hint="default"/>
      </w:rPr>
    </w:lvl>
    <w:lvl w:ilvl="7">
      <w:start w:val="0"/>
      <w:numFmt w:val="bullet"/>
      <w:lvlText w:val="•"/>
      <w:lvlJc w:val="left"/>
      <w:pPr>
        <w:ind w:left="5146" w:hanging="793"/>
      </w:pPr>
      <w:rPr>
        <w:rFonts w:hint="default"/>
      </w:rPr>
    </w:lvl>
    <w:lvl w:ilvl="8">
      <w:start w:val="0"/>
      <w:numFmt w:val="bullet"/>
      <w:lvlText w:val="•"/>
      <w:lvlJc w:val="left"/>
      <w:pPr>
        <w:ind w:left="5736" w:hanging="793"/>
      </w:pPr>
      <w:rPr>
        <w:rFonts w:hint="default"/>
      </w:rPr>
    </w:lvl>
  </w:abstractNum>
  <w:abstractNum w:abstractNumId="9">
    <w:nsid w:val="141316B3"/>
    <w:multiLevelType w:val="hybridMultilevel"/>
    <w:tmpl w:val="00000000"/>
    <w:lvl w:ilvl="0">
      <w:start w:val="1"/>
      <w:numFmt w:val="decimal"/>
      <w:lvlText w:val="（%1）"/>
      <w:lvlJc w:val="left"/>
      <w:pPr>
        <w:ind w:left="968" w:hanging="793"/>
        <w:jc w:val="left"/>
      </w:pPr>
      <w:rPr>
        <w:rFonts w:ascii="宋体" w:eastAsia="宋体" w:hAnsi="宋体" w:cs="宋体" w:hint="default"/>
        <w:w w:val="102"/>
        <w:sz w:val="29"/>
        <w:szCs w:val="29"/>
      </w:rPr>
    </w:lvl>
    <w:lvl w:ilvl="1">
      <w:start w:val="2"/>
      <w:numFmt w:val="decimal"/>
      <w:lvlText w:val="（%2）"/>
      <w:lvlJc w:val="left"/>
      <w:pPr>
        <w:ind w:left="1752" w:hanging="965"/>
        <w:jc w:val="left"/>
      </w:pPr>
      <w:rPr>
        <w:rFonts w:ascii="宋体" w:eastAsia="宋体" w:hAnsi="宋体" w:cs="宋体" w:hint="default"/>
        <w:spacing w:val="0"/>
        <w:w w:val="102"/>
        <w:sz w:val="31"/>
        <w:szCs w:val="31"/>
      </w:rPr>
    </w:lvl>
    <w:lvl w:ilvl="2">
      <w:start w:val="0"/>
      <w:numFmt w:val="bullet"/>
      <w:lvlText w:val="•"/>
      <w:lvlJc w:val="left"/>
      <w:pPr>
        <w:ind w:left="2624" w:hanging="965"/>
      </w:pPr>
      <w:rPr>
        <w:rFonts w:hint="default"/>
      </w:rPr>
    </w:lvl>
    <w:lvl w:ilvl="3">
      <w:start w:val="0"/>
      <w:numFmt w:val="bullet"/>
      <w:lvlText w:val="•"/>
      <w:lvlJc w:val="left"/>
      <w:pPr>
        <w:ind w:left="3488" w:hanging="965"/>
      </w:pPr>
      <w:rPr>
        <w:rFonts w:hint="default"/>
      </w:rPr>
    </w:lvl>
    <w:lvl w:ilvl="4">
      <w:start w:val="0"/>
      <w:numFmt w:val="bullet"/>
      <w:lvlText w:val="•"/>
      <w:lvlJc w:val="left"/>
      <w:pPr>
        <w:ind w:left="4353" w:hanging="965"/>
      </w:pPr>
      <w:rPr>
        <w:rFonts w:hint="default"/>
      </w:rPr>
    </w:lvl>
    <w:lvl w:ilvl="5">
      <w:start w:val="0"/>
      <w:numFmt w:val="bullet"/>
      <w:lvlText w:val="•"/>
      <w:lvlJc w:val="left"/>
      <w:pPr>
        <w:ind w:left="5217" w:hanging="965"/>
      </w:pPr>
      <w:rPr>
        <w:rFonts w:hint="default"/>
      </w:rPr>
    </w:lvl>
    <w:lvl w:ilvl="6">
      <w:start w:val="0"/>
      <w:numFmt w:val="bullet"/>
      <w:lvlText w:val="•"/>
      <w:lvlJc w:val="left"/>
      <w:pPr>
        <w:ind w:left="6082" w:hanging="965"/>
      </w:pPr>
      <w:rPr>
        <w:rFonts w:hint="default"/>
      </w:rPr>
    </w:lvl>
    <w:lvl w:ilvl="7">
      <w:start w:val="0"/>
      <w:numFmt w:val="bullet"/>
      <w:lvlText w:val="•"/>
      <w:lvlJc w:val="left"/>
      <w:pPr>
        <w:ind w:left="6946" w:hanging="965"/>
      </w:pPr>
      <w:rPr>
        <w:rFonts w:hint="default"/>
      </w:rPr>
    </w:lvl>
    <w:lvl w:ilvl="8">
      <w:start w:val="0"/>
      <w:numFmt w:val="bullet"/>
      <w:lvlText w:val="•"/>
      <w:lvlJc w:val="left"/>
      <w:pPr>
        <w:ind w:left="7811" w:hanging="965"/>
      </w:pPr>
      <w:rPr>
        <w:rFonts w:hint="default"/>
      </w:rPr>
    </w:lvl>
  </w:abstractNum>
  <w:abstractNum w:abstractNumId="10">
    <w:nsid w:val="26B4C160"/>
    <w:multiLevelType w:val="hybridMultilevel"/>
    <w:tmpl w:val="00000000"/>
    <w:lvl w:ilvl="0">
      <w:start w:val="1"/>
      <w:numFmt w:val="decimal"/>
      <w:lvlText w:val="（%1）"/>
      <w:lvlJc w:val="left"/>
      <w:pPr>
        <w:ind w:left="1447" w:hanging="793"/>
        <w:jc w:val="left"/>
      </w:pPr>
      <w:rPr>
        <w:rFonts w:ascii="宋体" w:eastAsia="宋体" w:hAnsi="宋体" w:cs="宋体" w:hint="default"/>
        <w:w w:val="102"/>
        <w:sz w:val="29"/>
        <w:szCs w:val="29"/>
      </w:rPr>
    </w:lvl>
    <w:lvl w:ilvl="1">
      <w:start w:val="1"/>
      <w:numFmt w:val="decimal"/>
      <w:lvlText w:val="（%2）"/>
      <w:lvlJc w:val="left"/>
      <w:pPr>
        <w:ind w:left="312" w:hanging="793"/>
        <w:jc w:val="left"/>
      </w:pPr>
      <w:rPr>
        <w:rFonts w:ascii="宋体" w:eastAsia="宋体" w:hAnsi="宋体" w:cs="宋体" w:hint="default"/>
        <w:w w:val="102"/>
        <w:sz w:val="29"/>
        <w:szCs w:val="29"/>
      </w:rPr>
    </w:lvl>
    <w:lvl w:ilvl="2">
      <w:start w:val="0"/>
      <w:numFmt w:val="bullet"/>
      <w:lvlText w:val="•"/>
      <w:lvlJc w:val="left"/>
      <w:pPr>
        <w:ind w:left="2355" w:hanging="793"/>
      </w:pPr>
      <w:rPr>
        <w:rFonts w:hint="default"/>
      </w:rPr>
    </w:lvl>
    <w:lvl w:ilvl="3">
      <w:start w:val="0"/>
      <w:numFmt w:val="bullet"/>
      <w:lvlText w:val="•"/>
      <w:lvlJc w:val="left"/>
      <w:pPr>
        <w:ind w:left="3271" w:hanging="793"/>
      </w:pPr>
      <w:rPr>
        <w:rFonts w:hint="default"/>
      </w:rPr>
    </w:lvl>
    <w:lvl w:ilvl="4">
      <w:start w:val="0"/>
      <w:numFmt w:val="bullet"/>
      <w:lvlText w:val="•"/>
      <w:lvlJc w:val="left"/>
      <w:pPr>
        <w:ind w:left="4187" w:hanging="793"/>
      </w:pPr>
      <w:rPr>
        <w:rFonts w:hint="default"/>
      </w:rPr>
    </w:lvl>
    <w:lvl w:ilvl="5">
      <w:start w:val="0"/>
      <w:numFmt w:val="bullet"/>
      <w:lvlText w:val="•"/>
      <w:lvlJc w:val="left"/>
      <w:pPr>
        <w:ind w:left="5103" w:hanging="793"/>
      </w:pPr>
      <w:rPr>
        <w:rFonts w:hint="default"/>
      </w:rPr>
    </w:lvl>
    <w:lvl w:ilvl="6">
      <w:start w:val="0"/>
      <w:numFmt w:val="bullet"/>
      <w:lvlText w:val="•"/>
      <w:lvlJc w:val="left"/>
      <w:pPr>
        <w:ind w:left="6019" w:hanging="793"/>
      </w:pPr>
      <w:rPr>
        <w:rFonts w:hint="default"/>
      </w:rPr>
    </w:lvl>
    <w:lvl w:ilvl="7">
      <w:start w:val="0"/>
      <w:numFmt w:val="bullet"/>
      <w:lvlText w:val="•"/>
      <w:lvlJc w:val="left"/>
      <w:pPr>
        <w:ind w:left="6935" w:hanging="793"/>
      </w:pPr>
      <w:rPr>
        <w:rFonts w:hint="default"/>
      </w:rPr>
    </w:lvl>
    <w:lvl w:ilvl="8">
      <w:start w:val="0"/>
      <w:numFmt w:val="bullet"/>
      <w:lvlText w:val="•"/>
      <w:lvlJc w:val="left"/>
      <w:pPr>
        <w:ind w:left="7851" w:hanging="793"/>
      </w:pPr>
      <w:rPr>
        <w:rFonts w:hint="default"/>
      </w:rPr>
    </w:lvl>
  </w:abstractNum>
  <w:abstractNum w:abstractNumId="11">
    <w:nsid w:val="2D446B20"/>
    <w:multiLevelType w:val="hybridMultilevel"/>
    <w:tmpl w:val="00000000"/>
    <w:lvl w:ilvl="0">
      <w:start w:val="13"/>
      <w:numFmt w:val="decimal"/>
      <w:lvlText w:val="（%1）"/>
      <w:lvlJc w:val="left"/>
      <w:pPr>
        <w:ind w:left="1739" w:hanging="952"/>
        <w:jc w:val="left"/>
      </w:pPr>
      <w:rPr>
        <w:rFonts w:ascii="宋体" w:eastAsia="宋体" w:hAnsi="宋体" w:cs="宋体" w:hint="default"/>
        <w:w w:val="102"/>
        <w:sz w:val="29"/>
        <w:szCs w:val="29"/>
      </w:rPr>
    </w:lvl>
    <w:lvl w:ilvl="1">
      <w:start w:val="0"/>
      <w:numFmt w:val="bullet"/>
      <w:lvlText w:val="•"/>
      <w:lvlJc w:val="left"/>
      <w:pPr>
        <w:ind w:left="2531" w:hanging="952"/>
      </w:pPr>
      <w:rPr>
        <w:rFonts w:hint="default"/>
      </w:rPr>
    </w:lvl>
    <w:lvl w:ilvl="2">
      <w:start w:val="0"/>
      <w:numFmt w:val="bullet"/>
      <w:lvlText w:val="•"/>
      <w:lvlJc w:val="left"/>
      <w:pPr>
        <w:ind w:left="3322" w:hanging="952"/>
      </w:pPr>
      <w:rPr>
        <w:rFonts w:hint="default"/>
      </w:rPr>
    </w:lvl>
    <w:lvl w:ilvl="3">
      <w:start w:val="0"/>
      <w:numFmt w:val="bullet"/>
      <w:lvlText w:val="•"/>
      <w:lvlJc w:val="left"/>
      <w:pPr>
        <w:ind w:left="4114" w:hanging="952"/>
      </w:pPr>
      <w:rPr>
        <w:rFonts w:hint="default"/>
      </w:rPr>
    </w:lvl>
    <w:lvl w:ilvl="4">
      <w:start w:val="0"/>
      <w:numFmt w:val="bullet"/>
      <w:lvlText w:val="•"/>
      <w:lvlJc w:val="left"/>
      <w:pPr>
        <w:ind w:left="4905" w:hanging="952"/>
      </w:pPr>
      <w:rPr>
        <w:rFonts w:hint="default"/>
      </w:rPr>
    </w:lvl>
    <w:lvl w:ilvl="5">
      <w:start w:val="0"/>
      <w:numFmt w:val="bullet"/>
      <w:lvlText w:val="•"/>
      <w:lvlJc w:val="left"/>
      <w:pPr>
        <w:ind w:left="5697" w:hanging="952"/>
      </w:pPr>
      <w:rPr>
        <w:rFonts w:hint="default"/>
      </w:rPr>
    </w:lvl>
    <w:lvl w:ilvl="6">
      <w:start w:val="0"/>
      <w:numFmt w:val="bullet"/>
      <w:lvlText w:val="•"/>
      <w:lvlJc w:val="left"/>
      <w:pPr>
        <w:ind w:left="6488" w:hanging="952"/>
      </w:pPr>
      <w:rPr>
        <w:rFonts w:hint="default"/>
      </w:rPr>
    </w:lvl>
    <w:lvl w:ilvl="7">
      <w:start w:val="0"/>
      <w:numFmt w:val="bullet"/>
      <w:lvlText w:val="•"/>
      <w:lvlJc w:val="left"/>
      <w:pPr>
        <w:ind w:left="7280" w:hanging="952"/>
      </w:pPr>
      <w:rPr>
        <w:rFonts w:hint="default"/>
      </w:rPr>
    </w:lvl>
    <w:lvl w:ilvl="8">
      <w:start w:val="0"/>
      <w:numFmt w:val="bullet"/>
      <w:lvlText w:val="•"/>
      <w:lvlJc w:val="left"/>
      <w:pPr>
        <w:ind w:left="8071" w:hanging="952"/>
      </w:pPr>
      <w:rPr>
        <w:rFonts w:hint="default"/>
      </w:rPr>
    </w:lvl>
  </w:abstractNum>
  <w:abstractNum w:abstractNumId="12">
    <w:nsid w:val="4379191E"/>
    <w:multiLevelType w:val="hybridMultilevel"/>
    <w:tmpl w:val="00000000"/>
    <w:lvl w:ilvl="0">
      <w:start w:val="7"/>
      <w:numFmt w:val="decimal"/>
      <w:lvlText w:val="（%1）"/>
      <w:lvlJc w:val="left"/>
      <w:pPr>
        <w:ind w:left="1537" w:hanging="793"/>
        <w:jc w:val="left"/>
      </w:pPr>
      <w:rPr>
        <w:rFonts w:ascii="宋体" w:eastAsia="宋体" w:hAnsi="宋体" w:cs="宋体" w:hint="default"/>
        <w:w w:val="102"/>
        <w:sz w:val="29"/>
        <w:szCs w:val="29"/>
      </w:rPr>
    </w:lvl>
    <w:lvl w:ilvl="1">
      <w:start w:val="0"/>
      <w:numFmt w:val="bullet"/>
      <w:lvlText w:val="•"/>
      <w:lvlJc w:val="left"/>
      <w:pPr>
        <w:ind w:left="2335" w:hanging="793"/>
      </w:pPr>
      <w:rPr>
        <w:rFonts w:hint="default"/>
      </w:rPr>
    </w:lvl>
    <w:lvl w:ilvl="2">
      <w:start w:val="0"/>
      <w:numFmt w:val="bullet"/>
      <w:lvlText w:val="•"/>
      <w:lvlJc w:val="left"/>
      <w:pPr>
        <w:ind w:left="3131" w:hanging="793"/>
      </w:pPr>
      <w:rPr>
        <w:rFonts w:hint="default"/>
      </w:rPr>
    </w:lvl>
    <w:lvl w:ilvl="3">
      <w:start w:val="0"/>
      <w:numFmt w:val="bullet"/>
      <w:lvlText w:val="•"/>
      <w:lvlJc w:val="left"/>
      <w:pPr>
        <w:ind w:left="3927" w:hanging="793"/>
      </w:pPr>
      <w:rPr>
        <w:rFonts w:hint="default"/>
      </w:rPr>
    </w:lvl>
    <w:lvl w:ilvl="4">
      <w:start w:val="0"/>
      <w:numFmt w:val="bullet"/>
      <w:lvlText w:val="•"/>
      <w:lvlJc w:val="left"/>
      <w:pPr>
        <w:ind w:left="4722" w:hanging="793"/>
      </w:pPr>
      <w:rPr>
        <w:rFonts w:hint="default"/>
      </w:rPr>
    </w:lvl>
    <w:lvl w:ilvl="5">
      <w:start w:val="0"/>
      <w:numFmt w:val="bullet"/>
      <w:lvlText w:val="•"/>
      <w:lvlJc w:val="left"/>
      <w:pPr>
        <w:ind w:left="5518" w:hanging="793"/>
      </w:pPr>
      <w:rPr>
        <w:rFonts w:hint="default"/>
      </w:rPr>
    </w:lvl>
    <w:lvl w:ilvl="6">
      <w:start w:val="0"/>
      <w:numFmt w:val="bullet"/>
      <w:lvlText w:val="•"/>
      <w:lvlJc w:val="left"/>
      <w:pPr>
        <w:ind w:left="6314" w:hanging="793"/>
      </w:pPr>
      <w:rPr>
        <w:rFonts w:hint="default"/>
      </w:rPr>
    </w:lvl>
    <w:lvl w:ilvl="7">
      <w:start w:val="0"/>
      <w:numFmt w:val="bullet"/>
      <w:lvlText w:val="•"/>
      <w:lvlJc w:val="left"/>
      <w:pPr>
        <w:ind w:left="7109" w:hanging="793"/>
      </w:pPr>
      <w:rPr>
        <w:rFonts w:hint="default"/>
      </w:rPr>
    </w:lvl>
    <w:lvl w:ilvl="8">
      <w:start w:val="0"/>
      <w:numFmt w:val="bullet"/>
      <w:lvlText w:val="•"/>
      <w:lvlJc w:val="left"/>
      <w:pPr>
        <w:ind w:left="7905" w:hanging="793"/>
      </w:pPr>
      <w:rPr>
        <w:rFonts w:hint="default"/>
      </w:rPr>
    </w:lvl>
  </w:abstractNum>
  <w:abstractNum w:abstractNumId="13">
    <w:nsid w:val="44BD2092"/>
    <w:multiLevelType w:val="hybridMultilevel"/>
    <w:tmpl w:val="00000000"/>
    <w:lvl w:ilvl="0">
      <w:start w:val="1"/>
      <w:numFmt w:val="decimal"/>
      <w:lvlText w:val="（%1）"/>
      <w:lvlJc w:val="left"/>
      <w:pPr>
        <w:ind w:left="158" w:hanging="793"/>
        <w:jc w:val="left"/>
      </w:pPr>
      <w:rPr>
        <w:rFonts w:ascii="宋体" w:eastAsia="宋体" w:hAnsi="宋体" w:cs="宋体" w:hint="default"/>
        <w:w w:val="102"/>
        <w:sz w:val="29"/>
        <w:szCs w:val="29"/>
      </w:rPr>
    </w:lvl>
    <w:lvl w:ilvl="1">
      <w:start w:val="0"/>
      <w:numFmt w:val="bullet"/>
      <w:lvlText w:val="•"/>
      <w:lvlJc w:val="left"/>
      <w:pPr>
        <w:ind w:left="1109" w:hanging="793"/>
      </w:pPr>
      <w:rPr>
        <w:rFonts w:hint="default"/>
      </w:rPr>
    </w:lvl>
    <w:lvl w:ilvl="2">
      <w:start w:val="0"/>
      <w:numFmt w:val="bullet"/>
      <w:lvlText w:val="•"/>
      <w:lvlJc w:val="left"/>
      <w:pPr>
        <w:ind w:left="2058" w:hanging="793"/>
      </w:pPr>
      <w:rPr>
        <w:rFonts w:hint="default"/>
      </w:rPr>
    </w:lvl>
    <w:lvl w:ilvl="3">
      <w:start w:val="0"/>
      <w:numFmt w:val="bullet"/>
      <w:lvlText w:val="•"/>
      <w:lvlJc w:val="left"/>
      <w:pPr>
        <w:ind w:left="3008" w:hanging="793"/>
      </w:pPr>
      <w:rPr>
        <w:rFonts w:hint="default"/>
      </w:rPr>
    </w:lvl>
    <w:lvl w:ilvl="4">
      <w:start w:val="0"/>
      <w:numFmt w:val="bullet"/>
      <w:lvlText w:val="•"/>
      <w:lvlJc w:val="left"/>
      <w:pPr>
        <w:ind w:left="3957" w:hanging="793"/>
      </w:pPr>
      <w:rPr>
        <w:rFonts w:hint="default"/>
      </w:rPr>
    </w:lvl>
    <w:lvl w:ilvl="5">
      <w:start w:val="0"/>
      <w:numFmt w:val="bullet"/>
      <w:lvlText w:val="•"/>
      <w:lvlJc w:val="left"/>
      <w:pPr>
        <w:ind w:left="4907" w:hanging="793"/>
      </w:pPr>
      <w:rPr>
        <w:rFonts w:hint="default"/>
      </w:rPr>
    </w:lvl>
    <w:lvl w:ilvl="6">
      <w:start w:val="0"/>
      <w:numFmt w:val="bullet"/>
      <w:lvlText w:val="•"/>
      <w:lvlJc w:val="left"/>
      <w:pPr>
        <w:ind w:left="5856" w:hanging="793"/>
      </w:pPr>
      <w:rPr>
        <w:rFonts w:hint="default"/>
      </w:rPr>
    </w:lvl>
    <w:lvl w:ilvl="7">
      <w:start w:val="0"/>
      <w:numFmt w:val="bullet"/>
      <w:lvlText w:val="•"/>
      <w:lvlJc w:val="left"/>
      <w:pPr>
        <w:ind w:left="6806" w:hanging="793"/>
      </w:pPr>
      <w:rPr>
        <w:rFonts w:hint="default"/>
      </w:rPr>
    </w:lvl>
    <w:lvl w:ilvl="8">
      <w:start w:val="0"/>
      <w:numFmt w:val="bullet"/>
      <w:lvlText w:val="•"/>
      <w:lvlJc w:val="left"/>
      <w:pPr>
        <w:ind w:left="7755" w:hanging="793"/>
      </w:pPr>
      <w:rPr>
        <w:rFonts w:hint="default"/>
      </w:rPr>
    </w:lvl>
  </w:abstractNum>
  <w:abstractNum w:abstractNumId="14">
    <w:nsid w:val="46996F96"/>
    <w:multiLevelType w:val="hybridMultilevel"/>
    <w:tmpl w:val="00000000"/>
    <w:lvl w:ilvl="0">
      <w:start w:val="1"/>
      <w:numFmt w:val="decimal"/>
      <w:lvlText w:val="（%1）"/>
      <w:lvlJc w:val="left"/>
      <w:pPr>
        <w:ind w:left="158" w:hanging="793"/>
        <w:jc w:val="left"/>
      </w:pPr>
      <w:rPr>
        <w:rFonts w:ascii="宋体" w:eastAsia="宋体" w:hAnsi="宋体" w:cs="宋体" w:hint="default"/>
        <w:w w:val="102"/>
        <w:sz w:val="29"/>
        <w:szCs w:val="29"/>
      </w:rPr>
    </w:lvl>
    <w:lvl w:ilvl="1">
      <w:start w:val="0"/>
      <w:numFmt w:val="bullet"/>
      <w:lvlText w:val="•"/>
      <w:lvlJc w:val="left"/>
      <w:pPr>
        <w:ind w:left="1098" w:hanging="793"/>
      </w:pPr>
      <w:rPr>
        <w:rFonts w:hint="default"/>
      </w:rPr>
    </w:lvl>
    <w:lvl w:ilvl="2">
      <w:start w:val="0"/>
      <w:numFmt w:val="bullet"/>
      <w:lvlText w:val="•"/>
      <w:lvlJc w:val="left"/>
      <w:pPr>
        <w:ind w:left="2036" w:hanging="793"/>
      </w:pPr>
      <w:rPr>
        <w:rFonts w:hint="default"/>
      </w:rPr>
    </w:lvl>
    <w:lvl w:ilvl="3">
      <w:start w:val="0"/>
      <w:numFmt w:val="bullet"/>
      <w:lvlText w:val="•"/>
      <w:lvlJc w:val="left"/>
      <w:pPr>
        <w:ind w:left="2974" w:hanging="793"/>
      </w:pPr>
      <w:rPr>
        <w:rFonts w:hint="default"/>
      </w:rPr>
    </w:lvl>
    <w:lvl w:ilvl="4">
      <w:start w:val="0"/>
      <w:numFmt w:val="bullet"/>
      <w:lvlText w:val="•"/>
      <w:lvlJc w:val="left"/>
      <w:pPr>
        <w:ind w:left="3912" w:hanging="793"/>
      </w:pPr>
      <w:rPr>
        <w:rFonts w:hint="default"/>
      </w:rPr>
    </w:lvl>
    <w:lvl w:ilvl="5">
      <w:start w:val="0"/>
      <w:numFmt w:val="bullet"/>
      <w:lvlText w:val="•"/>
      <w:lvlJc w:val="left"/>
      <w:pPr>
        <w:ind w:left="4850" w:hanging="793"/>
      </w:pPr>
      <w:rPr>
        <w:rFonts w:hint="default"/>
      </w:rPr>
    </w:lvl>
    <w:lvl w:ilvl="6">
      <w:start w:val="0"/>
      <w:numFmt w:val="bullet"/>
      <w:lvlText w:val="•"/>
      <w:lvlJc w:val="left"/>
      <w:pPr>
        <w:ind w:left="5788" w:hanging="793"/>
      </w:pPr>
      <w:rPr>
        <w:rFonts w:hint="default"/>
      </w:rPr>
    </w:lvl>
    <w:lvl w:ilvl="7">
      <w:start w:val="0"/>
      <w:numFmt w:val="bullet"/>
      <w:lvlText w:val="•"/>
      <w:lvlJc w:val="left"/>
      <w:pPr>
        <w:ind w:left="6726" w:hanging="793"/>
      </w:pPr>
      <w:rPr>
        <w:rFonts w:hint="default"/>
      </w:rPr>
    </w:lvl>
    <w:lvl w:ilvl="8">
      <w:start w:val="0"/>
      <w:numFmt w:val="bullet"/>
      <w:lvlText w:val="•"/>
      <w:lvlJc w:val="left"/>
      <w:pPr>
        <w:ind w:left="7664" w:hanging="793"/>
      </w:pPr>
      <w:rPr>
        <w:rFonts w:hint="default"/>
      </w:rPr>
    </w:lvl>
  </w:abstractNum>
  <w:abstractNum w:abstractNumId="15">
    <w:nsid w:val="47E929ED"/>
    <w:multiLevelType w:val="hybridMultilevel"/>
    <w:tmpl w:val="00000000"/>
    <w:lvl w:ilvl="0">
      <w:start w:val="1"/>
      <w:numFmt w:val="decimal"/>
      <w:lvlText w:val="（%1）"/>
      <w:lvlJc w:val="left"/>
      <w:pPr>
        <w:ind w:left="1019" w:hanging="793"/>
        <w:jc w:val="right"/>
      </w:pPr>
      <w:rPr>
        <w:rFonts w:ascii="宋体" w:eastAsia="宋体" w:hAnsi="宋体" w:cs="宋体" w:hint="default"/>
        <w:w w:val="102"/>
        <w:sz w:val="29"/>
        <w:szCs w:val="29"/>
      </w:rPr>
    </w:lvl>
    <w:lvl w:ilvl="1">
      <w:start w:val="0"/>
      <w:numFmt w:val="bullet"/>
      <w:lvlText w:val="•"/>
      <w:lvlJc w:val="left"/>
      <w:pPr>
        <w:ind w:left="3420" w:hanging="793"/>
      </w:pPr>
      <w:rPr>
        <w:rFonts w:hint="default"/>
      </w:rPr>
    </w:lvl>
    <w:lvl w:ilvl="2">
      <w:start w:val="0"/>
      <w:numFmt w:val="bullet"/>
      <w:lvlText w:val="•"/>
      <w:lvlJc w:val="left"/>
      <w:pPr>
        <w:ind w:left="3808" w:hanging="793"/>
      </w:pPr>
      <w:rPr>
        <w:rFonts w:hint="default"/>
      </w:rPr>
    </w:lvl>
    <w:lvl w:ilvl="3">
      <w:start w:val="0"/>
      <w:numFmt w:val="bullet"/>
      <w:lvlText w:val="•"/>
      <w:lvlJc w:val="left"/>
      <w:pPr>
        <w:ind w:left="4196" w:hanging="793"/>
      </w:pPr>
      <w:rPr>
        <w:rFonts w:hint="default"/>
      </w:rPr>
    </w:lvl>
    <w:lvl w:ilvl="4">
      <w:start w:val="0"/>
      <w:numFmt w:val="bullet"/>
      <w:lvlText w:val="•"/>
      <w:lvlJc w:val="left"/>
      <w:pPr>
        <w:ind w:left="4585" w:hanging="793"/>
      </w:pPr>
      <w:rPr>
        <w:rFonts w:hint="default"/>
      </w:rPr>
    </w:lvl>
    <w:lvl w:ilvl="5">
      <w:start w:val="0"/>
      <w:numFmt w:val="bullet"/>
      <w:lvlText w:val="•"/>
      <w:lvlJc w:val="left"/>
      <w:pPr>
        <w:ind w:left="4973" w:hanging="793"/>
      </w:pPr>
      <w:rPr>
        <w:rFonts w:hint="default"/>
      </w:rPr>
    </w:lvl>
    <w:lvl w:ilvl="6">
      <w:start w:val="0"/>
      <w:numFmt w:val="bullet"/>
      <w:lvlText w:val="•"/>
      <w:lvlJc w:val="left"/>
      <w:pPr>
        <w:ind w:left="5362" w:hanging="793"/>
      </w:pPr>
      <w:rPr>
        <w:rFonts w:hint="default"/>
      </w:rPr>
    </w:lvl>
    <w:lvl w:ilvl="7">
      <w:start w:val="0"/>
      <w:numFmt w:val="bullet"/>
      <w:lvlText w:val="•"/>
      <w:lvlJc w:val="left"/>
      <w:pPr>
        <w:ind w:left="5750" w:hanging="793"/>
      </w:pPr>
      <w:rPr>
        <w:rFonts w:hint="default"/>
      </w:rPr>
    </w:lvl>
    <w:lvl w:ilvl="8">
      <w:start w:val="0"/>
      <w:numFmt w:val="bullet"/>
      <w:lvlText w:val="•"/>
      <w:lvlJc w:val="left"/>
      <w:pPr>
        <w:ind w:left="6138" w:hanging="793"/>
      </w:pPr>
      <w:rPr>
        <w:rFonts w:hint="default"/>
      </w:rPr>
    </w:lvl>
  </w:abstractNum>
  <w:abstractNum w:abstractNumId="16">
    <w:nsid w:val="4EE518A8"/>
    <w:multiLevelType w:val="hybridMultilevel"/>
    <w:tmpl w:val="00000000"/>
    <w:lvl w:ilvl="0">
      <w:start w:val="1"/>
      <w:numFmt w:val="decimal"/>
      <w:lvlText w:val="（%1）"/>
      <w:lvlJc w:val="left"/>
      <w:pPr>
        <w:ind w:left="312" w:hanging="793"/>
        <w:jc w:val="right"/>
      </w:pPr>
      <w:rPr>
        <w:rFonts w:ascii="宋体" w:eastAsia="宋体" w:hAnsi="宋体" w:cs="宋体" w:hint="default"/>
        <w:w w:val="102"/>
        <w:sz w:val="29"/>
        <w:szCs w:val="29"/>
      </w:rPr>
    </w:lvl>
    <w:lvl w:ilvl="1">
      <w:start w:val="0"/>
      <w:numFmt w:val="bullet"/>
      <w:lvlText w:val="•"/>
      <w:lvlJc w:val="left"/>
      <w:pPr>
        <w:ind w:left="1476" w:hanging="793"/>
      </w:pPr>
      <w:rPr>
        <w:rFonts w:hint="default"/>
      </w:rPr>
    </w:lvl>
    <w:lvl w:ilvl="2">
      <w:start w:val="0"/>
      <w:numFmt w:val="bullet"/>
      <w:lvlText w:val="•"/>
      <w:lvlJc w:val="left"/>
      <w:pPr>
        <w:ind w:left="2632" w:hanging="793"/>
      </w:pPr>
      <w:rPr>
        <w:rFonts w:hint="default"/>
      </w:rPr>
    </w:lvl>
    <w:lvl w:ilvl="3">
      <w:start w:val="0"/>
      <w:numFmt w:val="bullet"/>
      <w:lvlText w:val="•"/>
      <w:lvlJc w:val="left"/>
      <w:pPr>
        <w:ind w:left="3789" w:hanging="793"/>
      </w:pPr>
      <w:rPr>
        <w:rFonts w:hint="default"/>
      </w:rPr>
    </w:lvl>
    <w:lvl w:ilvl="4">
      <w:start w:val="0"/>
      <w:numFmt w:val="bullet"/>
      <w:lvlText w:val="•"/>
      <w:lvlJc w:val="left"/>
      <w:pPr>
        <w:ind w:left="4945" w:hanging="793"/>
      </w:pPr>
      <w:rPr>
        <w:rFonts w:hint="default"/>
      </w:rPr>
    </w:lvl>
    <w:lvl w:ilvl="5">
      <w:start w:val="0"/>
      <w:numFmt w:val="bullet"/>
      <w:lvlText w:val="•"/>
      <w:lvlJc w:val="left"/>
      <w:pPr>
        <w:ind w:left="6101" w:hanging="793"/>
      </w:pPr>
      <w:rPr>
        <w:rFonts w:hint="default"/>
      </w:rPr>
    </w:lvl>
    <w:lvl w:ilvl="6">
      <w:start w:val="0"/>
      <w:numFmt w:val="bullet"/>
      <w:lvlText w:val="•"/>
      <w:lvlJc w:val="left"/>
      <w:pPr>
        <w:ind w:left="7258" w:hanging="793"/>
      </w:pPr>
      <w:rPr>
        <w:rFonts w:hint="default"/>
      </w:rPr>
    </w:lvl>
    <w:lvl w:ilvl="7">
      <w:start w:val="0"/>
      <w:numFmt w:val="bullet"/>
      <w:lvlText w:val="•"/>
      <w:lvlJc w:val="left"/>
      <w:pPr>
        <w:ind w:left="8414" w:hanging="793"/>
      </w:pPr>
      <w:rPr>
        <w:rFonts w:hint="default"/>
      </w:rPr>
    </w:lvl>
    <w:lvl w:ilvl="8">
      <w:start w:val="0"/>
      <w:numFmt w:val="bullet"/>
      <w:lvlText w:val="•"/>
      <w:lvlJc w:val="left"/>
      <w:pPr>
        <w:ind w:left="9571" w:hanging="793"/>
      </w:pPr>
      <w:rPr>
        <w:rFonts w:hint="default"/>
      </w:rPr>
    </w:lvl>
  </w:abstractNum>
  <w:abstractNum w:abstractNumId="17">
    <w:nsid w:val="50ABF017"/>
    <w:multiLevelType w:val="hybridMultilevel"/>
    <w:tmpl w:val="00000000"/>
    <w:lvl w:ilvl="0">
      <w:start w:val="1"/>
      <w:numFmt w:val="decimal"/>
      <w:lvlText w:val="（%1）"/>
      <w:lvlJc w:val="left"/>
      <w:pPr>
        <w:ind w:left="420" w:hanging="826"/>
        <w:jc w:val="left"/>
      </w:pPr>
      <w:rPr>
        <w:rFonts w:ascii="幼圆" w:eastAsia="幼圆" w:hAnsi="幼圆" w:cs="幼圆" w:hint="default"/>
        <w:spacing w:val="-166"/>
        <w:w w:val="100"/>
        <w:sz w:val="31"/>
        <w:szCs w:val="31"/>
      </w:rPr>
    </w:lvl>
    <w:lvl w:ilvl="1">
      <w:start w:val="0"/>
      <w:numFmt w:val="bullet"/>
      <w:lvlText w:val="•"/>
      <w:lvlJc w:val="left"/>
      <w:pPr>
        <w:ind w:left="1713" w:hanging="826"/>
      </w:pPr>
      <w:rPr>
        <w:rFonts w:hint="default"/>
      </w:rPr>
    </w:lvl>
    <w:lvl w:ilvl="2">
      <w:start w:val="0"/>
      <w:numFmt w:val="bullet"/>
      <w:lvlText w:val="•"/>
      <w:lvlJc w:val="left"/>
      <w:pPr>
        <w:ind w:left="3007" w:hanging="826"/>
      </w:pPr>
      <w:rPr>
        <w:rFonts w:hint="default"/>
      </w:rPr>
    </w:lvl>
    <w:lvl w:ilvl="3">
      <w:start w:val="0"/>
      <w:numFmt w:val="bullet"/>
      <w:lvlText w:val="•"/>
      <w:lvlJc w:val="left"/>
      <w:pPr>
        <w:ind w:left="4301" w:hanging="826"/>
      </w:pPr>
      <w:rPr>
        <w:rFonts w:hint="default"/>
      </w:rPr>
    </w:lvl>
    <w:lvl w:ilvl="4">
      <w:start w:val="0"/>
      <w:numFmt w:val="bullet"/>
      <w:lvlText w:val="•"/>
      <w:lvlJc w:val="left"/>
      <w:pPr>
        <w:ind w:left="5595" w:hanging="826"/>
      </w:pPr>
      <w:rPr>
        <w:rFonts w:hint="default"/>
      </w:rPr>
    </w:lvl>
    <w:lvl w:ilvl="5">
      <w:start w:val="0"/>
      <w:numFmt w:val="bullet"/>
      <w:lvlText w:val="•"/>
      <w:lvlJc w:val="left"/>
      <w:pPr>
        <w:ind w:left="6889" w:hanging="826"/>
      </w:pPr>
      <w:rPr>
        <w:rFonts w:hint="default"/>
      </w:rPr>
    </w:lvl>
    <w:lvl w:ilvl="6">
      <w:start w:val="0"/>
      <w:numFmt w:val="bullet"/>
      <w:lvlText w:val="•"/>
      <w:lvlJc w:val="left"/>
      <w:pPr>
        <w:ind w:left="8183" w:hanging="826"/>
      </w:pPr>
      <w:rPr>
        <w:rFonts w:hint="default"/>
      </w:rPr>
    </w:lvl>
    <w:lvl w:ilvl="7">
      <w:start w:val="0"/>
      <w:numFmt w:val="bullet"/>
      <w:lvlText w:val="•"/>
      <w:lvlJc w:val="left"/>
      <w:pPr>
        <w:ind w:left="9477" w:hanging="826"/>
      </w:pPr>
      <w:rPr>
        <w:rFonts w:hint="default"/>
      </w:rPr>
    </w:lvl>
    <w:lvl w:ilvl="8">
      <w:start w:val="0"/>
      <w:numFmt w:val="bullet"/>
      <w:lvlText w:val="•"/>
      <w:lvlJc w:val="left"/>
      <w:pPr>
        <w:ind w:left="10771" w:hanging="826"/>
      </w:pPr>
      <w:rPr>
        <w:rFonts w:hint="default"/>
      </w:rPr>
    </w:lvl>
  </w:abstractNum>
  <w:abstractNum w:abstractNumId="18">
    <w:nsid w:val="52199FA9"/>
    <w:multiLevelType w:val="hybridMultilevel"/>
    <w:tmpl w:val="00000000"/>
    <w:lvl w:ilvl="0">
      <w:start w:val="1"/>
      <w:numFmt w:val="decimal"/>
      <w:lvlText w:val="（%1）"/>
      <w:lvlJc w:val="left"/>
      <w:pPr>
        <w:ind w:left="420" w:hanging="793"/>
        <w:jc w:val="left"/>
      </w:pPr>
      <w:rPr>
        <w:rFonts w:ascii="宋体" w:eastAsia="宋体" w:hAnsi="宋体" w:cs="宋体" w:hint="default"/>
        <w:w w:val="102"/>
        <w:sz w:val="29"/>
        <w:szCs w:val="29"/>
      </w:rPr>
    </w:lvl>
    <w:lvl w:ilvl="1">
      <w:start w:val="0"/>
      <w:numFmt w:val="bullet"/>
      <w:lvlText w:val="•"/>
      <w:lvlJc w:val="left"/>
      <w:pPr>
        <w:ind w:left="1713" w:hanging="793"/>
      </w:pPr>
      <w:rPr>
        <w:rFonts w:hint="default"/>
      </w:rPr>
    </w:lvl>
    <w:lvl w:ilvl="2">
      <w:start w:val="0"/>
      <w:numFmt w:val="bullet"/>
      <w:lvlText w:val="•"/>
      <w:lvlJc w:val="left"/>
      <w:pPr>
        <w:ind w:left="3007" w:hanging="793"/>
      </w:pPr>
      <w:rPr>
        <w:rFonts w:hint="default"/>
      </w:rPr>
    </w:lvl>
    <w:lvl w:ilvl="3">
      <w:start w:val="0"/>
      <w:numFmt w:val="bullet"/>
      <w:lvlText w:val="•"/>
      <w:lvlJc w:val="left"/>
      <w:pPr>
        <w:ind w:left="4301" w:hanging="793"/>
      </w:pPr>
      <w:rPr>
        <w:rFonts w:hint="default"/>
      </w:rPr>
    </w:lvl>
    <w:lvl w:ilvl="4">
      <w:start w:val="0"/>
      <w:numFmt w:val="bullet"/>
      <w:lvlText w:val="•"/>
      <w:lvlJc w:val="left"/>
      <w:pPr>
        <w:ind w:left="5595" w:hanging="793"/>
      </w:pPr>
      <w:rPr>
        <w:rFonts w:hint="default"/>
      </w:rPr>
    </w:lvl>
    <w:lvl w:ilvl="5">
      <w:start w:val="0"/>
      <w:numFmt w:val="bullet"/>
      <w:lvlText w:val="•"/>
      <w:lvlJc w:val="left"/>
      <w:pPr>
        <w:ind w:left="6889" w:hanging="793"/>
      </w:pPr>
      <w:rPr>
        <w:rFonts w:hint="default"/>
      </w:rPr>
    </w:lvl>
    <w:lvl w:ilvl="6">
      <w:start w:val="0"/>
      <w:numFmt w:val="bullet"/>
      <w:lvlText w:val="•"/>
      <w:lvlJc w:val="left"/>
      <w:pPr>
        <w:ind w:left="8183" w:hanging="793"/>
      </w:pPr>
      <w:rPr>
        <w:rFonts w:hint="default"/>
      </w:rPr>
    </w:lvl>
    <w:lvl w:ilvl="7">
      <w:start w:val="0"/>
      <w:numFmt w:val="bullet"/>
      <w:lvlText w:val="•"/>
      <w:lvlJc w:val="left"/>
      <w:pPr>
        <w:ind w:left="9477" w:hanging="793"/>
      </w:pPr>
      <w:rPr>
        <w:rFonts w:hint="default"/>
      </w:rPr>
    </w:lvl>
    <w:lvl w:ilvl="8">
      <w:start w:val="0"/>
      <w:numFmt w:val="bullet"/>
      <w:lvlText w:val="•"/>
      <w:lvlJc w:val="left"/>
      <w:pPr>
        <w:ind w:left="10771" w:hanging="793"/>
      </w:pPr>
      <w:rPr>
        <w:rFonts w:hint="default"/>
      </w:rPr>
    </w:lvl>
  </w:abstractNum>
  <w:abstractNum w:abstractNumId="19">
    <w:nsid w:val="532EAE44"/>
    <w:multiLevelType w:val="hybridMultilevel"/>
    <w:tmpl w:val="00000000"/>
    <w:lvl w:ilvl="0">
      <w:start w:val="1"/>
      <w:numFmt w:val="decimal"/>
      <w:lvlText w:val="（%1）"/>
      <w:lvlJc w:val="left"/>
      <w:pPr>
        <w:ind w:left="114" w:hanging="940"/>
        <w:jc w:val="left"/>
      </w:pPr>
      <w:rPr>
        <w:rFonts w:ascii="宋体" w:eastAsia="宋体" w:hAnsi="宋体" w:cs="宋体" w:hint="default"/>
        <w:w w:val="102"/>
        <w:sz w:val="31"/>
        <w:szCs w:val="31"/>
      </w:rPr>
    </w:lvl>
    <w:lvl w:ilvl="1">
      <w:start w:val="0"/>
      <w:numFmt w:val="bullet"/>
      <w:lvlText w:val="•"/>
      <w:lvlJc w:val="left"/>
      <w:pPr>
        <w:ind w:left="1057" w:hanging="940"/>
      </w:pPr>
      <w:rPr>
        <w:rFonts w:hint="default"/>
      </w:rPr>
    </w:lvl>
    <w:lvl w:ilvl="2">
      <w:start w:val="0"/>
      <w:numFmt w:val="bullet"/>
      <w:lvlText w:val="•"/>
      <w:lvlJc w:val="left"/>
      <w:pPr>
        <w:ind w:left="1995" w:hanging="940"/>
      </w:pPr>
      <w:rPr>
        <w:rFonts w:hint="default"/>
      </w:rPr>
    </w:lvl>
    <w:lvl w:ilvl="3">
      <w:start w:val="0"/>
      <w:numFmt w:val="bullet"/>
      <w:lvlText w:val="•"/>
      <w:lvlJc w:val="left"/>
      <w:pPr>
        <w:ind w:left="2933" w:hanging="940"/>
      </w:pPr>
      <w:rPr>
        <w:rFonts w:hint="default"/>
      </w:rPr>
    </w:lvl>
    <w:lvl w:ilvl="4">
      <w:start w:val="0"/>
      <w:numFmt w:val="bullet"/>
      <w:lvlText w:val="•"/>
      <w:lvlJc w:val="left"/>
      <w:pPr>
        <w:ind w:left="3870" w:hanging="940"/>
      </w:pPr>
      <w:rPr>
        <w:rFonts w:hint="default"/>
      </w:rPr>
    </w:lvl>
    <w:lvl w:ilvl="5">
      <w:start w:val="0"/>
      <w:numFmt w:val="bullet"/>
      <w:lvlText w:val="•"/>
      <w:lvlJc w:val="left"/>
      <w:pPr>
        <w:ind w:left="4808" w:hanging="940"/>
      </w:pPr>
      <w:rPr>
        <w:rFonts w:hint="default"/>
      </w:rPr>
    </w:lvl>
    <w:lvl w:ilvl="6">
      <w:start w:val="0"/>
      <w:numFmt w:val="bullet"/>
      <w:lvlText w:val="•"/>
      <w:lvlJc w:val="left"/>
      <w:pPr>
        <w:ind w:left="5746" w:hanging="940"/>
      </w:pPr>
      <w:rPr>
        <w:rFonts w:hint="default"/>
      </w:rPr>
    </w:lvl>
    <w:lvl w:ilvl="7">
      <w:start w:val="0"/>
      <w:numFmt w:val="bullet"/>
      <w:lvlText w:val="•"/>
      <w:lvlJc w:val="left"/>
      <w:pPr>
        <w:ind w:left="6683" w:hanging="940"/>
      </w:pPr>
      <w:rPr>
        <w:rFonts w:hint="default"/>
      </w:rPr>
    </w:lvl>
    <w:lvl w:ilvl="8">
      <w:start w:val="0"/>
      <w:numFmt w:val="bullet"/>
      <w:lvlText w:val="•"/>
      <w:lvlJc w:val="left"/>
      <w:pPr>
        <w:ind w:left="7621" w:hanging="940"/>
      </w:pPr>
      <w:rPr>
        <w:rFonts w:hint="default"/>
      </w:rPr>
    </w:lvl>
  </w:abstractNum>
  <w:abstractNum w:abstractNumId="20">
    <w:nsid w:val="57674A0E"/>
    <w:multiLevelType w:val="hybridMultilevel"/>
    <w:tmpl w:val="00000000"/>
    <w:lvl w:ilvl="0">
      <w:start w:val="1"/>
      <w:numFmt w:val="decimal"/>
      <w:lvlText w:val="（%1）"/>
      <w:lvlJc w:val="left"/>
      <w:pPr>
        <w:ind w:left="1581" w:hanging="793"/>
        <w:jc w:val="left"/>
      </w:pPr>
      <w:rPr>
        <w:rFonts w:ascii="宋体" w:eastAsia="宋体" w:hAnsi="宋体" w:cs="宋体" w:hint="default"/>
        <w:w w:val="102"/>
        <w:sz w:val="29"/>
        <w:szCs w:val="29"/>
      </w:rPr>
    </w:lvl>
    <w:lvl w:ilvl="1">
      <w:start w:val="0"/>
      <w:numFmt w:val="bullet"/>
      <w:lvlText w:val="•"/>
      <w:lvlJc w:val="left"/>
      <w:pPr>
        <w:ind w:left="2376" w:hanging="793"/>
      </w:pPr>
      <w:rPr>
        <w:rFonts w:hint="default"/>
      </w:rPr>
    </w:lvl>
    <w:lvl w:ilvl="2">
      <w:start w:val="0"/>
      <w:numFmt w:val="bullet"/>
      <w:lvlText w:val="•"/>
      <w:lvlJc w:val="left"/>
      <w:pPr>
        <w:ind w:left="3172" w:hanging="793"/>
      </w:pPr>
      <w:rPr>
        <w:rFonts w:hint="default"/>
      </w:rPr>
    </w:lvl>
    <w:lvl w:ilvl="3">
      <w:start w:val="0"/>
      <w:numFmt w:val="bullet"/>
      <w:lvlText w:val="•"/>
      <w:lvlJc w:val="left"/>
      <w:pPr>
        <w:ind w:left="3968" w:hanging="793"/>
      </w:pPr>
      <w:rPr>
        <w:rFonts w:hint="default"/>
      </w:rPr>
    </w:lvl>
    <w:lvl w:ilvl="4">
      <w:start w:val="0"/>
      <w:numFmt w:val="bullet"/>
      <w:lvlText w:val="•"/>
      <w:lvlJc w:val="left"/>
      <w:pPr>
        <w:ind w:left="4764" w:hanging="793"/>
      </w:pPr>
      <w:rPr>
        <w:rFonts w:hint="default"/>
      </w:rPr>
    </w:lvl>
    <w:lvl w:ilvl="5">
      <w:start w:val="0"/>
      <w:numFmt w:val="bullet"/>
      <w:lvlText w:val="•"/>
      <w:lvlJc w:val="left"/>
      <w:pPr>
        <w:ind w:left="5560" w:hanging="793"/>
      </w:pPr>
      <w:rPr>
        <w:rFonts w:hint="default"/>
      </w:rPr>
    </w:lvl>
    <w:lvl w:ilvl="6">
      <w:start w:val="0"/>
      <w:numFmt w:val="bullet"/>
      <w:lvlText w:val="•"/>
      <w:lvlJc w:val="left"/>
      <w:pPr>
        <w:ind w:left="6356" w:hanging="793"/>
      </w:pPr>
      <w:rPr>
        <w:rFonts w:hint="default"/>
      </w:rPr>
    </w:lvl>
    <w:lvl w:ilvl="7">
      <w:start w:val="0"/>
      <w:numFmt w:val="bullet"/>
      <w:lvlText w:val="•"/>
      <w:lvlJc w:val="left"/>
      <w:pPr>
        <w:ind w:left="7152" w:hanging="793"/>
      </w:pPr>
      <w:rPr>
        <w:rFonts w:hint="default"/>
      </w:rPr>
    </w:lvl>
    <w:lvl w:ilvl="8">
      <w:start w:val="0"/>
      <w:numFmt w:val="bullet"/>
      <w:lvlText w:val="•"/>
      <w:lvlJc w:val="left"/>
      <w:pPr>
        <w:ind w:left="7948" w:hanging="793"/>
      </w:pPr>
      <w:rPr>
        <w:rFonts w:hint="default"/>
      </w:rPr>
    </w:lvl>
  </w:abstractNum>
  <w:abstractNum w:abstractNumId="21">
    <w:nsid w:val="5A12363A"/>
    <w:multiLevelType w:val="hybridMultilevel"/>
    <w:tmpl w:val="00000000"/>
    <w:lvl w:ilvl="0">
      <w:start w:val="1"/>
      <w:numFmt w:val="decimal"/>
      <w:lvlText w:val="（%1）"/>
      <w:lvlJc w:val="left"/>
      <w:pPr>
        <w:ind w:left="114" w:hanging="868"/>
        <w:jc w:val="left"/>
      </w:pPr>
      <w:rPr>
        <w:rFonts w:ascii="宋体" w:eastAsia="宋体" w:hAnsi="宋体" w:cs="宋体" w:hint="default"/>
        <w:w w:val="102"/>
        <w:sz w:val="31"/>
        <w:szCs w:val="31"/>
      </w:rPr>
    </w:lvl>
    <w:lvl w:ilvl="1">
      <w:start w:val="1"/>
      <w:numFmt w:val="decimal"/>
      <w:lvlText w:val="（%2）"/>
      <w:lvlJc w:val="left"/>
      <w:pPr>
        <w:ind w:left="1671" w:hanging="793"/>
        <w:jc w:val="left"/>
      </w:pPr>
      <w:rPr>
        <w:rFonts w:ascii="宋体" w:eastAsia="宋体" w:hAnsi="宋体" w:cs="宋体" w:hint="default"/>
        <w:w w:val="102"/>
        <w:sz w:val="29"/>
        <w:szCs w:val="29"/>
      </w:rPr>
    </w:lvl>
    <w:lvl w:ilvl="2">
      <w:start w:val="0"/>
      <w:numFmt w:val="bullet"/>
      <w:lvlText w:val="•"/>
      <w:lvlJc w:val="left"/>
      <w:pPr>
        <w:ind w:left="2547" w:hanging="793"/>
      </w:pPr>
      <w:rPr>
        <w:rFonts w:hint="default"/>
      </w:rPr>
    </w:lvl>
    <w:lvl w:ilvl="3">
      <w:start w:val="0"/>
      <w:numFmt w:val="bullet"/>
      <w:lvlText w:val="•"/>
      <w:lvlJc w:val="left"/>
      <w:pPr>
        <w:ind w:left="3414" w:hanging="793"/>
      </w:pPr>
      <w:rPr>
        <w:rFonts w:hint="default"/>
      </w:rPr>
    </w:lvl>
    <w:lvl w:ilvl="4">
      <w:start w:val="0"/>
      <w:numFmt w:val="bullet"/>
      <w:lvlText w:val="•"/>
      <w:lvlJc w:val="left"/>
      <w:pPr>
        <w:ind w:left="4282" w:hanging="793"/>
      </w:pPr>
      <w:rPr>
        <w:rFonts w:hint="default"/>
      </w:rPr>
    </w:lvl>
    <w:lvl w:ilvl="5">
      <w:start w:val="0"/>
      <w:numFmt w:val="bullet"/>
      <w:lvlText w:val="•"/>
      <w:lvlJc w:val="left"/>
      <w:pPr>
        <w:ind w:left="5149" w:hanging="793"/>
      </w:pPr>
      <w:rPr>
        <w:rFonts w:hint="default"/>
      </w:rPr>
    </w:lvl>
    <w:lvl w:ilvl="6">
      <w:start w:val="0"/>
      <w:numFmt w:val="bullet"/>
      <w:lvlText w:val="•"/>
      <w:lvlJc w:val="left"/>
      <w:pPr>
        <w:ind w:left="6017" w:hanging="793"/>
      </w:pPr>
      <w:rPr>
        <w:rFonts w:hint="default"/>
      </w:rPr>
    </w:lvl>
    <w:lvl w:ilvl="7">
      <w:start w:val="0"/>
      <w:numFmt w:val="bullet"/>
      <w:lvlText w:val="•"/>
      <w:lvlJc w:val="left"/>
      <w:pPr>
        <w:ind w:left="6884" w:hanging="793"/>
      </w:pPr>
      <w:rPr>
        <w:rFonts w:hint="default"/>
      </w:rPr>
    </w:lvl>
    <w:lvl w:ilvl="8">
      <w:start w:val="0"/>
      <w:numFmt w:val="bullet"/>
      <w:lvlText w:val="•"/>
      <w:lvlJc w:val="left"/>
      <w:pPr>
        <w:ind w:left="7751" w:hanging="793"/>
      </w:pPr>
      <w:rPr>
        <w:rFonts w:hint="default"/>
      </w:rPr>
    </w:lvl>
  </w:abstractNum>
  <w:abstractNum w:abstractNumId="22">
    <w:nsid w:val="5A2EF0CE"/>
    <w:multiLevelType w:val="hybridMultilevel"/>
    <w:tmpl w:val="00000000"/>
    <w:lvl w:ilvl="0">
      <w:start w:val="1"/>
      <w:numFmt w:val="decimal"/>
      <w:lvlText w:val="（%1）"/>
      <w:lvlJc w:val="left"/>
      <w:pPr>
        <w:ind w:left="312" w:hanging="790"/>
        <w:jc w:val="right"/>
      </w:pPr>
      <w:rPr>
        <w:rFonts w:ascii="宋体" w:eastAsia="宋体" w:hAnsi="宋体" w:cs="宋体" w:hint="default"/>
        <w:spacing w:val="-44"/>
        <w:w w:val="91"/>
        <w:sz w:val="29"/>
        <w:szCs w:val="29"/>
      </w:rPr>
    </w:lvl>
    <w:lvl w:ilvl="1">
      <w:start w:val="0"/>
      <w:numFmt w:val="bullet"/>
      <w:lvlText w:val="•"/>
      <w:lvlJc w:val="left"/>
      <w:pPr>
        <w:ind w:left="1476" w:hanging="790"/>
      </w:pPr>
      <w:rPr>
        <w:rFonts w:hint="default"/>
      </w:rPr>
    </w:lvl>
    <w:lvl w:ilvl="2">
      <w:start w:val="0"/>
      <w:numFmt w:val="bullet"/>
      <w:lvlText w:val="•"/>
      <w:lvlJc w:val="left"/>
      <w:pPr>
        <w:ind w:left="2632" w:hanging="790"/>
      </w:pPr>
      <w:rPr>
        <w:rFonts w:hint="default"/>
      </w:rPr>
    </w:lvl>
    <w:lvl w:ilvl="3">
      <w:start w:val="0"/>
      <w:numFmt w:val="bullet"/>
      <w:lvlText w:val="•"/>
      <w:lvlJc w:val="left"/>
      <w:pPr>
        <w:ind w:left="3789" w:hanging="790"/>
      </w:pPr>
      <w:rPr>
        <w:rFonts w:hint="default"/>
      </w:rPr>
    </w:lvl>
    <w:lvl w:ilvl="4">
      <w:start w:val="0"/>
      <w:numFmt w:val="bullet"/>
      <w:lvlText w:val="•"/>
      <w:lvlJc w:val="left"/>
      <w:pPr>
        <w:ind w:left="4945" w:hanging="790"/>
      </w:pPr>
      <w:rPr>
        <w:rFonts w:hint="default"/>
      </w:rPr>
    </w:lvl>
    <w:lvl w:ilvl="5">
      <w:start w:val="0"/>
      <w:numFmt w:val="bullet"/>
      <w:lvlText w:val="•"/>
      <w:lvlJc w:val="left"/>
      <w:pPr>
        <w:ind w:left="6101" w:hanging="790"/>
      </w:pPr>
      <w:rPr>
        <w:rFonts w:hint="default"/>
      </w:rPr>
    </w:lvl>
    <w:lvl w:ilvl="6">
      <w:start w:val="0"/>
      <w:numFmt w:val="bullet"/>
      <w:lvlText w:val="•"/>
      <w:lvlJc w:val="left"/>
      <w:pPr>
        <w:ind w:left="7258" w:hanging="790"/>
      </w:pPr>
      <w:rPr>
        <w:rFonts w:hint="default"/>
      </w:rPr>
    </w:lvl>
    <w:lvl w:ilvl="7">
      <w:start w:val="0"/>
      <w:numFmt w:val="bullet"/>
      <w:lvlText w:val="•"/>
      <w:lvlJc w:val="left"/>
      <w:pPr>
        <w:ind w:left="8414" w:hanging="790"/>
      </w:pPr>
      <w:rPr>
        <w:rFonts w:hint="default"/>
      </w:rPr>
    </w:lvl>
    <w:lvl w:ilvl="8">
      <w:start w:val="0"/>
      <w:numFmt w:val="bullet"/>
      <w:lvlText w:val="•"/>
      <w:lvlJc w:val="left"/>
      <w:pPr>
        <w:ind w:left="9571" w:hanging="790"/>
      </w:pPr>
      <w:rPr>
        <w:rFonts w:hint="default"/>
      </w:rPr>
    </w:lvl>
  </w:abstractNum>
  <w:abstractNum w:abstractNumId="23">
    <w:nsid w:val="60DA436D"/>
    <w:multiLevelType w:val="hybridMultilevel"/>
    <w:tmpl w:val="00000000"/>
    <w:lvl w:ilvl="0">
      <w:start w:val="8"/>
      <w:numFmt w:val="decimal"/>
      <w:lvlText w:val="（%1）"/>
      <w:lvlJc w:val="left"/>
      <w:pPr>
        <w:ind w:left="1581" w:hanging="793"/>
        <w:jc w:val="left"/>
      </w:pPr>
      <w:rPr>
        <w:rFonts w:ascii="宋体" w:eastAsia="宋体" w:hAnsi="宋体" w:cs="宋体" w:hint="default"/>
        <w:w w:val="102"/>
        <w:sz w:val="29"/>
        <w:szCs w:val="29"/>
      </w:rPr>
    </w:lvl>
    <w:lvl w:ilvl="1">
      <w:start w:val="0"/>
      <w:numFmt w:val="bullet"/>
      <w:lvlText w:val="•"/>
      <w:lvlJc w:val="left"/>
      <w:pPr>
        <w:ind w:left="2387" w:hanging="793"/>
      </w:pPr>
      <w:rPr>
        <w:rFonts w:hint="default"/>
      </w:rPr>
    </w:lvl>
    <w:lvl w:ilvl="2">
      <w:start w:val="0"/>
      <w:numFmt w:val="bullet"/>
      <w:lvlText w:val="•"/>
      <w:lvlJc w:val="left"/>
      <w:pPr>
        <w:ind w:left="3194" w:hanging="793"/>
      </w:pPr>
      <w:rPr>
        <w:rFonts w:hint="default"/>
      </w:rPr>
    </w:lvl>
    <w:lvl w:ilvl="3">
      <w:start w:val="0"/>
      <w:numFmt w:val="bullet"/>
      <w:lvlText w:val="•"/>
      <w:lvlJc w:val="left"/>
      <w:pPr>
        <w:ind w:left="4002" w:hanging="793"/>
      </w:pPr>
      <w:rPr>
        <w:rFonts w:hint="default"/>
      </w:rPr>
    </w:lvl>
    <w:lvl w:ilvl="4">
      <w:start w:val="0"/>
      <w:numFmt w:val="bullet"/>
      <w:lvlText w:val="•"/>
      <w:lvlJc w:val="left"/>
      <w:pPr>
        <w:ind w:left="4809" w:hanging="793"/>
      </w:pPr>
      <w:rPr>
        <w:rFonts w:hint="default"/>
      </w:rPr>
    </w:lvl>
    <w:lvl w:ilvl="5">
      <w:start w:val="0"/>
      <w:numFmt w:val="bullet"/>
      <w:lvlText w:val="•"/>
      <w:lvlJc w:val="left"/>
      <w:pPr>
        <w:ind w:left="5617" w:hanging="793"/>
      </w:pPr>
      <w:rPr>
        <w:rFonts w:hint="default"/>
      </w:rPr>
    </w:lvl>
    <w:lvl w:ilvl="6">
      <w:start w:val="0"/>
      <w:numFmt w:val="bullet"/>
      <w:lvlText w:val="•"/>
      <w:lvlJc w:val="left"/>
      <w:pPr>
        <w:ind w:left="6424" w:hanging="793"/>
      </w:pPr>
      <w:rPr>
        <w:rFonts w:hint="default"/>
      </w:rPr>
    </w:lvl>
    <w:lvl w:ilvl="7">
      <w:start w:val="0"/>
      <w:numFmt w:val="bullet"/>
      <w:lvlText w:val="•"/>
      <w:lvlJc w:val="left"/>
      <w:pPr>
        <w:ind w:left="7232" w:hanging="793"/>
      </w:pPr>
      <w:rPr>
        <w:rFonts w:hint="default"/>
      </w:rPr>
    </w:lvl>
    <w:lvl w:ilvl="8">
      <w:start w:val="0"/>
      <w:numFmt w:val="bullet"/>
      <w:lvlText w:val="•"/>
      <w:lvlJc w:val="left"/>
      <w:pPr>
        <w:ind w:left="8039" w:hanging="793"/>
      </w:pPr>
      <w:rPr>
        <w:rFonts w:hint="default"/>
      </w:rPr>
    </w:lvl>
  </w:abstractNum>
  <w:abstractNum w:abstractNumId="24">
    <w:nsid w:val="77D4107A"/>
    <w:multiLevelType w:val="hybridMultilevel"/>
    <w:tmpl w:val="00000000"/>
    <w:lvl w:ilvl="0">
      <w:start w:val="11"/>
      <w:numFmt w:val="decimal"/>
      <w:lvlText w:val="(%1)"/>
      <w:lvlJc w:val="left"/>
      <w:pPr>
        <w:ind w:left="114" w:hanging="638"/>
        <w:jc w:val="left"/>
      </w:pPr>
      <w:rPr>
        <w:rFonts w:ascii="宋体" w:eastAsia="宋体" w:hAnsi="宋体" w:cs="宋体" w:hint="default"/>
        <w:w w:val="102"/>
        <w:sz w:val="29"/>
        <w:szCs w:val="29"/>
      </w:rPr>
    </w:lvl>
    <w:lvl w:ilvl="1">
      <w:start w:val="0"/>
      <w:numFmt w:val="bullet"/>
      <w:lvlText w:val="•"/>
      <w:lvlJc w:val="left"/>
      <w:pPr>
        <w:ind w:left="1073" w:hanging="638"/>
      </w:pPr>
      <w:rPr>
        <w:rFonts w:hint="default"/>
      </w:rPr>
    </w:lvl>
    <w:lvl w:ilvl="2">
      <w:start w:val="0"/>
      <w:numFmt w:val="bullet"/>
      <w:lvlText w:val="•"/>
      <w:lvlJc w:val="left"/>
      <w:pPr>
        <w:ind w:left="2027" w:hanging="638"/>
      </w:pPr>
      <w:rPr>
        <w:rFonts w:hint="default"/>
      </w:rPr>
    </w:lvl>
    <w:lvl w:ilvl="3">
      <w:start w:val="0"/>
      <w:numFmt w:val="bullet"/>
      <w:lvlText w:val="•"/>
      <w:lvlJc w:val="left"/>
      <w:pPr>
        <w:ind w:left="2981" w:hanging="638"/>
      </w:pPr>
      <w:rPr>
        <w:rFonts w:hint="default"/>
      </w:rPr>
    </w:lvl>
    <w:lvl w:ilvl="4">
      <w:start w:val="0"/>
      <w:numFmt w:val="bullet"/>
      <w:lvlText w:val="•"/>
      <w:lvlJc w:val="left"/>
      <w:pPr>
        <w:ind w:left="3935" w:hanging="638"/>
      </w:pPr>
      <w:rPr>
        <w:rFonts w:hint="default"/>
      </w:rPr>
    </w:lvl>
    <w:lvl w:ilvl="5">
      <w:start w:val="0"/>
      <w:numFmt w:val="bullet"/>
      <w:lvlText w:val="•"/>
      <w:lvlJc w:val="left"/>
      <w:pPr>
        <w:ind w:left="4889" w:hanging="638"/>
      </w:pPr>
      <w:rPr>
        <w:rFonts w:hint="default"/>
      </w:rPr>
    </w:lvl>
    <w:lvl w:ilvl="6">
      <w:start w:val="0"/>
      <w:numFmt w:val="bullet"/>
      <w:lvlText w:val="•"/>
      <w:lvlJc w:val="left"/>
      <w:pPr>
        <w:ind w:left="5843" w:hanging="638"/>
      </w:pPr>
      <w:rPr>
        <w:rFonts w:hint="default"/>
      </w:rPr>
    </w:lvl>
    <w:lvl w:ilvl="7">
      <w:start w:val="0"/>
      <w:numFmt w:val="bullet"/>
      <w:lvlText w:val="•"/>
      <w:lvlJc w:val="left"/>
      <w:pPr>
        <w:ind w:left="6797" w:hanging="638"/>
      </w:pPr>
      <w:rPr>
        <w:rFonts w:hint="default"/>
      </w:rPr>
    </w:lvl>
    <w:lvl w:ilvl="8">
      <w:start w:val="0"/>
      <w:numFmt w:val="bullet"/>
      <w:lvlText w:val="•"/>
      <w:lvlJc w:val="left"/>
      <w:pPr>
        <w:ind w:left="7751" w:hanging="638"/>
      </w:pPr>
      <w:rPr>
        <w:rFonts w:hint="default"/>
      </w:rPr>
    </w:lvl>
  </w:abstractNum>
  <w:abstractNum w:abstractNumId="25">
    <w:nsid w:val="78815D5A"/>
    <w:multiLevelType w:val="hybridMultilevel"/>
    <w:tmpl w:val="00000000"/>
    <w:lvl w:ilvl="0">
      <w:start w:val="11"/>
      <w:numFmt w:val="decimal"/>
      <w:lvlText w:val="（%1）"/>
      <w:lvlJc w:val="left"/>
      <w:pPr>
        <w:ind w:left="114" w:hanging="959"/>
        <w:jc w:val="left"/>
      </w:pPr>
      <w:rPr>
        <w:rFonts w:ascii="宋体" w:eastAsia="宋体" w:hAnsi="宋体" w:cs="宋体" w:hint="default"/>
        <w:spacing w:val="0"/>
        <w:w w:val="102"/>
        <w:sz w:val="29"/>
        <w:szCs w:val="29"/>
      </w:rPr>
    </w:lvl>
    <w:lvl w:ilvl="1">
      <w:start w:val="0"/>
      <w:numFmt w:val="bullet"/>
      <w:lvlText w:val="•"/>
      <w:lvlJc w:val="left"/>
      <w:pPr>
        <w:ind w:left="1057" w:hanging="959"/>
      </w:pPr>
      <w:rPr>
        <w:rFonts w:hint="default"/>
      </w:rPr>
    </w:lvl>
    <w:lvl w:ilvl="2">
      <w:start w:val="0"/>
      <w:numFmt w:val="bullet"/>
      <w:lvlText w:val="•"/>
      <w:lvlJc w:val="left"/>
      <w:pPr>
        <w:ind w:left="1995" w:hanging="959"/>
      </w:pPr>
      <w:rPr>
        <w:rFonts w:hint="default"/>
      </w:rPr>
    </w:lvl>
    <w:lvl w:ilvl="3">
      <w:start w:val="0"/>
      <w:numFmt w:val="bullet"/>
      <w:lvlText w:val="•"/>
      <w:lvlJc w:val="left"/>
      <w:pPr>
        <w:ind w:left="2933" w:hanging="959"/>
      </w:pPr>
      <w:rPr>
        <w:rFonts w:hint="default"/>
      </w:rPr>
    </w:lvl>
    <w:lvl w:ilvl="4">
      <w:start w:val="0"/>
      <w:numFmt w:val="bullet"/>
      <w:lvlText w:val="•"/>
      <w:lvlJc w:val="left"/>
      <w:pPr>
        <w:ind w:left="3870" w:hanging="959"/>
      </w:pPr>
      <w:rPr>
        <w:rFonts w:hint="default"/>
      </w:rPr>
    </w:lvl>
    <w:lvl w:ilvl="5">
      <w:start w:val="0"/>
      <w:numFmt w:val="bullet"/>
      <w:lvlText w:val="•"/>
      <w:lvlJc w:val="left"/>
      <w:pPr>
        <w:ind w:left="4808" w:hanging="959"/>
      </w:pPr>
      <w:rPr>
        <w:rFonts w:hint="default"/>
      </w:rPr>
    </w:lvl>
    <w:lvl w:ilvl="6">
      <w:start w:val="0"/>
      <w:numFmt w:val="bullet"/>
      <w:lvlText w:val="•"/>
      <w:lvlJc w:val="left"/>
      <w:pPr>
        <w:ind w:left="5746" w:hanging="959"/>
      </w:pPr>
      <w:rPr>
        <w:rFonts w:hint="default"/>
      </w:rPr>
    </w:lvl>
    <w:lvl w:ilvl="7">
      <w:start w:val="0"/>
      <w:numFmt w:val="bullet"/>
      <w:lvlText w:val="•"/>
      <w:lvlJc w:val="left"/>
      <w:pPr>
        <w:ind w:left="6683" w:hanging="959"/>
      </w:pPr>
      <w:rPr>
        <w:rFonts w:hint="default"/>
      </w:rPr>
    </w:lvl>
    <w:lvl w:ilvl="8">
      <w:start w:val="0"/>
      <w:numFmt w:val="bullet"/>
      <w:lvlText w:val="•"/>
      <w:lvlJc w:val="left"/>
      <w:pPr>
        <w:ind w:left="7621" w:hanging="959"/>
      </w:pPr>
      <w:rPr>
        <w:rFonts w:hint="default"/>
      </w:rPr>
    </w:lvl>
  </w:abstractNum>
  <w:abstractNum w:abstractNumId="26">
    <w:nsid w:val="7A6B07C7"/>
    <w:multiLevelType w:val="hybridMultilevel"/>
    <w:tmpl w:val="00000000"/>
    <w:lvl w:ilvl="0">
      <w:start w:val="1"/>
      <w:numFmt w:val="decimal"/>
      <w:lvlText w:val="（%1）"/>
      <w:lvlJc w:val="left"/>
      <w:pPr>
        <w:ind w:left="1576" w:hanging="947"/>
        <w:jc w:val="left"/>
      </w:pPr>
      <w:rPr>
        <w:rFonts w:ascii="宋体" w:eastAsia="宋体" w:hAnsi="宋体" w:cs="宋体" w:hint="default"/>
        <w:w w:val="102"/>
        <w:sz w:val="31"/>
        <w:szCs w:val="31"/>
      </w:rPr>
    </w:lvl>
    <w:lvl w:ilvl="1">
      <w:start w:val="0"/>
      <w:numFmt w:val="bullet"/>
      <w:lvlText w:val="•"/>
      <w:lvlJc w:val="left"/>
      <w:pPr>
        <w:ind w:left="2370" w:hanging="947"/>
      </w:pPr>
      <w:rPr>
        <w:rFonts w:hint="default"/>
      </w:rPr>
    </w:lvl>
    <w:lvl w:ilvl="2">
      <w:start w:val="0"/>
      <w:numFmt w:val="bullet"/>
      <w:lvlText w:val="•"/>
      <w:lvlJc w:val="left"/>
      <w:pPr>
        <w:ind w:left="3160" w:hanging="947"/>
      </w:pPr>
      <w:rPr>
        <w:rFonts w:hint="default"/>
      </w:rPr>
    </w:lvl>
    <w:lvl w:ilvl="3">
      <w:start w:val="0"/>
      <w:numFmt w:val="bullet"/>
      <w:lvlText w:val="•"/>
      <w:lvlJc w:val="left"/>
      <w:pPr>
        <w:ind w:left="3950" w:hanging="947"/>
      </w:pPr>
      <w:rPr>
        <w:rFonts w:hint="default"/>
      </w:rPr>
    </w:lvl>
    <w:lvl w:ilvl="4">
      <w:start w:val="0"/>
      <w:numFmt w:val="bullet"/>
      <w:lvlText w:val="•"/>
      <w:lvlJc w:val="left"/>
      <w:pPr>
        <w:ind w:left="4740" w:hanging="947"/>
      </w:pPr>
      <w:rPr>
        <w:rFonts w:hint="default"/>
      </w:rPr>
    </w:lvl>
    <w:lvl w:ilvl="5">
      <w:start w:val="0"/>
      <w:numFmt w:val="bullet"/>
      <w:lvlText w:val="•"/>
      <w:lvlJc w:val="left"/>
      <w:pPr>
        <w:ind w:left="5530" w:hanging="947"/>
      </w:pPr>
      <w:rPr>
        <w:rFonts w:hint="default"/>
      </w:rPr>
    </w:lvl>
    <w:lvl w:ilvl="6">
      <w:start w:val="0"/>
      <w:numFmt w:val="bullet"/>
      <w:lvlText w:val="•"/>
      <w:lvlJc w:val="left"/>
      <w:pPr>
        <w:ind w:left="6320" w:hanging="947"/>
      </w:pPr>
      <w:rPr>
        <w:rFonts w:hint="default"/>
      </w:rPr>
    </w:lvl>
    <w:lvl w:ilvl="7">
      <w:start w:val="0"/>
      <w:numFmt w:val="bullet"/>
      <w:lvlText w:val="•"/>
      <w:lvlJc w:val="left"/>
      <w:pPr>
        <w:ind w:left="7110" w:hanging="947"/>
      </w:pPr>
      <w:rPr>
        <w:rFonts w:hint="default"/>
      </w:rPr>
    </w:lvl>
    <w:lvl w:ilvl="8">
      <w:start w:val="0"/>
      <w:numFmt w:val="bullet"/>
      <w:lvlText w:val="•"/>
      <w:lvlJc w:val="left"/>
      <w:pPr>
        <w:ind w:left="7900" w:hanging="947"/>
      </w:pPr>
      <w:rPr>
        <w:rFonts w:hint="default"/>
      </w:rPr>
    </w:lvl>
  </w:abstractNum>
  <w:num w:numId="1">
    <w:abstractNumId w:val="5"/>
  </w:num>
  <w:num w:numId="2">
    <w:abstractNumId w:val="20"/>
  </w:num>
  <w:num w:numId="3">
    <w:abstractNumId w:val="14"/>
  </w:num>
  <w:num w:numId="4">
    <w:abstractNumId w:val="0"/>
  </w:num>
  <w:num w:numId="5">
    <w:abstractNumId w:val="2"/>
  </w:num>
  <w:num w:numId="6">
    <w:abstractNumId w:val="26"/>
  </w:num>
  <w:num w:numId="7">
    <w:abstractNumId w:val="11"/>
  </w:num>
  <w:num w:numId="8">
    <w:abstractNumId w:val="23"/>
  </w:num>
  <w:num w:numId="9">
    <w:abstractNumId w:val="13"/>
  </w:num>
  <w:num w:numId="10">
    <w:abstractNumId w:val="16"/>
  </w:num>
  <w:num w:numId="11">
    <w:abstractNumId w:val="21"/>
  </w:num>
  <w:num w:numId="12">
    <w:abstractNumId w:val="9"/>
  </w:num>
  <w:num w:numId="13">
    <w:abstractNumId w:val="22"/>
  </w:num>
  <w:num w:numId="14">
    <w:abstractNumId w:val="7"/>
  </w:num>
  <w:num w:numId="15">
    <w:abstractNumId w:val="15"/>
  </w:num>
  <w:num w:numId="16">
    <w:abstractNumId w:val="8"/>
  </w:num>
  <w:num w:numId="17">
    <w:abstractNumId w:val="4"/>
  </w:num>
  <w:num w:numId="18">
    <w:abstractNumId w:val="10"/>
  </w:num>
  <w:num w:numId="19">
    <w:abstractNumId w:val="24"/>
  </w:num>
  <w:num w:numId="20">
    <w:abstractNumId w:val="1"/>
  </w:num>
  <w:num w:numId="21">
    <w:abstractNumId w:val="25"/>
  </w:num>
  <w:num w:numId="22">
    <w:abstractNumId w:val="12"/>
  </w:num>
  <w:num w:numId="23">
    <w:abstractNumId w:val="19"/>
  </w:num>
  <w:num w:numId="24">
    <w:abstractNumId w:val="6"/>
  </w:num>
  <w:num w:numId="25">
    <w:abstractNumId w:val="3"/>
  </w:num>
  <w:num w:numId="26">
    <w:abstractNumId w:val="17"/>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jc w:val="center"/>
      <w:outlineLvl w:val="0"/>
    </w:pPr>
    <w:rPr>
      <w:rFonts w:ascii="宋体" w:eastAsia="宋体" w:hAnsi="宋体" w:cs="宋体"/>
      <w:b/>
      <w:bCs/>
      <w:sz w:val="48"/>
      <w:szCs w:val="48"/>
    </w:rPr>
  </w:style>
  <w:style w:type="paragraph" w:styleId="Heading2">
    <w:name w:val="heading 2"/>
    <w:basedOn w:val="Normal"/>
    <w:uiPriority w:val="1"/>
    <w:qFormat/>
    <w:pPr>
      <w:jc w:val="center"/>
      <w:outlineLvl w:val="1"/>
    </w:pPr>
    <w:rPr>
      <w:rFonts w:ascii="宋体" w:eastAsia="宋体" w:hAnsi="宋体" w:cs="宋体"/>
      <w:b/>
      <w:bCs/>
      <w:sz w:val="45"/>
      <w:szCs w:val="45"/>
    </w:rPr>
  </w:style>
  <w:style w:type="paragraph" w:styleId="Heading3">
    <w:name w:val="heading 3"/>
    <w:basedOn w:val="Normal"/>
    <w:uiPriority w:val="1"/>
    <w:qFormat/>
    <w:pPr>
      <w:ind w:left="1255"/>
      <w:outlineLvl w:val="2"/>
    </w:pPr>
    <w:rPr>
      <w:rFonts w:ascii="宋体" w:eastAsia="宋体" w:hAnsi="宋体" w:cs="宋体"/>
      <w:b/>
      <w:bCs/>
      <w:sz w:val="42"/>
      <w:szCs w:val="42"/>
    </w:rPr>
  </w:style>
  <w:style w:type="paragraph" w:styleId="Heading4">
    <w:name w:val="heading 4"/>
    <w:basedOn w:val="Normal"/>
    <w:uiPriority w:val="1"/>
    <w:qFormat/>
    <w:pPr>
      <w:ind w:left="420"/>
      <w:outlineLvl w:val="3"/>
    </w:pPr>
    <w:rPr>
      <w:rFonts w:ascii="宋体" w:eastAsia="宋体" w:hAnsi="宋体" w:cs="宋体"/>
      <w:sz w:val="42"/>
      <w:szCs w:val="42"/>
    </w:rPr>
  </w:style>
  <w:style w:type="paragraph" w:styleId="Heading5">
    <w:name w:val="heading 5"/>
    <w:basedOn w:val="Normal"/>
    <w:uiPriority w:val="1"/>
    <w:qFormat/>
    <w:pPr>
      <w:spacing w:before="385"/>
      <w:ind w:right="77"/>
      <w:jc w:val="center"/>
      <w:outlineLvl w:val="4"/>
    </w:pPr>
    <w:rPr>
      <w:rFonts w:ascii="宋体" w:eastAsia="宋体" w:hAnsi="宋体" w:cs="宋体"/>
      <w:b/>
      <w:bCs/>
      <w:sz w:val="36"/>
      <w:szCs w:val="36"/>
    </w:rPr>
  </w:style>
  <w:style w:type="paragraph" w:styleId="Heading6">
    <w:name w:val="heading 6"/>
    <w:basedOn w:val="Normal"/>
    <w:uiPriority w:val="1"/>
    <w:qFormat/>
    <w:pPr>
      <w:ind w:left="420"/>
      <w:outlineLvl w:val="5"/>
    </w:pPr>
    <w:rPr>
      <w:rFonts w:ascii="宋体" w:eastAsia="宋体" w:hAnsi="宋体" w:cs="宋体"/>
      <w:sz w:val="33"/>
      <w:szCs w:val="33"/>
    </w:rPr>
  </w:style>
  <w:style w:type="paragraph" w:styleId="Heading7">
    <w:name w:val="heading 7"/>
    <w:basedOn w:val="Normal"/>
    <w:uiPriority w:val="1"/>
    <w:qFormat/>
    <w:pPr>
      <w:spacing w:before="204"/>
      <w:ind w:left="158"/>
      <w:outlineLvl w:val="6"/>
    </w:pPr>
    <w:rPr>
      <w:rFonts w:ascii="宋体" w:eastAsia="宋体" w:hAnsi="宋体" w:cs="宋体"/>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ind w:left="420"/>
    </w:pPr>
    <w:rPr>
      <w:rFonts w:ascii="宋体" w:eastAsia="宋体" w:hAnsi="宋体" w:cs="宋体"/>
      <w:b/>
      <w:bCs/>
      <w:sz w:val="36"/>
      <w:szCs w:val="36"/>
    </w:rPr>
  </w:style>
  <w:style w:type="paragraph" w:styleId="TOC2">
    <w:name w:val="toc 2"/>
    <w:basedOn w:val="Normal"/>
    <w:uiPriority w:val="1"/>
    <w:qFormat/>
    <w:pPr>
      <w:spacing w:before="475"/>
      <w:ind w:left="1140"/>
    </w:pPr>
    <w:rPr>
      <w:rFonts w:ascii="宋体" w:eastAsia="宋体" w:hAnsi="宋体" w:cs="宋体"/>
      <w:sz w:val="36"/>
      <w:szCs w:val="36"/>
    </w:r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line="922" w:lineRule="exact"/>
      <w:ind w:left="3034"/>
    </w:pPr>
    <w:rPr>
      <w:rFonts w:ascii="宋体" w:eastAsia="宋体" w:hAnsi="宋体" w:cs="宋体"/>
      <w:b/>
      <w:bCs/>
      <w:sz w:val="72"/>
      <w:szCs w:val="72"/>
    </w:rPr>
  </w:style>
  <w:style w:type="paragraph" w:styleId="ListParagraph">
    <w:name w:val="List Paragraph"/>
    <w:basedOn w:val="Normal"/>
    <w:uiPriority w:val="1"/>
    <w:qFormat/>
    <w:pPr>
      <w:ind w:left="1581" w:hanging="793"/>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footer" Target="footer10.xml" /><Relationship Id="rId16" Type="http://schemas.openxmlformats.org/officeDocument/2006/relationships/image" Target="media/image3.png" /><Relationship Id="rId17" Type="http://schemas.openxmlformats.org/officeDocument/2006/relationships/footer" Target="footer11.xml" /><Relationship Id="rId18" Type="http://schemas.openxmlformats.org/officeDocument/2006/relationships/footer" Target="footer12.xml" /><Relationship Id="rId19" Type="http://schemas.openxmlformats.org/officeDocument/2006/relationships/footer" Target="footer13.xml"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footer" Target="footer14.xml" /><Relationship Id="rId22" Type="http://schemas.openxmlformats.org/officeDocument/2006/relationships/footer" Target="footer15.xml" /><Relationship Id="rId23" Type="http://schemas.openxmlformats.org/officeDocument/2006/relationships/image" Target="media/image5.png" /><Relationship Id="rId24" Type="http://schemas.openxmlformats.org/officeDocument/2006/relationships/hyperlink" Target="https://d.book118.com/447020102034006045" TargetMode="External" /><Relationship Id="rId25" Type="http://schemas.openxmlformats.org/officeDocument/2006/relationships/footer" Target="footer16.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2024-02-03T20:09:42Z</dcterms:created>
  <dcterms:modified xsi:type="dcterms:W3CDTF">2024-02-03T20:09:42Z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LastSaved">
    <vt:filetime>2024-02-03T00:00:00Z</vt:filetime>
  </property>
</Properties>
</file>