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spacing w:line="240" w:lineRule="auto"/>
        <w:jc w:val="center"/>
        <w:rPr>
          <w:rFonts w:ascii="Times New Roman" w:hAnsi="Times New Roman" w:eastAsiaTheme="minorEastAsia"/>
          <w:snapToGrid w:val="0"/>
        </w:rPr>
      </w:pPr>
      <w:bookmarkStart w:id="0" w:name="_Toc80620563"/>
      <w:r>
        <w:rPr>
          <w:rFonts w:ascii="Times New Roman" w:hAnsi="Times New Roman" w:eastAsiaTheme="minorEastAsia"/>
          <w:snapToGrid w:val="0"/>
        </w:rPr>
        <w:t>一、建设项目基本情况</w:t>
      </w: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
      <w:tblGrid>
        <w:gridCol w:w="1431"/>
        <w:gridCol w:w="2239"/>
        <w:gridCol w:w="130"/>
        <w:gridCol w:w="2152"/>
        <w:gridCol w:w="2918"/>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Ex>
        <w:trPr>
          <w:trHeight w:val="497"/>
          <w:jc w:val="center"/>
        </w:trPr>
        <w:tc>
          <w:tcPr>
            <w:tcW w:w="1431" w:type="dxa"/>
            <w:tcMar>
              <w:top w:w="16" w:type="dxa"/>
              <w:left w:w="16" w:type="dxa"/>
              <w:right w:w="16" w:type="dxa"/>
            </w:tcMar>
            <w:vAlign w:val="center"/>
          </w:tcPr>
          <w:p>
            <w:pPr>
              <w:adjustRightInd w:val="0"/>
              <w:snapToGrid w:val="0"/>
              <w:jc w:val="center"/>
              <w:rPr>
                <w:rFonts w:eastAsiaTheme="minorEastAsia"/>
                <w:b/>
                <w:sz w:val="24"/>
              </w:rPr>
            </w:pPr>
            <w:bookmarkEnd w:id="0"/>
            <w:r>
              <w:rPr>
                <w:rFonts w:eastAsiaTheme="minorEastAsia"/>
                <w:b/>
                <w:sz w:val="24"/>
              </w:rPr>
              <w:t>建设项目名称</w:t>
            </w:r>
          </w:p>
        </w:tc>
        <w:tc>
          <w:tcPr>
            <w:tcW w:w="7439" w:type="dxa"/>
            <w:gridSpan w:val="4"/>
            <w:vAlign w:val="center"/>
          </w:tcPr>
          <w:p>
            <w:pPr>
              <w:adjustRightInd w:val="0"/>
              <w:snapToGrid w:val="0"/>
              <w:jc w:val="center"/>
              <w:rPr>
                <w:rFonts w:eastAsiaTheme="minorEastAsia"/>
                <w:sz w:val="24"/>
              </w:rPr>
            </w:pPr>
            <w:bookmarkStart w:id="1" w:name="_GoBack"/>
            <w:r>
              <w:rPr>
                <w:rFonts w:eastAsiaTheme="minorEastAsia"/>
                <w:sz w:val="24"/>
              </w:rPr>
              <w:t>年烘干粮食30000吨</w:t>
            </w:r>
            <w:bookmarkEnd w:id="1"/>
          </w:p>
        </w:tc>
      </w:tr>
      <w:tr>
        <w:tblPrEx>
          <w:tblW w:w="0" w:type="auto"/>
          <w:jc w:val="center"/>
          <w:tblCellMar>
            <w:top w:w="0" w:type="dxa"/>
            <w:left w:w="0" w:type="dxa"/>
            <w:bottom w:w="0" w:type="dxa"/>
            <w:right w:w="0" w:type="dxa"/>
          </w:tblCellMar>
        </w:tblPrEx>
        <w:trPr>
          <w:trHeight w:val="497"/>
          <w:jc w:val="center"/>
        </w:trPr>
        <w:tc>
          <w:tcPr>
            <w:tcW w:w="1431" w:type="dxa"/>
            <w:tcMar>
              <w:top w:w="16" w:type="dxa"/>
              <w:left w:w="16" w:type="dxa"/>
              <w:right w:w="16" w:type="dxa"/>
            </w:tcMar>
            <w:vAlign w:val="center"/>
          </w:tcPr>
          <w:p>
            <w:pPr>
              <w:adjustRightInd w:val="0"/>
              <w:snapToGrid w:val="0"/>
              <w:jc w:val="center"/>
              <w:rPr>
                <w:rFonts w:eastAsiaTheme="minorEastAsia"/>
                <w:b/>
                <w:sz w:val="24"/>
              </w:rPr>
            </w:pPr>
            <w:r>
              <w:rPr>
                <w:rFonts w:eastAsiaTheme="minorEastAsia"/>
                <w:b/>
                <w:sz w:val="24"/>
              </w:rPr>
              <w:t>项目代码</w:t>
            </w:r>
          </w:p>
        </w:tc>
        <w:tc>
          <w:tcPr>
            <w:tcW w:w="7439" w:type="dxa"/>
            <w:gridSpan w:val="4"/>
            <w:vAlign w:val="center"/>
          </w:tcPr>
          <w:p>
            <w:pPr>
              <w:adjustRightInd w:val="0"/>
              <w:snapToGrid w:val="0"/>
              <w:jc w:val="center"/>
              <w:rPr>
                <w:rFonts w:eastAsiaTheme="minorEastAsia"/>
                <w:sz w:val="24"/>
              </w:rPr>
            </w:pPr>
            <w:r>
              <w:rPr>
                <w:rFonts w:eastAsiaTheme="minorEastAsia"/>
                <w:sz w:val="24"/>
              </w:rPr>
              <w:t>2306-610523-04-01-593210</w:t>
            </w:r>
          </w:p>
        </w:tc>
      </w:tr>
      <w:tr>
        <w:tblPrEx>
          <w:tblW w:w="0" w:type="auto"/>
          <w:jc w:val="center"/>
          <w:tblCellMar>
            <w:top w:w="0" w:type="dxa"/>
            <w:left w:w="0" w:type="dxa"/>
            <w:bottom w:w="0" w:type="dxa"/>
            <w:right w:w="0" w:type="dxa"/>
          </w:tblCellMar>
        </w:tblPrEx>
        <w:trPr>
          <w:trHeight w:val="497"/>
          <w:jc w:val="center"/>
        </w:trPr>
        <w:tc>
          <w:tcPr>
            <w:tcW w:w="1431" w:type="dxa"/>
            <w:tcMar>
              <w:top w:w="16" w:type="dxa"/>
              <w:left w:w="16" w:type="dxa"/>
              <w:right w:w="16" w:type="dxa"/>
            </w:tcMar>
            <w:vAlign w:val="center"/>
          </w:tcPr>
          <w:p>
            <w:pPr>
              <w:adjustRightInd w:val="0"/>
              <w:snapToGrid w:val="0"/>
              <w:jc w:val="center"/>
              <w:rPr>
                <w:rFonts w:eastAsiaTheme="minorEastAsia"/>
                <w:b/>
                <w:sz w:val="24"/>
              </w:rPr>
            </w:pPr>
            <w:r>
              <w:rPr>
                <w:rFonts w:eastAsiaTheme="minorEastAsia"/>
                <w:b/>
                <w:sz w:val="24"/>
              </w:rPr>
              <w:t>建设单位联系人</w:t>
            </w:r>
          </w:p>
        </w:tc>
        <w:tc>
          <w:tcPr>
            <w:tcW w:w="2239" w:type="dxa"/>
            <w:vAlign w:val="center"/>
          </w:tcPr>
          <w:p>
            <w:pPr>
              <w:adjustRightInd w:val="0"/>
              <w:snapToGrid w:val="0"/>
              <w:jc w:val="center"/>
              <w:rPr>
                <w:rFonts w:eastAsiaTheme="minorEastAsia"/>
                <w:sz w:val="24"/>
              </w:rPr>
            </w:pPr>
          </w:p>
        </w:tc>
        <w:tc>
          <w:tcPr>
            <w:tcW w:w="2282" w:type="dxa"/>
            <w:gridSpan w:val="2"/>
            <w:vAlign w:val="center"/>
          </w:tcPr>
          <w:p>
            <w:pPr>
              <w:adjustRightInd w:val="0"/>
              <w:snapToGrid w:val="0"/>
              <w:jc w:val="center"/>
              <w:rPr>
                <w:rFonts w:eastAsiaTheme="minorEastAsia"/>
                <w:b/>
                <w:sz w:val="24"/>
              </w:rPr>
            </w:pPr>
            <w:r>
              <w:rPr>
                <w:rFonts w:eastAsiaTheme="minorEastAsia"/>
                <w:b/>
                <w:sz w:val="24"/>
              </w:rPr>
              <w:t>联系方式</w:t>
            </w:r>
          </w:p>
        </w:tc>
        <w:tc>
          <w:tcPr>
            <w:tcW w:w="2918" w:type="dxa"/>
            <w:vAlign w:val="center"/>
          </w:tcPr>
          <w:p>
            <w:pPr>
              <w:adjustRightInd w:val="0"/>
              <w:snapToGrid w:val="0"/>
              <w:jc w:val="center"/>
              <w:rPr>
                <w:rFonts w:eastAsiaTheme="minorEastAsia"/>
                <w:sz w:val="24"/>
              </w:rPr>
            </w:pPr>
          </w:p>
        </w:tc>
      </w:tr>
      <w:tr>
        <w:tblPrEx>
          <w:tblW w:w="0" w:type="auto"/>
          <w:jc w:val="center"/>
          <w:tblCellMar>
            <w:top w:w="0" w:type="dxa"/>
            <w:left w:w="0" w:type="dxa"/>
            <w:bottom w:w="0" w:type="dxa"/>
            <w:right w:w="0" w:type="dxa"/>
          </w:tblCellMar>
        </w:tblPrEx>
        <w:trPr>
          <w:trHeight w:val="497"/>
          <w:jc w:val="center"/>
        </w:trPr>
        <w:tc>
          <w:tcPr>
            <w:tcW w:w="1431" w:type="dxa"/>
            <w:tcMar>
              <w:top w:w="16" w:type="dxa"/>
              <w:left w:w="16" w:type="dxa"/>
              <w:right w:w="16" w:type="dxa"/>
            </w:tcMar>
            <w:vAlign w:val="center"/>
          </w:tcPr>
          <w:p>
            <w:pPr>
              <w:adjustRightInd w:val="0"/>
              <w:snapToGrid w:val="0"/>
              <w:jc w:val="center"/>
              <w:rPr>
                <w:rFonts w:eastAsiaTheme="minorEastAsia"/>
                <w:b/>
                <w:sz w:val="24"/>
              </w:rPr>
            </w:pPr>
            <w:r>
              <w:rPr>
                <w:rFonts w:eastAsiaTheme="minorEastAsia"/>
                <w:b/>
                <w:sz w:val="24"/>
              </w:rPr>
              <w:t>建设地点</w:t>
            </w:r>
          </w:p>
        </w:tc>
        <w:tc>
          <w:tcPr>
            <w:tcW w:w="7439" w:type="dxa"/>
            <w:gridSpan w:val="4"/>
            <w:vAlign w:val="center"/>
          </w:tcPr>
          <w:p>
            <w:pPr>
              <w:adjustRightInd w:val="0"/>
              <w:snapToGrid w:val="0"/>
              <w:jc w:val="center"/>
              <w:rPr>
                <w:rFonts w:eastAsiaTheme="minorEastAsia"/>
                <w:sz w:val="24"/>
              </w:rPr>
            </w:pPr>
            <w:r>
              <w:rPr>
                <w:rFonts w:eastAsiaTheme="minorEastAsia"/>
                <w:sz w:val="24"/>
              </w:rPr>
              <w:t>陕西省渭南市大荔县韦林镇韦留村</w:t>
            </w:r>
          </w:p>
        </w:tc>
      </w:tr>
      <w:tr>
        <w:tblPrEx>
          <w:tblW w:w="0" w:type="auto"/>
          <w:jc w:val="center"/>
          <w:tblCellMar>
            <w:top w:w="0" w:type="dxa"/>
            <w:left w:w="0" w:type="dxa"/>
            <w:bottom w:w="0" w:type="dxa"/>
            <w:right w:w="0" w:type="dxa"/>
          </w:tblCellMar>
        </w:tblPrEx>
        <w:trPr>
          <w:trHeight w:val="497"/>
          <w:jc w:val="center"/>
        </w:trPr>
        <w:tc>
          <w:tcPr>
            <w:tcW w:w="1431" w:type="dxa"/>
            <w:tcMar>
              <w:top w:w="16" w:type="dxa"/>
              <w:left w:w="16" w:type="dxa"/>
              <w:right w:w="16" w:type="dxa"/>
            </w:tcMar>
            <w:vAlign w:val="center"/>
          </w:tcPr>
          <w:p>
            <w:pPr>
              <w:adjustRightInd w:val="0"/>
              <w:snapToGrid w:val="0"/>
              <w:jc w:val="center"/>
              <w:rPr>
                <w:rFonts w:eastAsiaTheme="minorEastAsia"/>
                <w:b/>
                <w:sz w:val="24"/>
              </w:rPr>
            </w:pPr>
            <w:r>
              <w:rPr>
                <w:rFonts w:eastAsiaTheme="minorEastAsia"/>
                <w:b/>
                <w:sz w:val="24"/>
              </w:rPr>
              <w:t>地理坐标</w:t>
            </w:r>
          </w:p>
        </w:tc>
        <w:tc>
          <w:tcPr>
            <w:tcW w:w="7439" w:type="dxa"/>
            <w:gridSpan w:val="4"/>
            <w:vAlign w:val="center"/>
          </w:tcPr>
          <w:p>
            <w:pPr>
              <w:jc w:val="center"/>
              <w:rPr>
                <w:rFonts w:eastAsiaTheme="minorEastAsia"/>
                <w:sz w:val="24"/>
              </w:rPr>
            </w:pPr>
            <w:r>
              <w:rPr>
                <w:rFonts w:eastAsiaTheme="minorEastAsia"/>
                <w:sz w:val="24"/>
              </w:rPr>
              <w:t>（</w:t>
            </w:r>
            <w:r>
              <w:rPr>
                <w:rFonts w:eastAsiaTheme="minorEastAsia"/>
                <w:sz w:val="24"/>
                <w:u w:val="single"/>
              </w:rPr>
              <w:t xml:space="preserve"> 110 </w:t>
            </w:r>
            <w:r>
              <w:rPr>
                <w:rFonts w:eastAsiaTheme="minorEastAsia"/>
                <w:sz w:val="24"/>
              </w:rPr>
              <w:t>度</w:t>
            </w:r>
            <w:r>
              <w:rPr>
                <w:rFonts w:eastAsiaTheme="minorEastAsia"/>
                <w:sz w:val="24"/>
                <w:u w:val="single"/>
              </w:rPr>
              <w:t xml:space="preserve"> 3 </w:t>
            </w:r>
            <w:r>
              <w:rPr>
                <w:rFonts w:eastAsiaTheme="minorEastAsia"/>
                <w:sz w:val="24"/>
              </w:rPr>
              <w:t>分</w:t>
            </w:r>
            <w:r>
              <w:rPr>
                <w:rFonts w:eastAsiaTheme="minorEastAsia"/>
                <w:sz w:val="24"/>
                <w:u w:val="single"/>
              </w:rPr>
              <w:t xml:space="preserve"> 32.762 </w:t>
            </w:r>
            <w:r>
              <w:rPr>
                <w:rFonts w:eastAsiaTheme="minorEastAsia"/>
                <w:sz w:val="24"/>
              </w:rPr>
              <w:t>秒，</w:t>
            </w:r>
            <w:r>
              <w:rPr>
                <w:rFonts w:eastAsiaTheme="minorEastAsia"/>
                <w:sz w:val="24"/>
                <w:u w:val="single"/>
              </w:rPr>
              <w:t xml:space="preserve"> 34 </w:t>
            </w:r>
            <w:r>
              <w:rPr>
                <w:rFonts w:eastAsiaTheme="minorEastAsia"/>
                <w:sz w:val="24"/>
              </w:rPr>
              <w:t>度</w:t>
            </w:r>
            <w:r>
              <w:rPr>
                <w:rFonts w:eastAsiaTheme="minorEastAsia"/>
                <w:sz w:val="24"/>
                <w:u w:val="single"/>
              </w:rPr>
              <w:t xml:space="preserve"> 41 </w:t>
            </w:r>
            <w:r>
              <w:rPr>
                <w:rFonts w:eastAsiaTheme="minorEastAsia"/>
                <w:sz w:val="24"/>
              </w:rPr>
              <w:t>分</w:t>
            </w:r>
            <w:r>
              <w:rPr>
                <w:rFonts w:eastAsiaTheme="minorEastAsia"/>
                <w:sz w:val="24"/>
                <w:u w:val="single"/>
              </w:rPr>
              <w:t xml:space="preserve"> 37.454 </w:t>
            </w:r>
            <w:r>
              <w:rPr>
                <w:rFonts w:eastAsiaTheme="minorEastAsia"/>
                <w:sz w:val="24"/>
              </w:rPr>
              <w:t>秒）</w:t>
            </w:r>
          </w:p>
        </w:tc>
      </w:tr>
      <w:tr>
        <w:tblPrEx>
          <w:tblW w:w="0" w:type="auto"/>
          <w:jc w:val="center"/>
          <w:tblCellMar>
            <w:top w:w="0" w:type="dxa"/>
            <w:left w:w="0" w:type="dxa"/>
            <w:bottom w:w="0" w:type="dxa"/>
            <w:right w:w="0" w:type="dxa"/>
          </w:tblCellMar>
        </w:tblPrEx>
        <w:trPr>
          <w:trHeight w:val="561"/>
          <w:jc w:val="center"/>
        </w:trPr>
        <w:tc>
          <w:tcPr>
            <w:tcW w:w="1431" w:type="dxa"/>
            <w:tcMar>
              <w:top w:w="16" w:type="dxa"/>
              <w:left w:w="16" w:type="dxa"/>
              <w:right w:w="16" w:type="dxa"/>
            </w:tcMar>
            <w:vAlign w:val="center"/>
          </w:tcPr>
          <w:p>
            <w:pPr>
              <w:adjustRightInd w:val="0"/>
              <w:snapToGrid w:val="0"/>
              <w:jc w:val="center"/>
              <w:rPr>
                <w:rFonts w:eastAsiaTheme="minorEastAsia"/>
                <w:b/>
                <w:sz w:val="24"/>
              </w:rPr>
            </w:pPr>
            <w:r>
              <w:rPr>
                <w:rFonts w:eastAsiaTheme="minorEastAsia"/>
                <w:b/>
                <w:sz w:val="24"/>
              </w:rPr>
              <w:t>国民经济</w:t>
            </w:r>
          </w:p>
          <w:p>
            <w:pPr>
              <w:adjustRightInd w:val="0"/>
              <w:snapToGrid w:val="0"/>
              <w:jc w:val="center"/>
              <w:rPr>
                <w:rFonts w:eastAsiaTheme="minorEastAsia"/>
                <w:b/>
                <w:sz w:val="24"/>
              </w:rPr>
            </w:pPr>
            <w:r>
              <w:rPr>
                <w:rFonts w:eastAsiaTheme="minorEastAsia"/>
                <w:b/>
                <w:sz w:val="24"/>
              </w:rPr>
              <w:t>行业类别</w:t>
            </w:r>
          </w:p>
        </w:tc>
        <w:tc>
          <w:tcPr>
            <w:tcW w:w="2369" w:type="dxa"/>
            <w:gridSpan w:val="2"/>
            <w:vAlign w:val="center"/>
          </w:tcPr>
          <w:p>
            <w:pPr>
              <w:adjustRightInd w:val="0"/>
              <w:snapToGrid w:val="0"/>
              <w:jc w:val="center"/>
              <w:rPr>
                <w:rFonts w:eastAsiaTheme="minorEastAsia"/>
                <w:sz w:val="24"/>
              </w:rPr>
            </w:pPr>
            <w:r>
              <w:rPr>
                <w:rFonts w:eastAsiaTheme="minorEastAsia"/>
                <w:sz w:val="24"/>
              </w:rPr>
              <w:t>D4430 热力生产和供应</w:t>
            </w:r>
          </w:p>
        </w:tc>
        <w:tc>
          <w:tcPr>
            <w:tcW w:w="2152" w:type="dxa"/>
            <w:vAlign w:val="center"/>
          </w:tcPr>
          <w:p>
            <w:pPr>
              <w:adjustRightInd w:val="0"/>
              <w:snapToGrid w:val="0"/>
              <w:jc w:val="center"/>
              <w:rPr>
                <w:rFonts w:eastAsiaTheme="minorEastAsia"/>
                <w:b/>
                <w:sz w:val="24"/>
              </w:rPr>
            </w:pPr>
            <w:bookmarkStart w:id="2" w:name="_Hlk49843745"/>
            <w:r>
              <w:rPr>
                <w:rFonts w:eastAsiaTheme="minorEastAsia"/>
                <w:b/>
                <w:sz w:val="24"/>
              </w:rPr>
              <w:t>建设项目</w:t>
            </w:r>
          </w:p>
          <w:p>
            <w:pPr>
              <w:adjustRightInd w:val="0"/>
              <w:snapToGrid w:val="0"/>
              <w:jc w:val="center"/>
              <w:rPr>
                <w:rFonts w:eastAsiaTheme="minorEastAsia"/>
                <w:b/>
                <w:sz w:val="24"/>
              </w:rPr>
            </w:pPr>
            <w:r>
              <w:rPr>
                <w:rFonts w:eastAsiaTheme="minorEastAsia"/>
                <w:b/>
                <w:sz w:val="24"/>
              </w:rPr>
              <w:t>行业类别</w:t>
            </w:r>
            <w:bookmarkEnd w:id="2"/>
          </w:p>
        </w:tc>
        <w:tc>
          <w:tcPr>
            <w:tcW w:w="2918" w:type="dxa"/>
            <w:vAlign w:val="center"/>
          </w:tcPr>
          <w:p>
            <w:pPr>
              <w:adjustRightInd w:val="0"/>
              <w:snapToGrid w:val="0"/>
              <w:rPr>
                <w:rFonts w:eastAsiaTheme="minorEastAsia"/>
                <w:sz w:val="24"/>
              </w:rPr>
            </w:pPr>
            <w:r>
              <w:rPr>
                <w:rFonts w:eastAsiaTheme="minorEastAsia"/>
                <w:sz w:val="24"/>
              </w:rPr>
              <w:t>四十一、电力、热力生产和供应业 91热力生产和供应工程（包括建设单位自建自用的供热工程） 使用其他高污染燃料的（依据来源于《关于生物质锅炉等项目环评类别判定事宜的复函》环办环评函〔2021〕264号）</w:t>
            </w:r>
          </w:p>
        </w:tc>
      </w:tr>
      <w:tr>
        <w:tblPrEx>
          <w:tblW w:w="0" w:type="auto"/>
          <w:jc w:val="center"/>
          <w:tblCellMar>
            <w:top w:w="0" w:type="dxa"/>
            <w:left w:w="0" w:type="dxa"/>
            <w:bottom w:w="0" w:type="dxa"/>
            <w:right w:w="0" w:type="dxa"/>
          </w:tblCellMar>
        </w:tblPrEx>
        <w:trPr>
          <w:trHeight w:val="1219"/>
          <w:jc w:val="center"/>
        </w:trPr>
        <w:tc>
          <w:tcPr>
            <w:tcW w:w="1431" w:type="dxa"/>
            <w:tcMar>
              <w:top w:w="16" w:type="dxa"/>
              <w:left w:w="16" w:type="dxa"/>
              <w:right w:w="16" w:type="dxa"/>
            </w:tcMar>
            <w:vAlign w:val="center"/>
          </w:tcPr>
          <w:p>
            <w:pPr>
              <w:adjustRightInd w:val="0"/>
              <w:snapToGrid w:val="0"/>
              <w:jc w:val="center"/>
              <w:rPr>
                <w:rFonts w:eastAsiaTheme="minorEastAsia"/>
                <w:b/>
                <w:sz w:val="24"/>
              </w:rPr>
            </w:pPr>
            <w:r>
              <w:rPr>
                <w:rFonts w:eastAsiaTheme="minorEastAsia"/>
                <w:b/>
                <w:sz w:val="24"/>
              </w:rPr>
              <w:t>建设性质</w:t>
            </w:r>
          </w:p>
        </w:tc>
        <w:tc>
          <w:tcPr>
            <w:tcW w:w="2369" w:type="dxa"/>
            <w:gridSpan w:val="2"/>
            <w:vAlign w:val="center"/>
          </w:tcPr>
          <w:p>
            <w:pPr>
              <w:jc w:val="left"/>
              <w:rPr>
                <w:rFonts w:eastAsiaTheme="minorEastAsia"/>
                <w:sz w:val="24"/>
              </w:rPr>
            </w:pPr>
            <w:r>
              <w:rPr>
                <w:rFonts w:eastAsiaTheme="minorEastAsia"/>
                <w:sz w:val="24"/>
              </w:rPr>
              <w:t>√新建（迁建）</w:t>
            </w:r>
          </w:p>
          <w:p>
            <w:pPr>
              <w:jc w:val="left"/>
              <w:rPr>
                <w:rFonts w:eastAsiaTheme="minorEastAsia"/>
                <w:sz w:val="24"/>
              </w:rPr>
            </w:pPr>
            <w:r>
              <w:rPr>
                <w:rFonts w:eastAsiaTheme="minorEastAsia"/>
                <w:sz w:val="24"/>
              </w:rPr>
              <w:t>□改建</w:t>
            </w:r>
          </w:p>
          <w:p>
            <w:pPr>
              <w:jc w:val="left"/>
              <w:rPr>
                <w:rFonts w:eastAsiaTheme="minorEastAsia"/>
                <w:sz w:val="24"/>
              </w:rPr>
            </w:pPr>
            <w:r>
              <w:rPr>
                <w:rFonts w:eastAsiaTheme="minorEastAsia"/>
                <w:sz w:val="24"/>
              </w:rPr>
              <w:t>□扩建</w:t>
            </w:r>
          </w:p>
          <w:p>
            <w:pPr>
              <w:jc w:val="left"/>
              <w:rPr>
                <w:rFonts w:eastAsiaTheme="minorEastAsia"/>
                <w:sz w:val="24"/>
              </w:rPr>
            </w:pPr>
            <w:r>
              <w:rPr>
                <w:rFonts w:eastAsiaTheme="minorEastAsia"/>
                <w:sz w:val="24"/>
              </w:rPr>
              <w:t>□技术改造</w:t>
            </w:r>
          </w:p>
        </w:tc>
        <w:tc>
          <w:tcPr>
            <w:tcW w:w="2152" w:type="dxa"/>
            <w:vAlign w:val="center"/>
          </w:tcPr>
          <w:p>
            <w:pPr>
              <w:adjustRightInd w:val="0"/>
              <w:snapToGrid w:val="0"/>
              <w:jc w:val="center"/>
              <w:rPr>
                <w:rFonts w:eastAsiaTheme="minorEastAsia"/>
                <w:b/>
                <w:sz w:val="24"/>
              </w:rPr>
            </w:pPr>
            <w:r>
              <w:rPr>
                <w:rFonts w:eastAsiaTheme="minorEastAsia"/>
                <w:b/>
                <w:sz w:val="24"/>
              </w:rPr>
              <w:t>建设项目</w:t>
            </w:r>
          </w:p>
          <w:p>
            <w:pPr>
              <w:adjustRightInd w:val="0"/>
              <w:snapToGrid w:val="0"/>
              <w:jc w:val="center"/>
              <w:rPr>
                <w:rFonts w:eastAsiaTheme="minorEastAsia"/>
                <w:b/>
                <w:sz w:val="24"/>
              </w:rPr>
            </w:pPr>
            <w:r>
              <w:rPr>
                <w:rFonts w:eastAsiaTheme="minorEastAsia"/>
                <w:b/>
                <w:sz w:val="24"/>
              </w:rPr>
              <w:t>申报情形</w:t>
            </w:r>
          </w:p>
        </w:tc>
        <w:tc>
          <w:tcPr>
            <w:tcW w:w="2918" w:type="dxa"/>
            <w:vAlign w:val="center"/>
          </w:tcPr>
          <w:p>
            <w:pPr>
              <w:jc w:val="left"/>
              <w:rPr>
                <w:rFonts w:eastAsiaTheme="minorEastAsia"/>
                <w:sz w:val="24"/>
              </w:rPr>
            </w:pPr>
            <w:r>
              <w:rPr>
                <w:rFonts w:eastAsiaTheme="minorEastAsia"/>
                <w:sz w:val="24"/>
              </w:rPr>
              <w:t xml:space="preserve">√首次申报项目             </w:t>
            </w:r>
          </w:p>
          <w:p>
            <w:pPr>
              <w:jc w:val="left"/>
              <w:rPr>
                <w:rFonts w:eastAsiaTheme="minorEastAsia"/>
                <w:sz w:val="24"/>
              </w:rPr>
            </w:pPr>
            <w:r>
              <w:rPr>
                <w:rFonts w:eastAsiaTheme="minorEastAsia"/>
                <w:sz w:val="24"/>
              </w:rPr>
              <w:t>□不予批准后再次申报项目</w:t>
            </w:r>
          </w:p>
          <w:p>
            <w:pPr>
              <w:jc w:val="left"/>
              <w:rPr>
                <w:rFonts w:eastAsiaTheme="minorEastAsia"/>
                <w:sz w:val="24"/>
              </w:rPr>
            </w:pPr>
            <w:r>
              <w:rPr>
                <w:rFonts w:eastAsiaTheme="minorEastAsia"/>
                <w:sz w:val="24"/>
              </w:rPr>
              <w:t xml:space="preserve">□超五年重新审核项目     </w:t>
            </w:r>
          </w:p>
          <w:p>
            <w:pPr>
              <w:jc w:val="left"/>
              <w:rPr>
                <w:rFonts w:eastAsiaTheme="minorEastAsia"/>
                <w:sz w:val="24"/>
              </w:rPr>
            </w:pPr>
            <w:r>
              <w:rPr>
                <w:rFonts w:eastAsiaTheme="minorEastAsia"/>
                <w:sz w:val="24"/>
              </w:rPr>
              <w:t>□重大变动重新报批项目</w:t>
            </w:r>
          </w:p>
        </w:tc>
      </w:tr>
      <w:tr>
        <w:tblPrEx>
          <w:tblW w:w="0" w:type="auto"/>
          <w:jc w:val="center"/>
          <w:tblCellMar>
            <w:top w:w="0" w:type="dxa"/>
            <w:left w:w="0" w:type="dxa"/>
            <w:bottom w:w="0" w:type="dxa"/>
            <w:right w:w="0" w:type="dxa"/>
          </w:tblCellMar>
        </w:tblPrEx>
        <w:trPr>
          <w:trHeight w:val="851"/>
          <w:jc w:val="center"/>
        </w:trPr>
        <w:tc>
          <w:tcPr>
            <w:tcW w:w="1431" w:type="dxa"/>
            <w:tcMar>
              <w:top w:w="16" w:type="dxa"/>
              <w:left w:w="16" w:type="dxa"/>
              <w:right w:w="16" w:type="dxa"/>
            </w:tcMar>
            <w:vAlign w:val="center"/>
          </w:tcPr>
          <w:p>
            <w:pPr>
              <w:adjustRightInd w:val="0"/>
              <w:snapToGrid w:val="0"/>
              <w:jc w:val="center"/>
              <w:rPr>
                <w:rFonts w:eastAsiaTheme="minorEastAsia"/>
                <w:b/>
                <w:sz w:val="24"/>
              </w:rPr>
            </w:pPr>
            <w:r>
              <w:rPr>
                <w:rFonts w:eastAsiaTheme="minorEastAsia"/>
                <w:b/>
                <w:sz w:val="24"/>
              </w:rPr>
              <w:t>项目审批</w:t>
            </w:r>
          </w:p>
          <w:p>
            <w:pPr>
              <w:adjustRightInd w:val="0"/>
              <w:snapToGrid w:val="0"/>
              <w:jc w:val="center"/>
              <w:rPr>
                <w:rFonts w:eastAsiaTheme="minorEastAsia"/>
                <w:b/>
                <w:sz w:val="24"/>
              </w:rPr>
            </w:pPr>
            <w:r>
              <w:rPr>
                <w:rFonts w:eastAsiaTheme="minorEastAsia"/>
                <w:b/>
                <w:sz w:val="24"/>
              </w:rPr>
              <w:t>（核准/</w:t>
            </w:r>
          </w:p>
          <w:p>
            <w:pPr>
              <w:adjustRightInd w:val="0"/>
              <w:snapToGrid w:val="0"/>
              <w:jc w:val="center"/>
              <w:rPr>
                <w:rFonts w:eastAsiaTheme="minorEastAsia"/>
                <w:b/>
                <w:sz w:val="24"/>
              </w:rPr>
            </w:pPr>
            <w:r>
              <w:rPr>
                <w:rFonts w:eastAsiaTheme="minorEastAsia"/>
                <w:b/>
                <w:sz w:val="24"/>
              </w:rPr>
              <w:t>备案）部门（选填）</w:t>
            </w:r>
          </w:p>
        </w:tc>
        <w:tc>
          <w:tcPr>
            <w:tcW w:w="2369" w:type="dxa"/>
            <w:gridSpan w:val="2"/>
            <w:vAlign w:val="center"/>
          </w:tcPr>
          <w:p>
            <w:pPr>
              <w:adjustRightInd w:val="0"/>
              <w:snapToGrid w:val="0"/>
              <w:jc w:val="center"/>
              <w:rPr>
                <w:rFonts w:eastAsiaTheme="minorEastAsia"/>
                <w:sz w:val="24"/>
              </w:rPr>
            </w:pPr>
            <w:r>
              <w:rPr>
                <w:rFonts w:eastAsiaTheme="minorEastAsia"/>
                <w:sz w:val="24"/>
              </w:rPr>
              <w:t>大荔县行政审批服务局</w:t>
            </w:r>
          </w:p>
        </w:tc>
        <w:tc>
          <w:tcPr>
            <w:tcW w:w="2152" w:type="dxa"/>
            <w:vAlign w:val="center"/>
          </w:tcPr>
          <w:p>
            <w:pPr>
              <w:adjustRightInd w:val="0"/>
              <w:snapToGrid w:val="0"/>
              <w:jc w:val="center"/>
              <w:rPr>
                <w:rFonts w:eastAsiaTheme="minorEastAsia"/>
                <w:b/>
                <w:sz w:val="24"/>
              </w:rPr>
            </w:pPr>
            <w:r>
              <w:rPr>
                <w:rFonts w:eastAsiaTheme="minorEastAsia"/>
                <w:b/>
                <w:sz w:val="24"/>
              </w:rPr>
              <w:t>项目审批（核准/</w:t>
            </w:r>
          </w:p>
          <w:p>
            <w:pPr>
              <w:adjustRightInd w:val="0"/>
              <w:snapToGrid w:val="0"/>
              <w:jc w:val="center"/>
              <w:rPr>
                <w:rFonts w:eastAsiaTheme="minorEastAsia"/>
                <w:b/>
                <w:sz w:val="24"/>
              </w:rPr>
            </w:pPr>
            <w:r>
              <w:rPr>
                <w:rFonts w:eastAsiaTheme="minorEastAsia"/>
                <w:b/>
                <w:sz w:val="24"/>
              </w:rPr>
              <w:t>备案）文号（选填）</w:t>
            </w:r>
          </w:p>
        </w:tc>
        <w:tc>
          <w:tcPr>
            <w:tcW w:w="2918" w:type="dxa"/>
            <w:vAlign w:val="center"/>
          </w:tcPr>
          <w:p>
            <w:pPr>
              <w:adjustRightInd w:val="0"/>
              <w:snapToGrid w:val="0"/>
              <w:jc w:val="center"/>
              <w:rPr>
                <w:rFonts w:eastAsiaTheme="minorEastAsia"/>
                <w:sz w:val="24"/>
              </w:rPr>
            </w:pPr>
            <w:r>
              <w:rPr>
                <w:rFonts w:eastAsiaTheme="minorEastAsia"/>
                <w:sz w:val="24"/>
              </w:rPr>
              <w:t>2306-610523-04-01-593210</w:t>
            </w:r>
          </w:p>
        </w:tc>
      </w:tr>
      <w:tr>
        <w:tblPrEx>
          <w:tblW w:w="0" w:type="auto"/>
          <w:jc w:val="center"/>
          <w:tblCellMar>
            <w:top w:w="0" w:type="dxa"/>
            <w:left w:w="0" w:type="dxa"/>
            <w:bottom w:w="0" w:type="dxa"/>
            <w:right w:w="0" w:type="dxa"/>
          </w:tblCellMar>
        </w:tblPrEx>
        <w:trPr>
          <w:trHeight w:val="497"/>
          <w:jc w:val="center"/>
        </w:trPr>
        <w:tc>
          <w:tcPr>
            <w:tcW w:w="1431" w:type="dxa"/>
            <w:tcMar>
              <w:top w:w="16" w:type="dxa"/>
              <w:left w:w="16" w:type="dxa"/>
              <w:right w:w="16" w:type="dxa"/>
            </w:tcMar>
            <w:vAlign w:val="center"/>
          </w:tcPr>
          <w:p>
            <w:pPr>
              <w:adjustRightInd w:val="0"/>
              <w:snapToGrid w:val="0"/>
              <w:jc w:val="center"/>
              <w:rPr>
                <w:rFonts w:eastAsiaTheme="minorEastAsia"/>
                <w:b/>
                <w:sz w:val="24"/>
              </w:rPr>
            </w:pPr>
            <w:r>
              <w:rPr>
                <w:rFonts w:eastAsiaTheme="minorEastAsia"/>
                <w:b/>
                <w:sz w:val="24"/>
              </w:rPr>
              <w:t>总投资</w:t>
            </w:r>
          </w:p>
          <w:p>
            <w:pPr>
              <w:adjustRightInd w:val="0"/>
              <w:snapToGrid w:val="0"/>
              <w:jc w:val="center"/>
              <w:rPr>
                <w:rFonts w:eastAsiaTheme="minorEastAsia"/>
                <w:b/>
                <w:sz w:val="24"/>
              </w:rPr>
            </w:pPr>
            <w:r>
              <w:rPr>
                <w:rFonts w:eastAsiaTheme="minorEastAsia"/>
                <w:b/>
                <w:sz w:val="24"/>
              </w:rPr>
              <w:t>（万元）</w:t>
            </w:r>
          </w:p>
        </w:tc>
        <w:tc>
          <w:tcPr>
            <w:tcW w:w="2369" w:type="dxa"/>
            <w:gridSpan w:val="2"/>
            <w:vAlign w:val="center"/>
          </w:tcPr>
          <w:p>
            <w:pPr>
              <w:adjustRightInd w:val="0"/>
              <w:snapToGrid w:val="0"/>
              <w:jc w:val="center"/>
              <w:rPr>
                <w:rFonts w:eastAsiaTheme="minorEastAsia"/>
                <w:sz w:val="24"/>
              </w:rPr>
            </w:pPr>
            <w:r>
              <w:rPr>
                <w:rFonts w:eastAsiaTheme="minorEastAsia"/>
                <w:sz w:val="24"/>
              </w:rPr>
              <w:t>380</w:t>
            </w:r>
          </w:p>
        </w:tc>
        <w:tc>
          <w:tcPr>
            <w:tcW w:w="2152" w:type="dxa"/>
            <w:tcMar>
              <w:top w:w="16" w:type="dxa"/>
              <w:left w:w="16" w:type="dxa"/>
              <w:right w:w="16" w:type="dxa"/>
            </w:tcMar>
            <w:vAlign w:val="center"/>
          </w:tcPr>
          <w:p>
            <w:pPr>
              <w:adjustRightInd w:val="0"/>
              <w:snapToGrid w:val="0"/>
              <w:jc w:val="center"/>
              <w:rPr>
                <w:rFonts w:eastAsiaTheme="minorEastAsia"/>
                <w:b/>
                <w:sz w:val="24"/>
              </w:rPr>
            </w:pPr>
            <w:r>
              <w:rPr>
                <w:rFonts w:eastAsiaTheme="minorEastAsia"/>
                <w:b/>
                <w:sz w:val="24"/>
              </w:rPr>
              <w:t>环保投资（万元）</w:t>
            </w:r>
          </w:p>
        </w:tc>
        <w:tc>
          <w:tcPr>
            <w:tcW w:w="2918" w:type="dxa"/>
            <w:vAlign w:val="center"/>
          </w:tcPr>
          <w:p>
            <w:pPr>
              <w:adjustRightInd w:val="0"/>
              <w:snapToGrid w:val="0"/>
              <w:jc w:val="center"/>
              <w:rPr>
                <w:rFonts w:eastAsiaTheme="minorEastAsia"/>
                <w:sz w:val="24"/>
              </w:rPr>
            </w:pPr>
            <w:r>
              <w:rPr>
                <w:rFonts w:eastAsiaTheme="minorEastAsia"/>
                <w:sz w:val="24"/>
              </w:rPr>
              <w:t>37.1</w:t>
            </w:r>
          </w:p>
        </w:tc>
      </w:tr>
      <w:tr>
        <w:tblPrEx>
          <w:tblW w:w="0" w:type="auto"/>
          <w:jc w:val="center"/>
          <w:tblCellMar>
            <w:top w:w="0" w:type="dxa"/>
            <w:left w:w="0" w:type="dxa"/>
            <w:bottom w:w="0" w:type="dxa"/>
            <w:right w:w="0" w:type="dxa"/>
          </w:tblCellMar>
        </w:tblPrEx>
        <w:trPr>
          <w:trHeight w:val="497"/>
          <w:jc w:val="center"/>
        </w:trPr>
        <w:tc>
          <w:tcPr>
            <w:tcW w:w="1431" w:type="dxa"/>
            <w:tcMar>
              <w:top w:w="16" w:type="dxa"/>
              <w:left w:w="16" w:type="dxa"/>
              <w:right w:w="16" w:type="dxa"/>
            </w:tcMar>
            <w:vAlign w:val="center"/>
          </w:tcPr>
          <w:p>
            <w:pPr>
              <w:adjustRightInd w:val="0"/>
              <w:snapToGrid w:val="0"/>
              <w:jc w:val="center"/>
              <w:rPr>
                <w:rFonts w:eastAsiaTheme="minorEastAsia"/>
                <w:b/>
                <w:sz w:val="24"/>
              </w:rPr>
            </w:pPr>
            <w:r>
              <w:rPr>
                <w:rFonts w:eastAsiaTheme="minorEastAsia"/>
                <w:b/>
                <w:sz w:val="24"/>
              </w:rPr>
              <w:t>环保投资占比（%）</w:t>
            </w:r>
          </w:p>
        </w:tc>
        <w:tc>
          <w:tcPr>
            <w:tcW w:w="2369" w:type="dxa"/>
            <w:gridSpan w:val="2"/>
            <w:vAlign w:val="center"/>
          </w:tcPr>
          <w:p>
            <w:pPr>
              <w:adjustRightInd w:val="0"/>
              <w:snapToGrid w:val="0"/>
              <w:jc w:val="center"/>
              <w:rPr>
                <w:rFonts w:eastAsiaTheme="minorEastAsia"/>
                <w:sz w:val="24"/>
              </w:rPr>
            </w:pPr>
            <w:r>
              <w:rPr>
                <w:rFonts w:eastAsiaTheme="minorEastAsia"/>
                <w:sz w:val="24"/>
              </w:rPr>
              <w:t>9.76</w:t>
            </w:r>
          </w:p>
        </w:tc>
        <w:tc>
          <w:tcPr>
            <w:tcW w:w="2152" w:type="dxa"/>
            <w:tcMar>
              <w:top w:w="16" w:type="dxa"/>
              <w:left w:w="16" w:type="dxa"/>
              <w:right w:w="16" w:type="dxa"/>
            </w:tcMar>
            <w:vAlign w:val="center"/>
          </w:tcPr>
          <w:p>
            <w:pPr>
              <w:adjustRightInd w:val="0"/>
              <w:snapToGrid w:val="0"/>
              <w:jc w:val="center"/>
              <w:rPr>
                <w:rFonts w:eastAsiaTheme="minorEastAsia"/>
                <w:b/>
                <w:sz w:val="24"/>
              </w:rPr>
            </w:pPr>
            <w:r>
              <w:rPr>
                <w:rFonts w:eastAsiaTheme="minorEastAsia"/>
                <w:b/>
                <w:sz w:val="24"/>
              </w:rPr>
              <w:t>施工工期</w:t>
            </w:r>
          </w:p>
        </w:tc>
        <w:tc>
          <w:tcPr>
            <w:tcW w:w="2918" w:type="dxa"/>
            <w:vAlign w:val="center"/>
          </w:tcPr>
          <w:p>
            <w:pPr>
              <w:adjustRightInd w:val="0"/>
              <w:snapToGrid w:val="0"/>
              <w:jc w:val="center"/>
              <w:rPr>
                <w:rFonts w:eastAsiaTheme="minorEastAsia"/>
                <w:sz w:val="24"/>
              </w:rPr>
            </w:pPr>
            <w:r>
              <w:rPr>
                <w:rFonts w:eastAsiaTheme="minorEastAsia"/>
                <w:sz w:val="24"/>
              </w:rPr>
              <w:t>3个月</w:t>
            </w:r>
          </w:p>
        </w:tc>
      </w:tr>
      <w:tr>
        <w:tblPrEx>
          <w:tblW w:w="0" w:type="auto"/>
          <w:jc w:val="center"/>
          <w:tblCellMar>
            <w:top w:w="0" w:type="dxa"/>
            <w:left w:w="0" w:type="dxa"/>
            <w:bottom w:w="0" w:type="dxa"/>
            <w:right w:w="0" w:type="dxa"/>
          </w:tblCellMar>
        </w:tblPrEx>
        <w:trPr>
          <w:trHeight w:val="497"/>
          <w:jc w:val="center"/>
        </w:trPr>
        <w:tc>
          <w:tcPr>
            <w:tcW w:w="1431" w:type="dxa"/>
            <w:tcMar>
              <w:top w:w="16" w:type="dxa"/>
              <w:left w:w="16" w:type="dxa"/>
              <w:right w:w="16" w:type="dxa"/>
            </w:tcMar>
            <w:vAlign w:val="center"/>
          </w:tcPr>
          <w:p>
            <w:pPr>
              <w:adjustRightInd w:val="0"/>
              <w:snapToGrid w:val="0"/>
              <w:jc w:val="center"/>
              <w:rPr>
                <w:rFonts w:eastAsiaTheme="minorEastAsia"/>
                <w:b/>
                <w:sz w:val="24"/>
              </w:rPr>
            </w:pPr>
            <w:r>
              <w:rPr>
                <w:rFonts w:eastAsiaTheme="minorEastAsia"/>
                <w:b/>
                <w:sz w:val="24"/>
              </w:rPr>
              <w:t>是否开工</w:t>
            </w:r>
          </w:p>
        </w:tc>
        <w:tc>
          <w:tcPr>
            <w:tcW w:w="2369" w:type="dxa"/>
            <w:gridSpan w:val="2"/>
            <w:vAlign w:val="center"/>
          </w:tcPr>
          <w:p>
            <w:pPr>
              <w:adjustRightInd w:val="0"/>
              <w:snapToGrid w:val="0"/>
              <w:rPr>
                <w:rFonts w:eastAsiaTheme="minorEastAsia"/>
                <w:sz w:val="24"/>
              </w:rPr>
            </w:pPr>
            <w:r>
              <w:rPr>
                <w:rFonts w:ascii="Wingdings 2" w:hAnsi="Wingdings 2" w:eastAsiaTheme="minorEastAsia"/>
                <w:sz w:val="24"/>
              </w:rPr>
              <w:sym w:font="Wingdings 2" w:char="F0A3"/>
            </w:r>
            <w:r>
              <w:rPr>
                <w:rFonts w:eastAsiaTheme="minorEastAsia"/>
                <w:sz w:val="24"/>
              </w:rPr>
              <w:t>否</w:t>
            </w:r>
          </w:p>
          <w:p>
            <w:pPr>
              <w:adjustRightInd w:val="0"/>
              <w:snapToGrid w:val="0"/>
              <w:spacing w:after="0"/>
              <w:rPr>
                <w:rFonts w:eastAsiaTheme="minorEastAsia"/>
                <w:sz w:val="24"/>
              </w:rPr>
            </w:pPr>
            <w:r>
              <w:rPr>
                <w:rFonts w:eastAsiaTheme="minorEastAsia"/>
                <w:sz w:val="24"/>
              </w:rPr>
              <w:t>√是：</w:t>
            </w:r>
          </w:p>
        </w:tc>
        <w:tc>
          <w:tcPr>
            <w:tcW w:w="2152" w:type="dxa"/>
            <w:tcMar>
              <w:top w:w="16" w:type="dxa"/>
              <w:left w:w="16" w:type="dxa"/>
              <w:right w:w="16" w:type="dxa"/>
            </w:tcMar>
            <w:vAlign w:val="center"/>
          </w:tcPr>
          <w:p>
            <w:pPr>
              <w:adjustRightInd w:val="0"/>
              <w:snapToGrid w:val="0"/>
              <w:jc w:val="center"/>
              <w:rPr>
                <w:rFonts w:eastAsiaTheme="minorEastAsia"/>
                <w:b/>
                <w:spacing w:val="-6"/>
                <w:sz w:val="24"/>
              </w:rPr>
            </w:pPr>
            <w:r>
              <w:rPr>
                <w:rFonts w:eastAsiaTheme="minorEastAsia"/>
                <w:b/>
                <w:spacing w:val="-6"/>
                <w:sz w:val="24"/>
              </w:rPr>
              <w:t>用地（用海）</w:t>
            </w:r>
          </w:p>
        </w:tc>
        <w:tc>
          <w:tcPr>
            <w:tcW w:w="2918" w:type="dxa"/>
            <w:vAlign w:val="center"/>
          </w:tcPr>
          <w:p>
            <w:pPr>
              <w:adjustRightInd w:val="0"/>
              <w:snapToGrid w:val="0"/>
              <w:jc w:val="center"/>
              <w:rPr>
                <w:rFonts w:eastAsiaTheme="minorEastAsia"/>
                <w:sz w:val="24"/>
              </w:rPr>
            </w:pPr>
            <w:r>
              <w:rPr>
                <w:rFonts w:eastAsiaTheme="minorEastAsia"/>
                <w:sz w:val="24"/>
              </w:rPr>
              <w:t>8860</w:t>
            </w:r>
          </w:p>
        </w:tc>
      </w:tr>
    </w:tbl>
    <w:p>
      <w:pPr>
        <w:sectPr>
          <w:footerReference w:type="default" r:id="rId6"/>
          <w:pgSz w:w="11906" w:h="16838"/>
          <w:pgMar w:top="1701" w:right="1531" w:bottom="1701" w:left="1531" w:header="851" w:footer="1077" w:gutter="0"/>
          <w:pgNumType w:start="1"/>
          <w:cols w:num="1" w:space="72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
      <w:tblGrid>
        <w:gridCol w:w="1431"/>
        <w:gridCol w:w="2369"/>
        <w:gridCol w:w="2152"/>
        <w:gridCol w:w="2918"/>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Ex>
        <w:trPr>
          <w:trHeight w:val="497"/>
          <w:jc w:val="center"/>
        </w:trPr>
        <w:tc>
          <w:tcPr>
            <w:tcW w:w="1431" w:type="dxa"/>
            <w:tcMar>
              <w:top w:w="16" w:type="dxa"/>
              <w:left w:w="16" w:type="dxa"/>
              <w:right w:w="16" w:type="dxa"/>
            </w:tcMar>
            <w:vAlign w:val="center"/>
          </w:tcPr>
          <w:p>
            <w:pPr>
              <w:adjustRightInd w:val="0"/>
              <w:snapToGrid w:val="0"/>
              <w:jc w:val="center"/>
              <w:rPr>
                <w:rFonts w:eastAsiaTheme="minorEastAsia"/>
                <w:b/>
                <w:sz w:val="24"/>
              </w:rPr>
            </w:pPr>
            <w:r>
              <w:rPr>
                <w:rFonts w:eastAsiaTheme="minorEastAsia"/>
                <w:b/>
                <w:sz w:val="24"/>
              </w:rPr>
              <w:t>建设</w:t>
            </w:r>
          </w:p>
        </w:tc>
        <w:tc>
          <w:tcPr>
            <w:tcW w:w="2369" w:type="dxa"/>
            <w:vAlign w:val="center"/>
          </w:tcPr>
          <w:p>
            <w:pPr>
              <w:adjustRightInd w:val="0"/>
              <w:snapToGrid w:val="0"/>
              <w:spacing w:before="0"/>
              <w:rPr>
                <w:rFonts w:eastAsiaTheme="minorEastAsia"/>
                <w:sz w:val="24"/>
              </w:rPr>
            </w:pPr>
            <w:r>
              <w:rPr>
                <w:rFonts w:eastAsiaTheme="minorEastAsia"/>
                <w:sz w:val="24"/>
                <w:u w:val="single"/>
              </w:rPr>
              <w:t xml:space="preserve"> 项目主体工程基本建设完成，配套环保设施尚未建设，项目尚未开始正式运行</w:t>
            </w:r>
            <w:r>
              <w:rPr>
                <w:rFonts w:eastAsiaTheme="minorEastAsia"/>
                <w:sz w:val="24"/>
                <w:u w:val="single"/>
              </w:rPr>
              <w:t>。</w:t>
            </w:r>
          </w:p>
        </w:tc>
        <w:tc>
          <w:tcPr>
            <w:tcW w:w="2152" w:type="dxa"/>
            <w:tcMar>
              <w:top w:w="16" w:type="dxa"/>
              <w:left w:w="16" w:type="dxa"/>
              <w:right w:w="16" w:type="dxa"/>
            </w:tcMar>
            <w:vAlign w:val="center"/>
          </w:tcPr>
          <w:p>
            <w:pPr>
              <w:adjustRightInd w:val="0"/>
              <w:snapToGrid w:val="0"/>
              <w:jc w:val="center"/>
              <w:rPr>
                <w:rFonts w:eastAsiaTheme="minorEastAsia"/>
                <w:b/>
                <w:sz w:val="24"/>
              </w:rPr>
            </w:pPr>
            <w:r>
              <w:rPr>
                <w:rFonts w:eastAsiaTheme="minorEastAsia"/>
                <w:b/>
                <w:spacing w:val="-6"/>
                <w:sz w:val="24"/>
              </w:rPr>
              <w:t>面积（m</w:t>
            </w:r>
            <w:r>
              <w:rPr>
                <w:rFonts w:eastAsiaTheme="minorEastAsia"/>
                <w:b/>
                <w:spacing w:val="-6"/>
                <w:sz w:val="24"/>
                <w:vertAlign w:val="superscript"/>
              </w:rPr>
              <w:t>2</w:t>
            </w:r>
            <w:r>
              <w:rPr>
                <w:rFonts w:eastAsiaTheme="minorEastAsia"/>
                <w:b/>
                <w:spacing w:val="-6"/>
                <w:sz w:val="24"/>
              </w:rPr>
              <w:t>）</w:t>
            </w:r>
          </w:p>
        </w:tc>
        <w:tc>
          <w:tcPr>
            <w:tcW w:w="2918" w:type="dxa"/>
            <w:vAlign w:val="center"/>
          </w:tcPr>
          <w:p/>
        </w:tc>
      </w:tr>
      <w:tr>
        <w:tblPrEx>
          <w:tblW w:w="0" w:type="auto"/>
          <w:jc w:val="center"/>
          <w:tblCellMar>
            <w:top w:w="0" w:type="dxa"/>
            <w:left w:w="108" w:type="dxa"/>
            <w:bottom w:w="0" w:type="dxa"/>
            <w:right w:w="108" w:type="dxa"/>
          </w:tblCellMar>
        </w:tblPrEx>
        <w:trPr>
          <w:trHeight w:val="1350"/>
          <w:jc w:val="center"/>
        </w:trPr>
        <w:tc>
          <w:tcPr>
            <w:tcW w:w="1431" w:type="dxa"/>
            <w:vAlign w:val="center"/>
          </w:tcPr>
          <w:p>
            <w:pPr>
              <w:autoSpaceDE w:val="0"/>
              <w:autoSpaceDN w:val="0"/>
              <w:adjustRightInd w:val="0"/>
              <w:snapToGrid w:val="0"/>
              <w:jc w:val="center"/>
              <w:rPr>
                <w:rFonts w:eastAsiaTheme="minorEastAsia"/>
                <w:b/>
                <w:kern w:val="0"/>
                <w:sz w:val="24"/>
              </w:rPr>
            </w:pPr>
            <w:r>
              <w:rPr>
                <w:rFonts w:eastAsiaTheme="minorEastAsia"/>
                <w:b/>
                <w:kern w:val="0"/>
                <w:sz w:val="24"/>
              </w:rPr>
              <w:t>专项评价设置情况</w:t>
            </w:r>
          </w:p>
        </w:tc>
        <w:tc>
          <w:tcPr>
            <w:tcW w:w="7439" w:type="dxa"/>
            <w:gridSpan w:val="3"/>
            <w:vAlign w:val="center"/>
          </w:tcPr>
          <w:p>
            <w:pPr>
              <w:autoSpaceDE w:val="0"/>
              <w:autoSpaceDN w:val="0"/>
              <w:adjustRightInd w:val="0"/>
              <w:snapToGrid w:val="0"/>
              <w:jc w:val="center"/>
              <w:rPr>
                <w:rFonts w:eastAsiaTheme="minorEastAsia"/>
                <w:kern w:val="0"/>
                <w:sz w:val="24"/>
              </w:rPr>
            </w:pPr>
            <w:r>
              <w:rPr>
                <w:rFonts w:eastAsiaTheme="minorEastAsia"/>
                <w:kern w:val="0"/>
                <w:sz w:val="24"/>
              </w:rPr>
              <w:t>无</w:t>
            </w:r>
          </w:p>
        </w:tc>
      </w:tr>
      <w:tr>
        <w:tblPrEx>
          <w:tblW w:w="0" w:type="auto"/>
          <w:jc w:val="center"/>
          <w:tblCellMar>
            <w:top w:w="0" w:type="dxa"/>
            <w:left w:w="108" w:type="dxa"/>
            <w:bottom w:w="0" w:type="dxa"/>
            <w:right w:w="108" w:type="dxa"/>
          </w:tblCellMar>
        </w:tblPrEx>
        <w:trPr>
          <w:trHeight w:val="844"/>
          <w:jc w:val="center"/>
        </w:trPr>
        <w:tc>
          <w:tcPr>
            <w:tcW w:w="1431" w:type="dxa"/>
            <w:vAlign w:val="center"/>
          </w:tcPr>
          <w:p>
            <w:pPr>
              <w:autoSpaceDE w:val="0"/>
              <w:autoSpaceDN w:val="0"/>
              <w:adjustRightInd w:val="0"/>
              <w:snapToGrid w:val="0"/>
              <w:jc w:val="center"/>
              <w:rPr>
                <w:rFonts w:eastAsiaTheme="minorEastAsia"/>
                <w:b/>
                <w:kern w:val="0"/>
                <w:sz w:val="24"/>
              </w:rPr>
            </w:pPr>
            <w:r>
              <w:rPr>
                <w:rFonts w:eastAsiaTheme="minorEastAsia"/>
                <w:b/>
                <w:sz w:val="24"/>
              </w:rPr>
              <w:t>规划情况</w:t>
            </w:r>
          </w:p>
        </w:tc>
        <w:tc>
          <w:tcPr>
            <w:tcW w:w="7439" w:type="dxa"/>
            <w:gridSpan w:val="3"/>
            <w:vAlign w:val="center"/>
          </w:tcPr>
          <w:p>
            <w:pPr>
              <w:autoSpaceDE w:val="0"/>
              <w:autoSpaceDN w:val="0"/>
              <w:adjustRightInd w:val="0"/>
              <w:snapToGrid w:val="0"/>
              <w:jc w:val="center"/>
              <w:rPr>
                <w:rFonts w:eastAsiaTheme="minorEastAsia"/>
                <w:kern w:val="0"/>
                <w:sz w:val="24"/>
              </w:rPr>
            </w:pPr>
            <w:r>
              <w:rPr>
                <w:rFonts w:eastAsiaTheme="minorEastAsia"/>
                <w:kern w:val="0"/>
                <w:sz w:val="24"/>
              </w:rPr>
              <w:t>无</w:t>
            </w:r>
          </w:p>
        </w:tc>
      </w:tr>
      <w:tr>
        <w:tblPrEx>
          <w:tblW w:w="0" w:type="auto"/>
          <w:jc w:val="center"/>
          <w:tblCellMar>
            <w:top w:w="0" w:type="dxa"/>
            <w:left w:w="108" w:type="dxa"/>
            <w:bottom w:w="0" w:type="dxa"/>
            <w:right w:w="108" w:type="dxa"/>
          </w:tblCellMar>
        </w:tblPrEx>
        <w:trPr>
          <w:trHeight w:val="274"/>
          <w:jc w:val="center"/>
        </w:trPr>
        <w:tc>
          <w:tcPr>
            <w:tcW w:w="1431" w:type="dxa"/>
            <w:vAlign w:val="center"/>
          </w:tcPr>
          <w:p>
            <w:pPr>
              <w:adjustRightInd w:val="0"/>
              <w:snapToGrid w:val="0"/>
              <w:jc w:val="center"/>
              <w:rPr>
                <w:rFonts w:eastAsiaTheme="minorEastAsia"/>
                <w:b/>
                <w:sz w:val="24"/>
              </w:rPr>
            </w:pPr>
            <w:r>
              <w:rPr>
                <w:rFonts w:eastAsiaTheme="minorEastAsia"/>
                <w:b/>
                <w:sz w:val="24"/>
              </w:rPr>
              <w:t>规划环境影响评价情况</w:t>
            </w:r>
          </w:p>
        </w:tc>
        <w:tc>
          <w:tcPr>
            <w:tcW w:w="7439" w:type="dxa"/>
            <w:gridSpan w:val="3"/>
            <w:vAlign w:val="center"/>
          </w:tcPr>
          <w:p>
            <w:pPr>
              <w:autoSpaceDE w:val="0"/>
              <w:autoSpaceDN w:val="0"/>
              <w:adjustRightInd w:val="0"/>
              <w:snapToGrid w:val="0"/>
              <w:jc w:val="center"/>
              <w:rPr>
                <w:rFonts w:eastAsiaTheme="minorEastAsia"/>
                <w:kern w:val="0"/>
                <w:sz w:val="24"/>
              </w:rPr>
            </w:pPr>
            <w:r>
              <w:rPr>
                <w:rFonts w:eastAsiaTheme="minorEastAsia"/>
                <w:kern w:val="0"/>
                <w:sz w:val="24"/>
              </w:rPr>
              <w:t>无</w:t>
            </w:r>
          </w:p>
        </w:tc>
      </w:tr>
      <w:tr>
        <w:tblPrEx>
          <w:tblW w:w="0" w:type="auto"/>
          <w:jc w:val="center"/>
          <w:tblCellMar>
            <w:top w:w="0" w:type="dxa"/>
            <w:left w:w="108" w:type="dxa"/>
            <w:bottom w:w="0" w:type="dxa"/>
            <w:right w:w="108" w:type="dxa"/>
          </w:tblCellMar>
        </w:tblPrEx>
        <w:trPr>
          <w:trHeight w:val="1837"/>
          <w:jc w:val="center"/>
        </w:trPr>
        <w:tc>
          <w:tcPr>
            <w:tcW w:w="1431" w:type="dxa"/>
            <w:vAlign w:val="center"/>
          </w:tcPr>
          <w:p>
            <w:pPr>
              <w:autoSpaceDE w:val="0"/>
              <w:autoSpaceDN w:val="0"/>
              <w:adjustRightInd w:val="0"/>
              <w:snapToGrid w:val="0"/>
              <w:jc w:val="center"/>
              <w:rPr>
                <w:rFonts w:eastAsiaTheme="minorEastAsia"/>
                <w:b/>
                <w:kern w:val="0"/>
                <w:sz w:val="24"/>
              </w:rPr>
            </w:pPr>
            <w:r>
              <w:rPr>
                <w:rFonts w:eastAsiaTheme="minorEastAsia"/>
                <w:b/>
                <w:kern w:val="0"/>
                <w:sz w:val="24"/>
              </w:rPr>
              <w:t>规划及规划环境</w:t>
            </w:r>
          </w:p>
          <w:p>
            <w:pPr>
              <w:autoSpaceDE w:val="0"/>
              <w:autoSpaceDN w:val="0"/>
              <w:adjustRightInd w:val="0"/>
              <w:snapToGrid w:val="0"/>
              <w:jc w:val="center"/>
              <w:rPr>
                <w:rFonts w:eastAsiaTheme="minorEastAsia"/>
                <w:b/>
                <w:kern w:val="0"/>
                <w:sz w:val="24"/>
              </w:rPr>
            </w:pPr>
            <w:r>
              <w:rPr>
                <w:rFonts w:eastAsiaTheme="minorEastAsia"/>
                <w:b/>
                <w:kern w:val="0"/>
                <w:sz w:val="24"/>
              </w:rPr>
              <w:t>影响评价符合性分析</w:t>
            </w:r>
          </w:p>
        </w:tc>
        <w:tc>
          <w:tcPr>
            <w:tcW w:w="7439" w:type="dxa"/>
            <w:gridSpan w:val="3"/>
            <w:vAlign w:val="center"/>
          </w:tcPr>
          <w:p>
            <w:pPr>
              <w:autoSpaceDE w:val="0"/>
              <w:autoSpaceDN w:val="0"/>
              <w:adjustRightInd w:val="0"/>
              <w:snapToGrid w:val="0"/>
              <w:jc w:val="center"/>
              <w:rPr>
                <w:rFonts w:eastAsiaTheme="minorEastAsia"/>
              </w:rPr>
            </w:pPr>
            <w:r>
              <w:rPr>
                <w:rFonts w:eastAsiaTheme="minorEastAsia"/>
                <w:kern w:val="0"/>
                <w:sz w:val="24"/>
              </w:rPr>
              <w:t>无</w:t>
            </w:r>
          </w:p>
        </w:tc>
      </w:tr>
    </w:tbl>
    <w:p>
      <w:pPr>
        <w:sectPr>
          <w:footerReference w:type="default" r:id="rId7"/>
          <w:type w:val="nextPage"/>
          <w:pgSz w:w="11906" w:h="16838"/>
          <w:pgMar w:top="1701" w:right="1531" w:bottom="1701" w:left="1531" w:header="851" w:footer="1077" w:gutter="0"/>
          <w:pgNumType w:start="2"/>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1431"/>
        <w:gridCol w:w="7439"/>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9917"/>
          <w:jc w:val="center"/>
        </w:trPr>
        <w:tc>
          <w:tcPr>
            <w:tcW w:w="1431" w:type="dxa"/>
            <w:vAlign w:val="center"/>
          </w:tcPr>
          <w:p>
            <w:pPr>
              <w:autoSpaceDE w:val="0"/>
              <w:autoSpaceDN w:val="0"/>
              <w:adjustRightInd w:val="0"/>
              <w:snapToGrid w:val="0"/>
              <w:jc w:val="center"/>
              <w:rPr>
                <w:rFonts w:eastAsiaTheme="minorEastAsia"/>
                <w:b/>
                <w:kern w:val="0"/>
                <w:sz w:val="24"/>
              </w:rPr>
            </w:pPr>
            <w:r>
              <w:rPr>
                <w:rFonts w:eastAsiaTheme="minorEastAsia"/>
                <w:b/>
                <w:kern w:val="0"/>
                <w:sz w:val="24"/>
              </w:rPr>
              <w:t>其他符合性分析</w:t>
            </w:r>
          </w:p>
        </w:tc>
        <w:tc>
          <w:tcPr>
            <w:tcW w:w="7439" w:type="dxa"/>
            <w:vAlign w:val="center"/>
          </w:tcPr>
          <w:p>
            <w:pPr>
              <w:autoSpaceDE w:val="0"/>
              <w:autoSpaceDN w:val="0"/>
              <w:adjustRightInd w:val="0"/>
              <w:snapToGrid w:val="0"/>
              <w:spacing w:before="120" w:beforeLines="50" w:line="360" w:lineRule="auto"/>
              <w:jc w:val="left"/>
              <w:rPr>
                <w:rFonts w:eastAsiaTheme="minorEastAsia"/>
                <w:b/>
                <w:kern w:val="0"/>
                <w:sz w:val="24"/>
              </w:rPr>
            </w:pPr>
            <w:r>
              <w:rPr>
                <w:rFonts w:eastAsiaTheme="minorEastAsia"/>
                <w:b/>
                <w:kern w:val="0"/>
                <w:sz w:val="24"/>
              </w:rPr>
              <w:t>1、产业政策符合性分析</w:t>
            </w:r>
          </w:p>
          <w:p>
            <w:pPr>
              <w:autoSpaceDE w:val="0"/>
              <w:autoSpaceDN w:val="0"/>
              <w:adjustRightInd w:val="0"/>
              <w:snapToGrid w:val="0"/>
              <w:spacing w:line="360" w:lineRule="auto"/>
              <w:ind w:firstLine="480" w:firstLineChars="200"/>
              <w:jc w:val="left"/>
              <w:rPr>
                <w:rFonts w:eastAsiaTheme="minorEastAsia"/>
                <w:kern w:val="0"/>
                <w:sz w:val="24"/>
              </w:rPr>
            </w:pPr>
            <w:r>
              <w:rPr>
                <w:rFonts w:eastAsiaTheme="minorEastAsia"/>
                <w:kern w:val="0"/>
                <w:sz w:val="24"/>
              </w:rPr>
              <w:t>项目不属于《产业结构调整指导目录（2019年本）》中“鼓励类、限制类、淘汰类”，可视为允许类；不属于《陕西省限制投资类产业指导目录》（陕发改产业〔2007〕97号）中限制投资类项目；项目工艺、设备不含《部分工业行业淘汰落后生产工艺装备和产品指导目录》（工产业〔2010〕第122号）中淘汰落后的生产工艺装备。同时，项目已经由大荔县行政审批服务局备案确认（详见附件2）。</w:t>
            </w:r>
          </w:p>
          <w:p>
            <w:pPr>
              <w:autoSpaceDE w:val="0"/>
              <w:autoSpaceDN w:val="0"/>
              <w:adjustRightInd w:val="0"/>
              <w:snapToGrid w:val="0"/>
              <w:spacing w:line="360" w:lineRule="auto"/>
              <w:jc w:val="left"/>
              <w:rPr>
                <w:rFonts w:eastAsiaTheme="minorEastAsia"/>
                <w:b/>
                <w:kern w:val="0"/>
                <w:sz w:val="24"/>
              </w:rPr>
            </w:pPr>
            <w:r>
              <w:rPr>
                <w:rFonts w:eastAsiaTheme="minorEastAsia"/>
                <w:b/>
                <w:kern w:val="0"/>
                <w:sz w:val="24"/>
              </w:rPr>
              <w:t>2、相关环保政策符合性分析</w:t>
            </w:r>
          </w:p>
          <w:p>
            <w:pPr>
              <w:pStyle w:val="NormalIndent"/>
              <w:spacing w:before="0" w:line="360" w:lineRule="auto"/>
              <w:ind w:firstLine="480"/>
              <w:rPr>
                <w:rFonts w:ascii="Times New Roman" w:hAnsi="Times New Roman" w:eastAsiaTheme="minorEastAsia"/>
                <w:szCs w:val="24"/>
              </w:rPr>
            </w:pPr>
            <w:r>
              <w:rPr>
                <w:rFonts w:ascii="Times New Roman" w:hAnsi="Times New Roman" w:eastAsiaTheme="minorEastAsia"/>
                <w:szCs w:val="24"/>
              </w:rPr>
              <w:t>本项目与相关环保政策相符性分析见表1-1。</w:t>
            </w:r>
          </w:p>
          <w:p>
            <w:pPr>
              <w:adjustRightInd w:val="0"/>
              <w:snapToGrid w:val="0"/>
              <w:spacing w:after="48" w:afterLines="20"/>
              <w:jc w:val="center"/>
              <w:rPr>
                <w:rFonts w:eastAsiaTheme="minorEastAsia"/>
                <w:b/>
                <w:sz w:val="24"/>
              </w:rPr>
            </w:pPr>
            <w:r>
              <w:rPr>
                <w:rFonts w:eastAsiaTheme="minorEastAsia"/>
                <w:b/>
                <w:sz w:val="24"/>
              </w:rPr>
              <w:t>表1-1   相关环保政策相符性分析一览表</w:t>
            </w:r>
          </w:p>
          <w:tbl>
            <w:tblPr>
              <w:tblStyle w:val="TableNormal"/>
              <w:tblW w:w="5000" w:type="pc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0" w:type="dxa"/>
                <w:bottom w:w="0" w:type="dxa"/>
                <w:right w:w="0" w:type="dxa"/>
              </w:tblCellMar>
            </w:tblPr>
            <w:tblGrid>
              <w:gridCol w:w="1552"/>
              <w:gridCol w:w="3286"/>
              <w:gridCol w:w="1782"/>
              <w:gridCol w:w="573"/>
            </w:tblGrid>
            <w:tr>
              <w:tblPrEx>
                <w:tblW w:w="5000" w:type="pc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0" w:type="dxa"/>
                  <w:bottom w:w="0" w:type="dxa"/>
                  <w:right w:w="0" w:type="dxa"/>
                </w:tblCellMar>
              </w:tblPrEx>
              <w:tc>
                <w:tcPr>
                  <w:tcW w:w="1079" w:type="pct"/>
                  <w:vAlign w:val="center"/>
                </w:tcPr>
                <w:p>
                  <w:pPr>
                    <w:jc w:val="center"/>
                    <w:rPr>
                      <w:rFonts w:eastAsiaTheme="minorEastAsia"/>
                      <w:szCs w:val="21"/>
                    </w:rPr>
                  </w:pPr>
                  <w:r>
                    <w:rPr>
                      <w:rFonts w:eastAsiaTheme="minorEastAsia"/>
                      <w:szCs w:val="21"/>
                    </w:rPr>
                    <w:t>规划或政策名称</w:t>
                  </w:r>
                </w:p>
              </w:tc>
              <w:tc>
                <w:tcPr>
                  <w:tcW w:w="2284" w:type="pct"/>
                  <w:vAlign w:val="center"/>
                </w:tcPr>
                <w:p>
                  <w:pPr>
                    <w:jc w:val="center"/>
                    <w:rPr>
                      <w:rFonts w:eastAsiaTheme="minorEastAsia"/>
                      <w:szCs w:val="21"/>
                    </w:rPr>
                  </w:pPr>
                  <w:r>
                    <w:rPr>
                      <w:rFonts w:eastAsiaTheme="minorEastAsia"/>
                      <w:szCs w:val="21"/>
                    </w:rPr>
                    <w:t>规划或政策相关内容</w:t>
                  </w:r>
                </w:p>
              </w:tc>
              <w:tc>
                <w:tcPr>
                  <w:tcW w:w="1239" w:type="pct"/>
                  <w:vAlign w:val="center"/>
                </w:tcPr>
                <w:p>
                  <w:pPr>
                    <w:jc w:val="center"/>
                    <w:rPr>
                      <w:rFonts w:eastAsiaTheme="minorEastAsia"/>
                      <w:szCs w:val="21"/>
                    </w:rPr>
                  </w:pPr>
                  <w:r>
                    <w:rPr>
                      <w:rFonts w:eastAsiaTheme="minorEastAsia"/>
                      <w:szCs w:val="21"/>
                    </w:rPr>
                    <w:t>本项目情况</w:t>
                  </w:r>
                </w:p>
              </w:tc>
              <w:tc>
                <w:tcPr>
                  <w:tcW w:w="398" w:type="pct"/>
                  <w:vAlign w:val="center"/>
                </w:tcPr>
                <w:p>
                  <w:pPr>
                    <w:jc w:val="center"/>
                    <w:rPr>
                      <w:rFonts w:eastAsiaTheme="minorEastAsia"/>
                      <w:szCs w:val="21"/>
                    </w:rPr>
                  </w:pPr>
                  <w:r>
                    <w:rPr>
                      <w:rFonts w:eastAsiaTheme="minorEastAsia"/>
                      <w:szCs w:val="21"/>
                    </w:rPr>
                    <w:t>符合性</w:t>
                  </w:r>
                </w:p>
              </w:tc>
            </w:tr>
            <w:tr>
              <w:tblPrEx>
                <w:tblW w:w="5000" w:type="pct"/>
                <w:tblInd w:w="0" w:type="dxa"/>
                <w:tblCellMar>
                  <w:top w:w="0" w:type="dxa"/>
                  <w:left w:w="0" w:type="dxa"/>
                  <w:bottom w:w="0" w:type="dxa"/>
                  <w:right w:w="0" w:type="dxa"/>
                </w:tblCellMar>
              </w:tblPrEx>
              <w:tc>
                <w:tcPr>
                  <w:tcW w:w="1079" w:type="pct"/>
                  <w:vAlign w:val="center"/>
                </w:tcPr>
                <w:p>
                  <w:pPr>
                    <w:adjustRightInd w:val="0"/>
                    <w:snapToGrid w:val="0"/>
                    <w:spacing w:line="240" w:lineRule="atLeast"/>
                    <w:jc w:val="center"/>
                    <w:rPr>
                      <w:rFonts w:eastAsiaTheme="minorEastAsia"/>
                      <w:szCs w:val="21"/>
                    </w:rPr>
                  </w:pPr>
                  <w:r>
                    <w:rPr>
                      <w:rFonts w:eastAsiaTheme="minorEastAsia"/>
                      <w:szCs w:val="21"/>
                    </w:rPr>
                    <w:t>《陕西省大气污染防治条例（2019年修正）》</w:t>
                  </w:r>
                </w:p>
              </w:tc>
              <w:tc>
                <w:tcPr>
                  <w:tcW w:w="2284" w:type="pct"/>
                  <w:vAlign w:val="center"/>
                </w:tcPr>
                <w:p>
                  <w:pPr>
                    <w:autoSpaceDE w:val="0"/>
                    <w:autoSpaceDN w:val="0"/>
                    <w:adjustRightInd w:val="0"/>
                    <w:spacing w:line="240" w:lineRule="atLeast"/>
                    <w:jc w:val="left"/>
                    <w:rPr>
                      <w:rFonts w:eastAsiaTheme="minorEastAsia"/>
                      <w:szCs w:val="21"/>
                      <w:lang w:val="en-GB"/>
                    </w:rPr>
                  </w:pPr>
                  <w:r>
                    <w:rPr>
                      <w:rFonts w:eastAsiaTheme="minorEastAsia"/>
                      <w:szCs w:val="21"/>
                    </w:rPr>
                    <w:t>第三十三条 企业应当优先采用能源和原材料利用效率高、污染物排放量少的清洁生产技术、工艺和装备，减少大气污染物的产生和排放。</w:t>
                  </w:r>
                </w:p>
              </w:tc>
              <w:tc>
                <w:tcPr>
                  <w:tcW w:w="1239" w:type="pct"/>
                  <w:vAlign w:val="center"/>
                </w:tcPr>
                <w:p>
                  <w:pPr>
                    <w:autoSpaceDE w:val="0"/>
                    <w:autoSpaceDN w:val="0"/>
                    <w:adjustRightInd w:val="0"/>
                    <w:spacing w:line="240" w:lineRule="atLeast"/>
                    <w:jc w:val="left"/>
                    <w:rPr>
                      <w:rFonts w:eastAsiaTheme="minorEastAsia"/>
                      <w:szCs w:val="21"/>
                      <w:lang w:val="en-GB"/>
                    </w:rPr>
                  </w:pPr>
                  <w:r>
                    <w:rPr>
                      <w:rFonts w:eastAsiaTheme="minorEastAsia"/>
                      <w:szCs w:val="21"/>
                    </w:rPr>
                    <w:t>本项目以生物质为燃料，污染物产生量相对较小。</w:t>
                  </w:r>
                </w:p>
              </w:tc>
              <w:tc>
                <w:tcPr>
                  <w:tcW w:w="398" w:type="pct"/>
                  <w:vAlign w:val="center"/>
                </w:tcPr>
                <w:p>
                  <w:pPr>
                    <w:spacing w:line="240" w:lineRule="atLeast"/>
                    <w:jc w:val="center"/>
                    <w:rPr>
                      <w:rFonts w:eastAsiaTheme="minorEastAsia"/>
                      <w:szCs w:val="21"/>
                    </w:rPr>
                  </w:pPr>
                  <w:r>
                    <w:rPr>
                      <w:rFonts w:eastAsiaTheme="minorEastAsia"/>
                      <w:kern w:val="0"/>
                      <w:szCs w:val="21"/>
                    </w:rPr>
                    <w:t>符合</w:t>
                  </w:r>
                </w:p>
              </w:tc>
            </w:tr>
            <w:tr>
              <w:tblPrEx>
                <w:tblW w:w="5000" w:type="pct"/>
                <w:tblInd w:w="0" w:type="dxa"/>
                <w:tblCellMar>
                  <w:top w:w="0" w:type="dxa"/>
                  <w:left w:w="0" w:type="dxa"/>
                  <w:bottom w:w="0" w:type="dxa"/>
                  <w:right w:w="0" w:type="dxa"/>
                </w:tblCellMar>
              </w:tblPrEx>
              <w:tc>
                <w:tcPr>
                  <w:tcW w:w="1079" w:type="pct"/>
                  <w:vAlign w:val="center"/>
                </w:tcPr>
                <w:p>
                  <w:pPr>
                    <w:jc w:val="center"/>
                    <w:rPr>
                      <w:rFonts w:eastAsiaTheme="minorEastAsia"/>
                      <w:szCs w:val="21"/>
                    </w:rPr>
                  </w:pPr>
                  <w:r>
                    <w:rPr>
                      <w:rFonts w:eastAsiaTheme="minorEastAsia"/>
                      <w:szCs w:val="21"/>
                    </w:rPr>
                    <w:t>《渭南市国民经济和社会发展第十四个五年规划和二〇三五年远景目标纲要》渭政发〔2021〕11号）</w:t>
                  </w:r>
                </w:p>
              </w:tc>
              <w:tc>
                <w:tcPr>
                  <w:tcW w:w="2284" w:type="pct"/>
                  <w:vAlign w:val="center"/>
                </w:tcPr>
                <w:p>
                  <w:pPr>
                    <w:rPr>
                      <w:rFonts w:eastAsiaTheme="minorEastAsia"/>
                    </w:rPr>
                  </w:pPr>
                  <w:r>
                    <w:rPr>
                      <w:rFonts w:eastAsiaTheme="minorEastAsia"/>
                    </w:rPr>
                    <w:t>全面推进大气污染防治。积极应对气候变化，调整优化产业、能源、运输和用地结构，做好碳达峰、碳中和工作，有效控制温室气体排放。以持续改善大气环境质量为核心，深入开展汾渭平原及关中地区大气污染联防联控行动，加强重点行业污染治理和超低排放改造，减少污染物排放。狠抓工业污染源减排，重点开展钢铁、焦化、建材等行业超低排放改造，加强工业炉窑综合整治和煤炭清洁利用，推进挥发性有机物污染防治。</w:t>
                  </w:r>
                </w:p>
              </w:tc>
              <w:tc>
                <w:tcPr>
                  <w:tcW w:w="1239" w:type="pct"/>
                  <w:vAlign w:val="center"/>
                </w:tcPr>
                <w:p>
                  <w:pPr>
                    <w:jc w:val="center"/>
                    <w:rPr>
                      <w:rFonts w:eastAsiaTheme="minorEastAsia"/>
                    </w:rPr>
                  </w:pPr>
                  <w:r>
                    <w:rPr>
                      <w:rFonts w:eastAsiaTheme="minorEastAsia"/>
                    </w:rPr>
                    <w:t>项目产生的废气主要为生物质燃烧废气、含尘废气，均采取相应措施，废气均能稳定达标排放。</w:t>
                  </w:r>
                </w:p>
              </w:tc>
              <w:tc>
                <w:tcPr>
                  <w:tcW w:w="398" w:type="pct"/>
                  <w:vAlign w:val="center"/>
                </w:tcPr>
                <w:p>
                  <w:pPr>
                    <w:widowControl/>
                    <w:adjustRightInd w:val="0"/>
                    <w:snapToGrid w:val="0"/>
                    <w:jc w:val="center"/>
                    <w:rPr>
                      <w:rFonts w:eastAsiaTheme="minorEastAsia"/>
                    </w:rPr>
                  </w:pPr>
                  <w:r>
                    <w:rPr>
                      <w:rFonts w:eastAsiaTheme="minorEastAsia"/>
                    </w:rPr>
                    <w:t>符合</w:t>
                  </w:r>
                </w:p>
              </w:tc>
            </w:tr>
            <w:tr>
              <w:tblPrEx>
                <w:tblW w:w="5000" w:type="pct"/>
                <w:tblInd w:w="0" w:type="dxa"/>
                <w:tblCellMar>
                  <w:top w:w="0" w:type="dxa"/>
                  <w:left w:w="0" w:type="dxa"/>
                  <w:bottom w:w="0" w:type="dxa"/>
                  <w:right w:w="0" w:type="dxa"/>
                </w:tblCellMar>
              </w:tblPrEx>
              <w:tc>
                <w:tcPr>
                  <w:tcW w:w="1079" w:type="pct"/>
                  <w:vAlign w:val="center"/>
                </w:tcPr>
                <w:p>
                  <w:pPr>
                    <w:tabs>
                      <w:tab w:val="left" w:pos="5302"/>
                    </w:tabs>
                    <w:adjustRightInd w:val="0"/>
                    <w:snapToGrid w:val="0"/>
                    <w:jc w:val="center"/>
                    <w:rPr>
                      <w:rFonts w:eastAsiaTheme="minorEastAsia"/>
                      <w:kern w:val="0"/>
                      <w:szCs w:val="21"/>
                      <w:lang w:bidi="ar"/>
                    </w:rPr>
                  </w:pPr>
                  <w:r>
                    <w:rPr>
                      <w:rFonts w:eastAsiaTheme="minorEastAsia"/>
                      <w:kern w:val="0"/>
                      <w:szCs w:val="21"/>
                      <w:lang w:bidi="ar"/>
                    </w:rPr>
                    <w:t>《陕西省生态环境厅关于进一步加强关中地区涉气重点行业项目环评管理的通知》（陕环环评函[2023]76号）</w:t>
                  </w:r>
                </w:p>
              </w:tc>
              <w:tc>
                <w:tcPr>
                  <w:tcW w:w="2284" w:type="pct"/>
                  <w:vAlign w:val="center"/>
                </w:tcPr>
                <w:p>
                  <w:pPr>
                    <w:numPr>
                      <w:ilvl w:val="0"/>
                      <w:numId w:val="1"/>
                    </w:numPr>
                    <w:tabs>
                      <w:tab w:val="left" w:pos="5302"/>
                    </w:tabs>
                    <w:adjustRightInd w:val="0"/>
                    <w:snapToGrid w:val="0"/>
                    <w:spacing w:after="0"/>
                    <w:jc w:val="left"/>
                    <w:rPr>
                      <w:rFonts w:eastAsiaTheme="minorEastAsia"/>
                      <w:kern w:val="0"/>
                      <w:szCs w:val="21"/>
                      <w:lang w:bidi="ar"/>
                    </w:rPr>
                  </w:pPr>
                </w:p>
              </w:tc>
              <w:tc>
                <w:tcPr>
                  <w:tcW w:w="1239" w:type="pct"/>
                  <w:vAlign w:val="center"/>
                </w:tcPr>
                <w:p>
                  <w:pPr>
                    <w:spacing w:after="0"/>
                    <w:jc w:val="center"/>
                    <w:rPr>
                      <w:rFonts w:eastAsiaTheme="minorEastAsia"/>
                    </w:rPr>
                  </w:pPr>
                </w:p>
              </w:tc>
              <w:tc>
                <w:tcPr>
                  <w:tcW w:w="398" w:type="pct"/>
                  <w:vAlign w:val="center"/>
                </w:tcPr>
                <w:p>
                  <w:pPr>
                    <w:widowControl/>
                    <w:adjustRightInd w:val="0"/>
                    <w:snapToGrid w:val="0"/>
                    <w:jc w:val="center"/>
                    <w:rPr>
                      <w:rFonts w:eastAsiaTheme="minorEastAsia"/>
                    </w:rPr>
                  </w:pPr>
                  <w:r>
                    <w:rPr>
                      <w:rFonts w:eastAsiaTheme="minorEastAsia"/>
                    </w:rPr>
                    <w:t>符合</w:t>
                  </w:r>
                </w:p>
              </w:tc>
            </w:tr>
          </w:tbl>
          <w:p/>
        </w:tc>
      </w:tr>
    </w:tbl>
    <w:p>
      <w:pPr>
        <w:sectPr>
          <w:footerReference w:type="default" r:id="rId8"/>
          <w:type w:val="nextPage"/>
          <w:pgSz w:w="11906" w:h="16838"/>
          <w:pgMar w:top="1701" w:right="1531" w:bottom="1701" w:left="1531" w:header="851" w:footer="1077" w:gutter="0"/>
          <w:pgNumType w:start="3"/>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1431"/>
        <w:gridCol w:w="7439"/>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9917"/>
          <w:jc w:val="center"/>
        </w:trPr>
        <w:tc>
          <w:tcPr>
            <w:tcW w:w="1431" w:type="dxa"/>
            <w:vAlign w:val="center"/>
          </w:tcPr>
          <w:p/>
        </w:tc>
        <w:tc>
          <w:tcPr>
            <w:tcW w:w="7439" w:type="dxa"/>
            <w:vAlign w:val="center"/>
          </w:tcPr>
          <w:tbl>
            <w:tblPr>
              <w:tblStyle w:val="TableNormal"/>
              <w:tblW w:w="5000" w:type="pc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0" w:type="dxa"/>
                <w:bottom w:w="0" w:type="dxa"/>
                <w:right w:w="0" w:type="dxa"/>
              </w:tblCellMar>
            </w:tblPr>
            <w:tblGrid>
              <w:gridCol w:w="1552"/>
              <w:gridCol w:w="3286"/>
              <w:gridCol w:w="1782"/>
              <w:gridCol w:w="573"/>
            </w:tblGrid>
            <w:tr>
              <w:tblPrEx>
                <w:tblW w:w="5000" w:type="pc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0" w:type="dxa"/>
                  <w:bottom w:w="0" w:type="dxa"/>
                  <w:right w:w="0" w:type="dxa"/>
                </w:tblCellMar>
              </w:tblPrEx>
              <w:tc>
                <w:tcPr>
                  <w:tcW w:w="1079" w:type="pct"/>
                  <w:vAlign w:val="center"/>
                </w:tcPr>
                <w:p/>
              </w:tc>
              <w:tc>
                <w:tcPr>
                  <w:tcW w:w="2284" w:type="pct"/>
                  <w:vAlign w:val="center"/>
                </w:tcPr>
                <w:p>
                  <w:pPr>
                    <w:numPr>
                      <w:ilvl w:val="0"/>
                      <w:numId w:val="0"/>
                    </w:numPr>
                    <w:tabs>
                      <w:tab w:val="left" w:pos="5302"/>
                    </w:tabs>
                    <w:adjustRightInd w:val="0"/>
                    <w:snapToGrid w:val="0"/>
                    <w:spacing w:before="0"/>
                    <w:ind w:left="0"/>
                    <w:jc w:val="left"/>
                    <w:rPr>
                      <w:rFonts w:eastAsiaTheme="minorEastAsia"/>
                      <w:kern w:val="0"/>
                      <w:szCs w:val="21"/>
                      <w:lang w:bidi="ar"/>
                    </w:rPr>
                  </w:pPr>
                  <w:r>
                    <w:rPr>
                      <w:rFonts w:eastAsiaTheme="minorEastAsia"/>
                      <w:kern w:val="0"/>
                      <w:szCs w:val="21"/>
                      <w:lang w:bidi="ar"/>
                    </w:rPr>
                    <w:t>关中地区涉气重点行业项目范围为生态环境部确定的39个重点行业的新改扩建项目，涉及关中各市(区)辖区及开发区范围内的应达到环保绩效A级、绩效引领性水平要求，西安市、咸阳市、渭南市的其他区域应达到环保绩效B级及以上要求。39个重点行业清单见附件。</w:t>
                  </w:r>
                </w:p>
                <w:p>
                  <w:pPr>
                    <w:pStyle w:val="Footer"/>
                    <w:rPr>
                      <w:rFonts w:eastAsiaTheme="minorEastAsia"/>
                      <w:szCs w:val="21"/>
                      <w:lang w:bidi="ar"/>
                    </w:rPr>
                  </w:pPr>
                  <w:r>
                    <w:rPr>
                      <w:rFonts w:eastAsiaTheme="minorEastAsia"/>
                      <w:sz w:val="21"/>
                      <w:szCs w:val="21"/>
                      <w:lang w:bidi="ar"/>
                    </w:rPr>
                    <w:t>二、关中地区涉气重点行业新、改、扩建项目环境影响报告书(表)应编制环保绩效管理篇章，按照环办大气函[2020]340号文件从建设项目的装备水平(生产工艺)、污染治理技术排放限值、无组织管控要求、监测监控水平、环境管理水平运输方式和管控要求等方面，专项分析拟建和已建项目建设内容、生态环境保护措施与对应环保绩效分级、绩效引领性水平的相符性。</w:t>
                  </w:r>
                </w:p>
              </w:tc>
              <w:tc>
                <w:tcPr>
                  <w:tcW w:w="1239" w:type="pct"/>
                  <w:vAlign w:val="center"/>
                </w:tcPr>
                <w:p>
                  <w:pPr>
                    <w:spacing w:before="0"/>
                    <w:jc w:val="center"/>
                    <w:rPr>
                      <w:rFonts w:eastAsiaTheme="minorEastAsia"/>
                    </w:rPr>
                  </w:pPr>
                  <w:r>
                    <w:rPr>
                      <w:rFonts w:eastAsiaTheme="minorEastAsia"/>
                    </w:rPr>
                    <w:t>项目为粮食烘干，主要污染物为生物质锅炉产生的燃烧废气，不属于《重污染天气重点行业应急减排措施制定技术指南（2020年修订版）》（环办大气函[2020]340号）中涉气重点行业，因此本项目可不考虑环保绩效评级。</w:t>
                  </w:r>
                </w:p>
              </w:tc>
              <w:tc>
                <w:tcPr>
                  <w:tcW w:w="398" w:type="pct"/>
                  <w:vAlign w:val="center"/>
                </w:tcPr>
                <w:p/>
              </w:tc>
            </w:tr>
            <w:tr>
              <w:tblPrEx>
                <w:tblW w:w="5000" w:type="pct"/>
                <w:tblInd w:w="0" w:type="dxa"/>
                <w:tblCellMar>
                  <w:top w:w="0" w:type="dxa"/>
                  <w:left w:w="0" w:type="dxa"/>
                  <w:bottom w:w="0" w:type="dxa"/>
                  <w:right w:w="0" w:type="dxa"/>
                </w:tblCellMar>
              </w:tblPrEx>
              <w:tc>
                <w:tcPr>
                  <w:tcW w:w="1079" w:type="pct"/>
                  <w:vMerge w:val="restart"/>
                  <w:vAlign w:val="center"/>
                </w:tcPr>
                <w:p>
                  <w:pPr>
                    <w:tabs>
                      <w:tab w:val="left" w:pos="5302"/>
                    </w:tabs>
                    <w:adjustRightInd w:val="0"/>
                    <w:snapToGrid w:val="0"/>
                    <w:jc w:val="center"/>
                    <w:rPr>
                      <w:rFonts w:eastAsiaTheme="minorEastAsia"/>
                      <w:kern w:val="0"/>
                      <w:szCs w:val="21"/>
                      <w:lang w:bidi="ar"/>
                    </w:rPr>
                  </w:pPr>
                  <w:r>
                    <w:rPr>
                      <w:rFonts w:eastAsiaTheme="minorEastAsia"/>
                      <w:kern w:val="0"/>
                      <w:szCs w:val="21"/>
                      <w:lang w:bidi="ar"/>
                    </w:rPr>
                    <w:t>《陕西省大气污染治理专项行动方案（2023-2027年）》</w:t>
                  </w:r>
                </w:p>
              </w:tc>
              <w:tc>
                <w:tcPr>
                  <w:tcW w:w="2284" w:type="pct"/>
                  <w:vAlign w:val="center"/>
                </w:tcPr>
                <w:p>
                  <w:pPr>
                    <w:widowControl/>
                    <w:rPr>
                      <w:rFonts w:eastAsiaTheme="minorEastAsia"/>
                      <w:kern w:val="0"/>
                      <w:szCs w:val="21"/>
                      <w:lang w:bidi="ar"/>
                    </w:rPr>
                  </w:pPr>
                  <w:r>
                    <w:rPr>
                      <w:rFonts w:eastAsiaTheme="minorEastAsia"/>
                      <w:kern w:val="0"/>
                      <w:szCs w:val="21"/>
                      <w:lang w:bidi="ar"/>
                    </w:rPr>
                    <w:t>关中地区严禁新增钢铁、焦化、水泥熟料、平板玻璃、电解铝、氧化铝、煤化工产能，合理控制煤制油气产能规模，严控新增炼油产能。</w:t>
                  </w:r>
                </w:p>
              </w:tc>
              <w:tc>
                <w:tcPr>
                  <w:tcW w:w="1239" w:type="pct"/>
                  <w:vAlign w:val="center"/>
                </w:tcPr>
                <w:p>
                  <w:pPr>
                    <w:jc w:val="center"/>
                    <w:rPr>
                      <w:rFonts w:eastAsiaTheme="minorEastAsia"/>
                    </w:rPr>
                  </w:pPr>
                  <w:r>
                    <w:rPr>
                      <w:rFonts w:eastAsiaTheme="minorEastAsia"/>
                    </w:rPr>
                    <w:t>项目为粮食烘干，不属于严禁新增和控制的产能。</w:t>
                  </w:r>
                </w:p>
              </w:tc>
              <w:tc>
                <w:tcPr>
                  <w:tcW w:w="398" w:type="pct"/>
                  <w:vAlign w:val="center"/>
                </w:tcPr>
                <w:p>
                  <w:pPr>
                    <w:widowControl/>
                    <w:adjustRightInd w:val="0"/>
                    <w:snapToGrid w:val="0"/>
                    <w:jc w:val="center"/>
                    <w:rPr>
                      <w:rFonts w:eastAsiaTheme="minorEastAsia"/>
                    </w:rPr>
                  </w:pPr>
                  <w:r>
                    <w:rPr>
                      <w:rFonts w:eastAsiaTheme="minorEastAsia"/>
                    </w:rPr>
                    <w:t>符合</w:t>
                  </w:r>
                </w:p>
              </w:tc>
            </w:tr>
            <w:tr>
              <w:tblPrEx>
                <w:tblW w:w="5000" w:type="pct"/>
                <w:tblInd w:w="0" w:type="dxa"/>
                <w:tblCellMar>
                  <w:top w:w="0" w:type="dxa"/>
                  <w:left w:w="0" w:type="dxa"/>
                  <w:bottom w:w="0" w:type="dxa"/>
                  <w:right w:w="0" w:type="dxa"/>
                </w:tblCellMar>
              </w:tblPrEx>
              <w:tc>
                <w:tcPr>
                  <w:tcW w:w="1079" w:type="pct"/>
                  <w:vMerge/>
                  <w:vAlign w:val="center"/>
                </w:tcPr>
                <w:p>
                  <w:pPr>
                    <w:tabs>
                      <w:tab w:val="left" w:pos="5302"/>
                    </w:tabs>
                    <w:adjustRightInd w:val="0"/>
                    <w:snapToGrid w:val="0"/>
                    <w:jc w:val="center"/>
                    <w:rPr>
                      <w:rFonts w:eastAsiaTheme="minorEastAsia"/>
                      <w:kern w:val="0"/>
                      <w:szCs w:val="21"/>
                      <w:lang w:bidi="ar"/>
                    </w:rPr>
                  </w:pPr>
                </w:p>
              </w:tc>
              <w:tc>
                <w:tcPr>
                  <w:tcW w:w="2284" w:type="pct"/>
                  <w:vAlign w:val="center"/>
                </w:tcPr>
                <w:p>
                  <w:pPr>
                    <w:widowControl/>
                    <w:rPr>
                      <w:rFonts w:eastAsiaTheme="minorEastAsia"/>
                      <w:kern w:val="0"/>
                      <w:szCs w:val="21"/>
                      <w:lang w:bidi="ar"/>
                    </w:rPr>
                  </w:pPr>
                  <w:r>
                    <w:rPr>
                      <w:rFonts w:eastAsiaTheme="minorEastAsia"/>
                      <w:kern w:val="0"/>
                      <w:szCs w:val="21"/>
                      <w:lang w:bidi="ar"/>
                    </w:rPr>
                    <w:t>强化非道路移动机械排放控制区管控，到2025 年不符合第三阶段和在用非道路移动机械排放标准三类限值的机械禁止使用，具备条件的可更换国四及以上排放标准的发动机。</w:t>
                  </w:r>
                </w:p>
              </w:tc>
              <w:tc>
                <w:tcPr>
                  <w:tcW w:w="1239" w:type="pct"/>
                  <w:vAlign w:val="center"/>
                </w:tcPr>
                <w:p>
                  <w:pPr>
                    <w:jc w:val="center"/>
                    <w:rPr>
                      <w:rFonts w:eastAsiaTheme="minorEastAsia"/>
                    </w:rPr>
                  </w:pPr>
                  <w:r>
                    <w:rPr>
                      <w:rFonts w:eastAsiaTheme="minorEastAsia"/>
                    </w:rPr>
                    <w:t>本项目装载设备采用机械符合非道路移动机械排放标准三类限值。</w:t>
                  </w:r>
                </w:p>
              </w:tc>
              <w:tc>
                <w:tcPr>
                  <w:tcW w:w="398" w:type="pct"/>
                  <w:vAlign w:val="center"/>
                </w:tcPr>
                <w:p>
                  <w:pPr>
                    <w:widowControl/>
                    <w:adjustRightInd w:val="0"/>
                    <w:snapToGrid w:val="0"/>
                    <w:jc w:val="center"/>
                    <w:rPr>
                      <w:rFonts w:eastAsiaTheme="minorEastAsia"/>
                    </w:rPr>
                  </w:pPr>
                  <w:r>
                    <w:rPr>
                      <w:rFonts w:eastAsiaTheme="minorEastAsia"/>
                    </w:rPr>
                    <w:t>符合</w:t>
                  </w:r>
                </w:p>
              </w:tc>
            </w:tr>
            <w:tr>
              <w:tblPrEx>
                <w:tblW w:w="5000" w:type="pct"/>
                <w:tblInd w:w="0" w:type="dxa"/>
                <w:tblCellMar>
                  <w:top w:w="0" w:type="dxa"/>
                  <w:left w:w="0" w:type="dxa"/>
                  <w:bottom w:w="0" w:type="dxa"/>
                  <w:right w:w="0" w:type="dxa"/>
                </w:tblCellMar>
              </w:tblPrEx>
              <w:tc>
                <w:tcPr>
                  <w:tcW w:w="1079" w:type="pct"/>
                  <w:vMerge w:val="restart"/>
                  <w:vAlign w:val="center"/>
                </w:tcPr>
                <w:p>
                  <w:pPr>
                    <w:tabs>
                      <w:tab w:val="left" w:pos="5302"/>
                    </w:tabs>
                    <w:adjustRightInd w:val="0"/>
                    <w:snapToGrid w:val="0"/>
                    <w:jc w:val="center"/>
                    <w:rPr>
                      <w:rFonts w:eastAsiaTheme="minorEastAsia"/>
                      <w:kern w:val="0"/>
                      <w:szCs w:val="21"/>
                      <w:lang w:bidi="ar"/>
                    </w:rPr>
                  </w:pPr>
                  <w:r>
                    <w:rPr>
                      <w:rFonts w:eastAsiaTheme="minorEastAsia"/>
                      <w:kern w:val="0"/>
                      <w:szCs w:val="21"/>
                      <w:lang w:bidi="ar"/>
                    </w:rPr>
                    <w:t>《渭南市大气污染治理专项行动方案（2023-2027年）》</w:t>
                  </w:r>
                </w:p>
              </w:tc>
              <w:tc>
                <w:tcPr>
                  <w:tcW w:w="2284" w:type="pct"/>
                  <w:vAlign w:val="center"/>
                </w:tcPr>
                <w:p>
                  <w:pPr>
                    <w:widowControl/>
                    <w:rPr>
                      <w:rFonts w:eastAsiaTheme="minorEastAsia"/>
                      <w:kern w:val="0"/>
                      <w:szCs w:val="21"/>
                      <w:lang w:bidi="ar"/>
                    </w:rPr>
                  </w:pPr>
                  <w:r>
                    <w:rPr>
                      <w:rFonts w:eastAsiaTheme="minorEastAsia"/>
                      <w:kern w:val="0"/>
                      <w:szCs w:val="21"/>
                      <w:lang w:bidi="ar"/>
                    </w:rPr>
                    <w:t>严禁新增钢铁、焦化、水泥熟料、平板玻璃、电解铝、氧化铝、煤化工产能，合理控制煤制油气产能规模，严控新增炼油产能。</w:t>
                  </w:r>
                </w:p>
              </w:tc>
              <w:tc>
                <w:tcPr>
                  <w:tcW w:w="1239" w:type="pct"/>
                  <w:vAlign w:val="center"/>
                </w:tcPr>
                <w:p>
                  <w:pPr>
                    <w:jc w:val="center"/>
                    <w:rPr>
                      <w:rFonts w:eastAsiaTheme="minorEastAsia"/>
                    </w:rPr>
                  </w:pPr>
                  <w:r>
                    <w:rPr>
                      <w:rFonts w:eastAsiaTheme="minorEastAsia"/>
                    </w:rPr>
                    <w:t>项目为粮食烘干，不属于严禁新增和控制的产能。</w:t>
                  </w:r>
                </w:p>
              </w:tc>
              <w:tc>
                <w:tcPr>
                  <w:tcW w:w="398" w:type="pct"/>
                  <w:vAlign w:val="center"/>
                </w:tcPr>
                <w:p>
                  <w:pPr>
                    <w:widowControl/>
                    <w:adjustRightInd w:val="0"/>
                    <w:snapToGrid w:val="0"/>
                    <w:jc w:val="center"/>
                    <w:rPr>
                      <w:rFonts w:eastAsiaTheme="minorEastAsia"/>
                    </w:rPr>
                  </w:pPr>
                  <w:r>
                    <w:rPr>
                      <w:rFonts w:eastAsiaTheme="minorEastAsia"/>
                    </w:rPr>
                    <w:t>符合</w:t>
                  </w:r>
                </w:p>
              </w:tc>
            </w:tr>
            <w:tr>
              <w:tblPrEx>
                <w:tblW w:w="5000" w:type="pct"/>
                <w:tblInd w:w="0" w:type="dxa"/>
                <w:tblCellMar>
                  <w:top w:w="0" w:type="dxa"/>
                  <w:left w:w="0" w:type="dxa"/>
                  <w:bottom w:w="0" w:type="dxa"/>
                  <w:right w:w="0" w:type="dxa"/>
                </w:tblCellMar>
              </w:tblPrEx>
              <w:trPr>
                <w:trHeight w:val="85"/>
              </w:trPr>
              <w:tc>
                <w:tcPr>
                  <w:tcW w:w="1079" w:type="pct"/>
                  <w:vMerge/>
                  <w:vAlign w:val="center"/>
                </w:tcPr>
                <w:p>
                  <w:pPr>
                    <w:tabs>
                      <w:tab w:val="left" w:pos="5302"/>
                    </w:tabs>
                    <w:adjustRightInd w:val="0"/>
                    <w:snapToGrid w:val="0"/>
                    <w:jc w:val="center"/>
                    <w:rPr>
                      <w:rFonts w:eastAsiaTheme="minorEastAsia"/>
                      <w:kern w:val="0"/>
                      <w:szCs w:val="21"/>
                      <w:lang w:bidi="ar"/>
                    </w:rPr>
                  </w:pPr>
                </w:p>
              </w:tc>
              <w:tc>
                <w:tcPr>
                  <w:tcW w:w="2284" w:type="pct"/>
                  <w:vAlign w:val="center"/>
                </w:tcPr>
                <w:p>
                  <w:pPr>
                    <w:widowControl/>
                    <w:rPr>
                      <w:rFonts w:eastAsiaTheme="minorEastAsia"/>
                      <w:kern w:val="0"/>
                      <w:szCs w:val="21"/>
                      <w:lang w:bidi="ar"/>
                    </w:rPr>
                  </w:pPr>
                  <w:r>
                    <w:rPr>
                      <w:rFonts w:eastAsiaTheme="minorEastAsia"/>
                      <w:kern w:val="0"/>
                      <w:szCs w:val="21"/>
                      <w:lang w:bidi="ar"/>
                    </w:rPr>
                    <w:t>强化非道路移动机械排放控制区管控，到2025 年不符合第三阶段和在用非道路移动机械排放标准三类限值的机械禁止使用，具备条件的可更换国四及以上排放标准的发动机。</w:t>
                  </w:r>
                </w:p>
              </w:tc>
              <w:tc>
                <w:tcPr>
                  <w:tcW w:w="1239" w:type="pct"/>
                  <w:vAlign w:val="center"/>
                </w:tcPr>
                <w:p>
                  <w:pPr>
                    <w:jc w:val="center"/>
                    <w:rPr>
                      <w:rFonts w:eastAsiaTheme="minorEastAsia"/>
                    </w:rPr>
                  </w:pPr>
                  <w:r>
                    <w:rPr>
                      <w:rFonts w:eastAsiaTheme="minorEastAsia"/>
                    </w:rPr>
                    <w:t>本项目装载设备采用机械符合非道路移动机械排放标准三类限值。</w:t>
                  </w:r>
                </w:p>
              </w:tc>
              <w:tc>
                <w:tcPr>
                  <w:tcW w:w="398" w:type="pct"/>
                  <w:vAlign w:val="center"/>
                </w:tcPr>
                <w:p>
                  <w:pPr>
                    <w:widowControl/>
                    <w:adjustRightInd w:val="0"/>
                    <w:snapToGrid w:val="0"/>
                    <w:jc w:val="center"/>
                    <w:rPr>
                      <w:rFonts w:eastAsiaTheme="minorEastAsia"/>
                    </w:rPr>
                  </w:pPr>
                  <w:r>
                    <w:rPr>
                      <w:rFonts w:eastAsiaTheme="minorEastAsia"/>
                    </w:rPr>
                    <w:t>符合</w:t>
                  </w:r>
                </w:p>
              </w:tc>
            </w:tr>
            <w:tr>
              <w:tblPrEx>
                <w:tblW w:w="5000" w:type="pct"/>
                <w:tblInd w:w="0" w:type="dxa"/>
                <w:tblCellMar>
                  <w:top w:w="0" w:type="dxa"/>
                  <w:left w:w="0" w:type="dxa"/>
                  <w:bottom w:w="0" w:type="dxa"/>
                  <w:right w:w="0" w:type="dxa"/>
                </w:tblCellMar>
              </w:tblPrEx>
              <w:trPr>
                <w:trHeight w:val="85"/>
              </w:trPr>
              <w:tc>
                <w:tcPr>
                  <w:tcW w:w="1079" w:type="pct"/>
                  <w:vMerge w:val="restart"/>
                  <w:vAlign w:val="center"/>
                </w:tcPr>
                <w:p>
                  <w:pPr>
                    <w:tabs>
                      <w:tab w:val="left" w:pos="5302"/>
                    </w:tabs>
                    <w:adjustRightInd w:val="0"/>
                    <w:snapToGrid w:val="0"/>
                    <w:jc w:val="center"/>
                    <w:rPr>
                      <w:rFonts w:eastAsiaTheme="minorEastAsia"/>
                      <w:kern w:val="0"/>
                      <w:szCs w:val="21"/>
                      <w:lang w:bidi="ar"/>
                    </w:rPr>
                  </w:pPr>
                  <w:r>
                    <w:rPr>
                      <w:rFonts w:eastAsiaTheme="minorEastAsia" w:hint="eastAsia"/>
                      <w:kern w:val="0"/>
                      <w:szCs w:val="21"/>
                      <w:lang w:bidi="ar"/>
                    </w:rPr>
                    <w:t>中共大荔县委、大荔县人民政府关于印发《大荔县大气污染治理专项行动方案</w:t>
                  </w:r>
                </w:p>
                <w:p>
                  <w:pPr>
                    <w:tabs>
                      <w:tab w:val="left" w:pos="5302"/>
                    </w:tabs>
                    <w:adjustRightInd w:val="0"/>
                    <w:snapToGrid w:val="0"/>
                    <w:jc w:val="center"/>
                    <w:rPr>
                      <w:rFonts w:eastAsiaTheme="minorEastAsia"/>
                      <w:kern w:val="0"/>
                      <w:szCs w:val="21"/>
                      <w:lang w:bidi="ar"/>
                    </w:rPr>
                  </w:pPr>
                  <w:r>
                    <w:rPr>
                      <w:rFonts w:eastAsiaTheme="minorEastAsia" w:hint="eastAsia"/>
                      <w:kern w:val="0"/>
                      <w:szCs w:val="21"/>
                      <w:lang w:bidi="ar"/>
                    </w:rPr>
                    <w:t>（2023-2027年）》的通知（荔发〔2023〕4号）</w:t>
                  </w:r>
                </w:p>
              </w:tc>
              <w:tc>
                <w:tcPr>
                  <w:tcW w:w="2284" w:type="pct"/>
                  <w:vAlign w:val="center"/>
                </w:tcPr>
                <w:p>
                  <w:pPr>
                    <w:widowControl/>
                    <w:adjustRightInd w:val="0"/>
                    <w:snapToGrid w:val="0"/>
                  </w:pPr>
                  <w:r>
                    <w:rPr>
                      <w:rFonts w:hint="eastAsia"/>
                    </w:rPr>
                    <w:t>产业发展结构调整。严禁新增钢铁、焦化、冶炼、水泥熟料、平板玻璃、电解铝、氧化铝、煤化工产能，合理控制煤制油气产能规模，严控新增炼油产能。</w:t>
                  </w:r>
                </w:p>
              </w:tc>
              <w:tc>
                <w:tcPr>
                  <w:tcW w:w="1239" w:type="pct"/>
                  <w:vAlign w:val="center"/>
                </w:tcPr>
                <w:p>
                  <w:pPr>
                    <w:jc w:val="center"/>
                    <w:rPr>
                      <w:rFonts w:eastAsiaTheme="minorEastAsia"/>
                    </w:rPr>
                  </w:pPr>
                  <w:r>
                    <w:rPr>
                      <w:rFonts w:eastAsiaTheme="minorEastAsia"/>
                    </w:rPr>
                    <w:t>本项目不属于禁止新增产能的行业。</w:t>
                  </w:r>
                </w:p>
              </w:tc>
              <w:tc>
                <w:tcPr>
                  <w:tcW w:w="398" w:type="pct"/>
                  <w:vAlign w:val="center"/>
                </w:tcPr>
                <w:p>
                  <w:pPr>
                    <w:widowControl/>
                    <w:adjustRightInd w:val="0"/>
                    <w:snapToGrid w:val="0"/>
                    <w:jc w:val="center"/>
                    <w:rPr>
                      <w:rFonts w:eastAsiaTheme="minorEastAsia"/>
                    </w:rPr>
                  </w:pPr>
                  <w:r>
                    <w:rPr>
                      <w:rFonts w:eastAsiaTheme="minorEastAsia"/>
                    </w:rPr>
                    <w:t>符合</w:t>
                  </w:r>
                </w:p>
              </w:tc>
            </w:tr>
            <w:tr>
              <w:tblPrEx>
                <w:tblW w:w="5000" w:type="pct"/>
                <w:tblInd w:w="0" w:type="dxa"/>
                <w:tblCellMar>
                  <w:top w:w="0" w:type="dxa"/>
                  <w:left w:w="0" w:type="dxa"/>
                  <w:bottom w:w="0" w:type="dxa"/>
                  <w:right w:w="0" w:type="dxa"/>
                </w:tblCellMar>
              </w:tblPrEx>
              <w:trPr>
                <w:trHeight w:val="85"/>
              </w:trPr>
              <w:tc>
                <w:tcPr>
                  <w:tcW w:w="1079" w:type="pct"/>
                  <w:vMerge/>
                  <w:vAlign w:val="center"/>
                </w:tcPr>
                <w:p>
                  <w:pPr>
                    <w:tabs>
                      <w:tab w:val="left" w:pos="5302"/>
                    </w:tabs>
                    <w:adjustRightInd w:val="0"/>
                    <w:snapToGrid w:val="0"/>
                    <w:jc w:val="center"/>
                    <w:rPr>
                      <w:rFonts w:eastAsiaTheme="minorEastAsia"/>
                      <w:kern w:val="0"/>
                      <w:szCs w:val="21"/>
                      <w:lang w:bidi="ar"/>
                    </w:rPr>
                  </w:pPr>
                </w:p>
              </w:tc>
              <w:tc>
                <w:tcPr>
                  <w:tcW w:w="2284" w:type="pct"/>
                  <w:vAlign w:val="center"/>
                </w:tcPr>
                <w:p>
                  <w:pPr>
                    <w:widowControl/>
                    <w:adjustRightInd w:val="0"/>
                    <w:snapToGrid w:val="0"/>
                  </w:pPr>
                  <w:r>
                    <w:rPr>
                      <w:rFonts w:hint="eastAsia"/>
                    </w:rPr>
                    <w:t>县域范围内新、改、扩建涉气重点行业企业应达到B级及以上水平。</w:t>
                  </w:r>
                </w:p>
              </w:tc>
              <w:tc>
                <w:tcPr>
                  <w:tcW w:w="1239" w:type="pct"/>
                  <w:vAlign w:val="center"/>
                </w:tcPr>
                <w:p>
                  <w:pPr>
                    <w:jc w:val="center"/>
                    <w:rPr>
                      <w:rFonts w:eastAsiaTheme="minorEastAsia"/>
                    </w:rPr>
                  </w:pPr>
                  <w:r>
                    <w:rPr>
                      <w:rFonts w:eastAsiaTheme="minorEastAsia"/>
                    </w:rPr>
                    <w:t>项目不属于涉气重点行业企业。</w:t>
                  </w:r>
                </w:p>
              </w:tc>
              <w:tc>
                <w:tcPr>
                  <w:tcW w:w="398" w:type="pct"/>
                  <w:vAlign w:val="center"/>
                </w:tcPr>
                <w:p>
                  <w:pPr>
                    <w:widowControl/>
                    <w:adjustRightInd w:val="0"/>
                    <w:snapToGrid w:val="0"/>
                    <w:jc w:val="center"/>
                    <w:rPr>
                      <w:rFonts w:eastAsiaTheme="minorEastAsia"/>
                    </w:rPr>
                  </w:pPr>
                  <w:r>
                    <w:rPr>
                      <w:rFonts w:eastAsiaTheme="minorEastAsia"/>
                    </w:rPr>
                    <w:t>符合</w:t>
                  </w:r>
                </w:p>
              </w:tc>
            </w:tr>
            <w:tr>
              <w:tblPrEx>
                <w:tblW w:w="5000" w:type="pct"/>
                <w:tblInd w:w="0" w:type="dxa"/>
                <w:tblCellMar>
                  <w:top w:w="0" w:type="dxa"/>
                  <w:left w:w="0" w:type="dxa"/>
                  <w:bottom w:w="0" w:type="dxa"/>
                  <w:right w:w="0" w:type="dxa"/>
                </w:tblCellMar>
              </w:tblPrEx>
              <w:trPr>
                <w:trHeight w:val="85"/>
              </w:trPr>
              <w:tc>
                <w:tcPr>
                  <w:tcW w:w="1079" w:type="pct"/>
                  <w:vAlign w:val="center"/>
                </w:tcPr>
                <w:p>
                  <w:pPr>
                    <w:tabs>
                      <w:tab w:val="left" w:pos="5302"/>
                    </w:tabs>
                    <w:adjustRightInd w:val="0"/>
                    <w:snapToGrid w:val="0"/>
                    <w:spacing w:after="0"/>
                    <w:jc w:val="center"/>
                    <w:rPr>
                      <w:rFonts w:eastAsiaTheme="minorEastAsia"/>
                      <w:kern w:val="0"/>
                      <w:szCs w:val="21"/>
                      <w:lang w:bidi="ar"/>
                    </w:rPr>
                  </w:pPr>
                </w:p>
              </w:tc>
              <w:tc>
                <w:tcPr>
                  <w:tcW w:w="2284" w:type="pct"/>
                  <w:vAlign w:val="center"/>
                </w:tcPr>
                <w:p>
                  <w:pPr>
                    <w:widowControl/>
                    <w:spacing w:after="0"/>
                    <w:rPr>
                      <w:rFonts w:eastAsiaTheme="minorEastAsia"/>
                      <w:kern w:val="0"/>
                      <w:szCs w:val="21"/>
                      <w:lang w:bidi="ar"/>
                    </w:rPr>
                  </w:pPr>
                </w:p>
              </w:tc>
              <w:tc>
                <w:tcPr>
                  <w:tcW w:w="1239" w:type="pct"/>
                  <w:vAlign w:val="center"/>
                </w:tcPr>
                <w:p>
                  <w:pPr>
                    <w:spacing w:after="0"/>
                    <w:jc w:val="center"/>
                    <w:rPr>
                      <w:rFonts w:eastAsiaTheme="minorEastAsia"/>
                    </w:rPr>
                  </w:pPr>
                </w:p>
              </w:tc>
              <w:tc>
                <w:tcPr>
                  <w:tcW w:w="398" w:type="pct"/>
                  <w:vAlign w:val="center"/>
                </w:tcPr>
                <w:p>
                  <w:pPr>
                    <w:widowControl/>
                    <w:adjustRightInd w:val="0"/>
                    <w:snapToGrid w:val="0"/>
                    <w:jc w:val="center"/>
                    <w:rPr>
                      <w:rFonts w:eastAsiaTheme="minorEastAsia"/>
                    </w:rPr>
                  </w:pPr>
                  <w:r>
                    <w:rPr>
                      <w:rFonts w:eastAsiaTheme="minorEastAsia"/>
                    </w:rPr>
                    <w:t>符合</w:t>
                  </w:r>
                </w:p>
              </w:tc>
            </w:tr>
          </w:tbl>
          <w:p/>
        </w:tc>
      </w:tr>
    </w:tbl>
    <w:p>
      <w:pPr>
        <w:sectPr>
          <w:footerReference w:type="default" r:id="rId9"/>
          <w:type w:val="nextPage"/>
          <w:pgSz w:w="11906" w:h="16838"/>
          <w:pgMar w:top="1701" w:right="1531" w:bottom="1701" w:left="1531" w:header="851" w:footer="1077" w:gutter="0"/>
          <w:pgNumType w:start="4"/>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1431"/>
        <w:gridCol w:w="7439"/>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9917"/>
          <w:jc w:val="center"/>
        </w:trPr>
        <w:tc>
          <w:tcPr>
            <w:tcW w:w="1431" w:type="dxa"/>
            <w:vAlign w:val="center"/>
          </w:tcPr>
          <w:p/>
        </w:tc>
        <w:tc>
          <w:tcPr>
            <w:tcW w:w="7439" w:type="dxa"/>
            <w:vAlign w:val="center"/>
          </w:tcPr>
          <w:tbl>
            <w:tblPr>
              <w:tblStyle w:val="TableNormal"/>
              <w:tblW w:w="5000" w:type="pc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0" w:type="dxa"/>
                <w:bottom w:w="0" w:type="dxa"/>
                <w:right w:w="0" w:type="dxa"/>
              </w:tblCellMar>
            </w:tblPr>
            <w:tblGrid>
              <w:gridCol w:w="1552"/>
              <w:gridCol w:w="3286"/>
              <w:gridCol w:w="1782"/>
              <w:gridCol w:w="573"/>
            </w:tblGrid>
            <w:tr>
              <w:tblPrEx>
                <w:tblW w:w="5000" w:type="pc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0" w:type="dxa"/>
                  <w:bottom w:w="0" w:type="dxa"/>
                  <w:right w:w="0" w:type="dxa"/>
                </w:tblCellMar>
              </w:tblPrEx>
              <w:trPr>
                <w:trHeight w:val="85"/>
              </w:trPr>
              <w:tc>
                <w:tcPr>
                  <w:tcW w:w="1079" w:type="pct"/>
                  <w:vAlign w:val="center"/>
                </w:tcPr>
                <w:p>
                  <w:pPr>
                    <w:tabs>
                      <w:tab w:val="left" w:pos="5302"/>
                    </w:tabs>
                    <w:adjustRightInd w:val="0"/>
                    <w:snapToGrid w:val="0"/>
                    <w:spacing w:before="0"/>
                    <w:jc w:val="center"/>
                    <w:rPr>
                      <w:rFonts w:eastAsiaTheme="minorEastAsia"/>
                      <w:kern w:val="0"/>
                      <w:szCs w:val="21"/>
                      <w:lang w:bidi="ar"/>
                    </w:rPr>
                  </w:pPr>
                  <w:r>
                    <w:rPr>
                      <w:rFonts w:eastAsiaTheme="minorEastAsia" w:hint="eastAsia"/>
                      <w:kern w:val="0"/>
                      <w:szCs w:val="21"/>
                      <w:lang w:bidi="ar"/>
                    </w:rPr>
                    <w:t>关于发布《高污染燃料目录》的通知（国环规大气〔2017〕2号）</w:t>
                  </w:r>
                </w:p>
              </w:tc>
              <w:tc>
                <w:tcPr>
                  <w:tcW w:w="2284" w:type="pct"/>
                  <w:vAlign w:val="center"/>
                </w:tcPr>
                <w:p>
                  <w:pPr>
                    <w:widowControl/>
                    <w:spacing w:before="0"/>
                    <w:rPr>
                      <w:rFonts w:eastAsiaTheme="minorEastAsia"/>
                      <w:kern w:val="0"/>
                      <w:szCs w:val="21"/>
                      <w:lang w:bidi="ar"/>
                    </w:rPr>
                  </w:pPr>
                  <w:r>
                    <w:rPr>
                      <w:rFonts w:eastAsiaTheme="minorEastAsia" w:hint="eastAsia"/>
                      <w:kern w:val="0"/>
                      <w:szCs w:val="21"/>
                      <w:lang w:bidi="ar"/>
                    </w:rPr>
                    <w:t>禁燃区内禁止燃用的燃料组合中Ⅲ类（严格）：“非专用锅炉或未配置高效除尘设施的专用锅炉燃用的生物质成型燃料。”</w:t>
                  </w:r>
                </w:p>
              </w:tc>
              <w:tc>
                <w:tcPr>
                  <w:tcW w:w="1239" w:type="pct"/>
                  <w:vMerge w:val="restart"/>
                  <w:vAlign w:val="center"/>
                </w:tcPr>
                <w:p>
                  <w:pPr>
                    <w:spacing w:before="0"/>
                    <w:jc w:val="center"/>
                    <w:rPr>
                      <w:rFonts w:eastAsiaTheme="minorEastAsia"/>
                    </w:rPr>
                  </w:pPr>
                  <w:r>
                    <w:rPr>
                      <w:rFonts w:eastAsiaTheme="minorEastAsia" w:hint="eastAsia"/>
                    </w:rPr>
                    <w:t>本项目位于大荔县，属于I1I类高污染燃料禁燃区。</w:t>
                  </w:r>
                </w:p>
                <w:p>
                  <w:pPr>
                    <w:jc w:val="center"/>
                    <w:rPr>
                      <w:rFonts w:eastAsiaTheme="minorEastAsia"/>
                    </w:rPr>
                  </w:pPr>
                  <w:r>
                    <w:rPr>
                      <w:rFonts w:eastAsiaTheme="minorEastAsia" w:hint="eastAsia"/>
                    </w:rPr>
                    <w:t>本项目燃烧生物质颗粒燃料，不属于禁燃区内禁止燃用的燃料组合中Ⅲ类（严格）。</w:t>
                  </w:r>
                </w:p>
              </w:tc>
              <w:tc>
                <w:tcPr>
                  <w:tcW w:w="398" w:type="pct"/>
                  <w:vAlign w:val="center"/>
                </w:tcPr>
                <w:p/>
              </w:tc>
            </w:tr>
            <w:tr>
              <w:tblPrEx>
                <w:tblW w:w="5000" w:type="pct"/>
                <w:tblInd w:w="0" w:type="dxa"/>
                <w:tblCellMar>
                  <w:top w:w="0" w:type="dxa"/>
                  <w:left w:w="0" w:type="dxa"/>
                  <w:bottom w:w="0" w:type="dxa"/>
                  <w:right w:w="0" w:type="dxa"/>
                </w:tblCellMar>
              </w:tblPrEx>
              <w:trPr>
                <w:trHeight w:val="85"/>
              </w:trPr>
              <w:tc>
                <w:tcPr>
                  <w:tcW w:w="1079" w:type="pct"/>
                  <w:vAlign w:val="center"/>
                </w:tcPr>
                <w:p>
                  <w:pPr>
                    <w:tabs>
                      <w:tab w:val="left" w:pos="5302"/>
                    </w:tabs>
                    <w:adjustRightInd w:val="0"/>
                    <w:snapToGrid w:val="0"/>
                    <w:jc w:val="center"/>
                    <w:rPr>
                      <w:rFonts w:eastAsiaTheme="minorEastAsia"/>
                      <w:kern w:val="0"/>
                      <w:szCs w:val="21"/>
                      <w:lang w:bidi="ar"/>
                    </w:rPr>
                  </w:pPr>
                  <w:r>
                    <w:rPr>
                      <w:rFonts w:eastAsiaTheme="minorEastAsia" w:hint="eastAsia"/>
                      <w:kern w:val="0"/>
                      <w:szCs w:val="21"/>
                      <w:lang w:bidi="ar"/>
                    </w:rPr>
                    <w:t>《大荔县人民政府关于执行高污染燃料禁燃区要求的通知》（荔政发〔2023〕39号）</w:t>
                  </w:r>
                </w:p>
              </w:tc>
              <w:tc>
                <w:tcPr>
                  <w:tcW w:w="2284" w:type="pct"/>
                  <w:vAlign w:val="center"/>
                </w:tcPr>
                <w:p>
                  <w:pPr>
                    <w:widowControl/>
                    <w:rPr>
                      <w:rFonts w:eastAsiaTheme="minorEastAsia"/>
                      <w:kern w:val="0"/>
                      <w:szCs w:val="21"/>
                      <w:lang w:bidi="ar"/>
                    </w:rPr>
                  </w:pPr>
                  <w:r>
                    <w:rPr>
                      <w:rFonts w:eastAsiaTheme="minorEastAsia" w:hint="eastAsia"/>
                      <w:kern w:val="0"/>
                      <w:szCs w:val="21"/>
                      <w:lang w:bidi="ar"/>
                    </w:rPr>
                    <w:t>为推进我县大气环境质量持续改善，巩固清洁能源替代和散煤治理成效，严防散煤复烧，按照《渭南市大气污染专项行动方案（2023-2027年）》、《渭南市2023年空气质量改善进位方案》、《渭南市生态环境保护委员会办公室关于调整高污染燃料禁燃区的通知》和《大荔县2023年空气质量改善进位方案》要求，将平原地区划定为Ⅲ类高污染燃料禁燃区。根据有关文件规定，我县各镇(街道)行政辖区为平原地区。</w:t>
                  </w:r>
                </w:p>
              </w:tc>
              <w:tc>
                <w:tcPr>
                  <w:tcW w:w="1239" w:type="pct"/>
                  <w:vMerge/>
                  <w:vAlign w:val="center"/>
                </w:tcPr>
                <w:p>
                  <w:pPr>
                    <w:jc w:val="center"/>
                    <w:rPr>
                      <w:rFonts w:eastAsiaTheme="minorEastAsia"/>
                    </w:rPr>
                  </w:pPr>
                </w:p>
              </w:tc>
              <w:tc>
                <w:tcPr>
                  <w:tcW w:w="398" w:type="pct"/>
                  <w:vAlign w:val="center"/>
                </w:tcPr>
                <w:p>
                  <w:pPr>
                    <w:widowControl/>
                    <w:adjustRightInd w:val="0"/>
                    <w:snapToGrid w:val="0"/>
                    <w:jc w:val="center"/>
                    <w:rPr>
                      <w:rFonts w:eastAsiaTheme="minorEastAsia"/>
                    </w:rPr>
                  </w:pPr>
                  <w:r>
                    <w:rPr>
                      <w:rFonts w:eastAsiaTheme="minorEastAsia"/>
                    </w:rPr>
                    <w:t>符合</w:t>
                  </w:r>
                </w:p>
              </w:tc>
            </w:tr>
          </w:tbl>
          <w:p>
            <w:pPr>
              <w:pStyle w:val="Default1"/>
              <w:spacing w:before="120" w:beforeLines="50" w:line="360" w:lineRule="auto"/>
              <w:ind w:firstLine="480" w:firstLineChars="200"/>
              <w:rPr>
                <w:rFonts w:ascii="Times New Roman" w:eastAsiaTheme="minorEastAsia" w:cs="Times New Roman"/>
                <w:color w:val="auto"/>
              </w:rPr>
            </w:pPr>
            <w:r>
              <w:rPr>
                <w:rFonts w:ascii="Times New Roman" w:eastAsiaTheme="minorEastAsia" w:cs="Times New Roman"/>
                <w:color w:val="auto"/>
              </w:rPr>
              <w:t>由上表可知，本项目符合相关环保政策要求。</w:t>
            </w:r>
          </w:p>
          <w:p>
            <w:pPr>
              <w:autoSpaceDE w:val="0"/>
              <w:autoSpaceDN w:val="0"/>
              <w:spacing w:before="120" w:beforeLines="50" w:line="360" w:lineRule="auto"/>
              <w:ind w:firstLine="480" w:firstLineChars="200"/>
              <w:rPr>
                <w:rFonts w:eastAsiaTheme="minorEastAsia"/>
                <w:b/>
                <w:bCs/>
                <w:kern w:val="0"/>
                <w:sz w:val="24"/>
              </w:rPr>
            </w:pPr>
            <w:r>
              <w:rPr>
                <w:rFonts w:eastAsiaTheme="minorEastAsia"/>
                <w:b/>
                <w:bCs/>
                <w:kern w:val="0"/>
                <w:sz w:val="24"/>
              </w:rPr>
              <w:t>3、与“三线一单”相符性</w:t>
            </w:r>
          </w:p>
          <w:p>
            <w:pPr>
              <w:pStyle w:val="Default1"/>
              <w:spacing w:before="120" w:beforeLines="50" w:line="360" w:lineRule="auto"/>
              <w:ind w:firstLine="480" w:firstLineChars="200"/>
              <w:rPr>
                <w:rFonts w:ascii="Times New Roman" w:eastAsiaTheme="minorEastAsia" w:cs="Times New Roman"/>
                <w:color w:val="auto"/>
              </w:rPr>
            </w:pPr>
            <w:r>
              <w:rPr>
                <w:rFonts w:ascii="Times New Roman" w:eastAsiaTheme="minorEastAsia" w:cs="Times New Roman"/>
                <w:color w:val="auto"/>
              </w:rPr>
              <w:t>根据《渭南市人民政府关于印发渭南市“三线一单”生态环境分区管控方案的通知》〔2021〕35号），以及陕西省生态环境厅官网（http://sthjt.shaanxi.gov.cn/）中陕西省“三线一单”数据应用系统（http://113.140.66.228:50054/sigin）冲突分析结果导出的陕西省“三线一单”生态环境管控单元对照分析报告（附件4），项目涉及的生态环境管控单元准入清单详见表1-2。</w:t>
            </w:r>
          </w:p>
          <w:p>
            <w:pPr>
              <w:adjustRightInd w:val="0"/>
              <w:snapToGrid w:val="0"/>
              <w:spacing w:after="48" w:afterLines="20"/>
              <w:jc w:val="center"/>
              <w:rPr>
                <w:rFonts w:eastAsiaTheme="minorEastAsia"/>
                <w:b/>
                <w:sz w:val="24"/>
              </w:rPr>
            </w:pPr>
            <w:r>
              <w:rPr>
                <w:rFonts w:eastAsiaTheme="minorEastAsia"/>
                <w:b/>
                <w:sz w:val="24"/>
              </w:rPr>
              <w:t>表1-2   管控要求符合性分析一览表</w:t>
            </w:r>
          </w:p>
          <w:tbl>
            <w:tblPr>
              <w:tblStyle w:val="TableNormal"/>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0" w:type="dxa"/>
                <w:bottom w:w="0" w:type="dxa"/>
                <w:right w:w="0" w:type="dxa"/>
              </w:tblCellMar>
            </w:tblPr>
            <w:tblGrid>
              <w:gridCol w:w="276"/>
              <w:gridCol w:w="275"/>
              <w:gridCol w:w="288"/>
              <w:gridCol w:w="680"/>
              <w:gridCol w:w="955"/>
              <w:gridCol w:w="817"/>
              <w:gridCol w:w="819"/>
              <w:gridCol w:w="2520"/>
              <w:gridCol w:w="563"/>
            </w:tblGrid>
            <w:tr>
              <w:tblPrEx>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0" w:type="dxa"/>
                  <w:bottom w:w="0" w:type="dxa"/>
                  <w:right w:w="0" w:type="dxa"/>
                </w:tblCellMar>
              </w:tblPrEx>
              <w:trPr>
                <w:jc w:val="center"/>
              </w:trPr>
              <w:tc>
                <w:tcPr>
                  <w:tcW w:w="192" w:type="pct"/>
                  <w:tcBorders>
                    <w:tl2br w:val="nil"/>
                    <w:tr2bl w:val="nil"/>
                  </w:tcBorders>
                  <w:tcMar>
                    <w:left w:w="28" w:type="dxa"/>
                    <w:right w:w="28" w:type="dxa"/>
                  </w:tcMar>
                  <w:vAlign w:val="center"/>
                </w:tcPr>
                <w:p>
                  <w:pPr>
                    <w:jc w:val="center"/>
                    <w:rPr>
                      <w:szCs w:val="21"/>
                    </w:rPr>
                  </w:pPr>
                  <w:r>
                    <w:rPr>
                      <w:szCs w:val="21"/>
                    </w:rPr>
                    <w:t>序号</w:t>
                  </w:r>
                </w:p>
              </w:tc>
              <w:tc>
                <w:tcPr>
                  <w:tcW w:w="191" w:type="pct"/>
                  <w:tcBorders>
                    <w:tl2br w:val="nil"/>
                    <w:tr2bl w:val="nil"/>
                  </w:tcBorders>
                  <w:tcMar>
                    <w:left w:w="28" w:type="dxa"/>
                    <w:right w:w="28" w:type="dxa"/>
                  </w:tcMar>
                  <w:vAlign w:val="center"/>
                </w:tcPr>
                <w:p>
                  <w:pPr>
                    <w:jc w:val="center"/>
                    <w:rPr>
                      <w:szCs w:val="21"/>
                    </w:rPr>
                  </w:pPr>
                  <w:r>
                    <w:rPr>
                      <w:szCs w:val="21"/>
                    </w:rPr>
                    <w:t>市</w:t>
                  </w:r>
                </w:p>
              </w:tc>
              <w:tc>
                <w:tcPr>
                  <w:tcW w:w="200" w:type="pct"/>
                  <w:tcBorders>
                    <w:tl2br w:val="nil"/>
                    <w:tr2bl w:val="nil"/>
                  </w:tcBorders>
                  <w:tcMar>
                    <w:left w:w="28" w:type="dxa"/>
                    <w:right w:w="28" w:type="dxa"/>
                  </w:tcMar>
                  <w:vAlign w:val="center"/>
                </w:tcPr>
                <w:p>
                  <w:pPr>
                    <w:jc w:val="center"/>
                    <w:rPr>
                      <w:szCs w:val="21"/>
                    </w:rPr>
                  </w:pPr>
                  <w:r>
                    <w:rPr>
                      <w:szCs w:val="21"/>
                    </w:rPr>
                    <w:t>区县</w:t>
                  </w:r>
                </w:p>
              </w:tc>
              <w:tc>
                <w:tcPr>
                  <w:tcW w:w="473" w:type="pct"/>
                  <w:tcBorders>
                    <w:tl2br w:val="nil"/>
                    <w:tr2bl w:val="nil"/>
                  </w:tcBorders>
                  <w:tcMar>
                    <w:left w:w="28" w:type="dxa"/>
                    <w:right w:w="28" w:type="dxa"/>
                  </w:tcMar>
                  <w:vAlign w:val="center"/>
                </w:tcPr>
                <w:p>
                  <w:pPr>
                    <w:jc w:val="center"/>
                    <w:rPr>
                      <w:szCs w:val="21"/>
                    </w:rPr>
                  </w:pPr>
                  <w:r>
                    <w:rPr>
                      <w:szCs w:val="21"/>
                    </w:rPr>
                    <w:t>环境管控单元名称</w:t>
                  </w:r>
                </w:p>
              </w:tc>
              <w:tc>
                <w:tcPr>
                  <w:tcW w:w="664" w:type="pct"/>
                  <w:tcBorders>
                    <w:tl2br w:val="nil"/>
                    <w:tr2bl w:val="nil"/>
                  </w:tcBorders>
                  <w:vAlign w:val="center"/>
                </w:tcPr>
                <w:p>
                  <w:pPr>
                    <w:jc w:val="center"/>
                    <w:rPr>
                      <w:szCs w:val="21"/>
                    </w:rPr>
                  </w:pPr>
                  <w:r>
                    <w:rPr>
                      <w:szCs w:val="21"/>
                    </w:rPr>
                    <w:t>单元要素属性</w:t>
                  </w:r>
                </w:p>
              </w:tc>
              <w:tc>
                <w:tcPr>
                  <w:tcW w:w="568" w:type="pct"/>
                  <w:tcBorders>
                    <w:tl2br w:val="nil"/>
                    <w:tr2bl w:val="nil"/>
                  </w:tcBorders>
                  <w:vAlign w:val="center"/>
                </w:tcPr>
                <w:p>
                  <w:pPr>
                    <w:jc w:val="center"/>
                    <w:rPr>
                      <w:szCs w:val="21"/>
                    </w:rPr>
                  </w:pPr>
                  <w:r>
                    <w:rPr>
                      <w:szCs w:val="21"/>
                    </w:rPr>
                    <w:t>管控单元分类</w:t>
                  </w:r>
                </w:p>
              </w:tc>
              <w:tc>
                <w:tcPr>
                  <w:tcW w:w="2321" w:type="pct"/>
                  <w:gridSpan w:val="2"/>
                  <w:tcBorders>
                    <w:tl2br w:val="nil"/>
                    <w:tr2bl w:val="nil"/>
                  </w:tcBorders>
                  <w:vAlign w:val="center"/>
                </w:tcPr>
                <w:p>
                  <w:pPr>
                    <w:jc w:val="center"/>
                    <w:rPr>
                      <w:szCs w:val="21"/>
                    </w:rPr>
                  </w:pPr>
                  <w:r>
                    <w:rPr>
                      <w:szCs w:val="21"/>
                    </w:rPr>
                    <w:t>管控要求</w:t>
                  </w:r>
                </w:p>
              </w:tc>
              <w:tc>
                <w:tcPr>
                  <w:tcW w:w="391" w:type="pct"/>
                  <w:tcBorders>
                    <w:tl2br w:val="nil"/>
                    <w:tr2bl w:val="nil"/>
                  </w:tcBorders>
                  <w:vAlign w:val="center"/>
                </w:tcPr>
                <w:p>
                  <w:pPr>
                    <w:jc w:val="center"/>
                    <w:rPr>
                      <w:szCs w:val="21"/>
                    </w:rPr>
                  </w:pPr>
                  <w:r>
                    <w:rPr>
                      <w:szCs w:val="21"/>
                    </w:rPr>
                    <w:t>面积/长度</w:t>
                  </w:r>
                </w:p>
              </w:tc>
            </w:tr>
            <w:tr>
              <w:tblPrEx>
                <w:tblW w:w="5000" w:type="pct"/>
                <w:jc w:val="center"/>
                <w:tblCellMar>
                  <w:top w:w="0" w:type="dxa"/>
                  <w:left w:w="0" w:type="dxa"/>
                  <w:bottom w:w="0" w:type="dxa"/>
                  <w:right w:w="0" w:type="dxa"/>
                </w:tblCellMar>
              </w:tblPrEx>
              <w:trPr>
                <w:jc w:val="center"/>
              </w:trPr>
              <w:tc>
                <w:tcPr>
                  <w:tcW w:w="192" w:type="pct"/>
                  <w:vMerge w:val="restart"/>
                  <w:tcBorders>
                    <w:tl2br w:val="nil"/>
                    <w:tr2bl w:val="nil"/>
                  </w:tcBorders>
                  <w:tcMar>
                    <w:left w:w="28" w:type="dxa"/>
                    <w:right w:w="28" w:type="dxa"/>
                  </w:tcMar>
                  <w:vAlign w:val="center"/>
                </w:tcPr>
                <w:p>
                  <w:pPr>
                    <w:jc w:val="center"/>
                    <w:rPr>
                      <w:szCs w:val="21"/>
                    </w:rPr>
                  </w:pPr>
                  <w:r>
                    <w:rPr>
                      <w:szCs w:val="21"/>
                    </w:rPr>
                    <w:t>1</w:t>
                  </w:r>
                </w:p>
              </w:tc>
              <w:tc>
                <w:tcPr>
                  <w:tcW w:w="191" w:type="pct"/>
                  <w:vMerge w:val="restart"/>
                  <w:tcBorders>
                    <w:tl2br w:val="nil"/>
                    <w:tr2bl w:val="nil"/>
                  </w:tcBorders>
                  <w:tcMar>
                    <w:left w:w="28" w:type="dxa"/>
                    <w:right w:w="28" w:type="dxa"/>
                  </w:tcMar>
                  <w:vAlign w:val="center"/>
                </w:tcPr>
                <w:p>
                  <w:pPr>
                    <w:jc w:val="center"/>
                  </w:pPr>
                  <w:r>
                    <w:t>渭南市</w:t>
                  </w:r>
                </w:p>
              </w:tc>
              <w:tc>
                <w:tcPr>
                  <w:tcW w:w="200" w:type="pct"/>
                  <w:vMerge w:val="restart"/>
                  <w:tcBorders>
                    <w:tl2br w:val="nil"/>
                    <w:tr2bl w:val="nil"/>
                  </w:tcBorders>
                  <w:tcMar>
                    <w:left w:w="28" w:type="dxa"/>
                    <w:right w:w="28" w:type="dxa"/>
                  </w:tcMar>
                  <w:vAlign w:val="center"/>
                </w:tcPr>
                <w:p>
                  <w:pPr>
                    <w:jc w:val="center"/>
                    <w:rPr>
                      <w:szCs w:val="21"/>
                    </w:rPr>
                  </w:pPr>
                  <w:r>
                    <w:rPr>
                      <w:szCs w:val="21"/>
                    </w:rPr>
                    <w:t>大荔县</w:t>
                  </w:r>
                </w:p>
              </w:tc>
              <w:tc>
                <w:tcPr>
                  <w:tcW w:w="473" w:type="pct"/>
                  <w:vMerge w:val="restart"/>
                  <w:tcBorders>
                    <w:tl2br w:val="nil"/>
                    <w:tr2bl w:val="nil"/>
                  </w:tcBorders>
                  <w:tcMar>
                    <w:left w:w="28" w:type="dxa"/>
                    <w:right w:w="28" w:type="dxa"/>
                  </w:tcMar>
                  <w:vAlign w:val="center"/>
                </w:tcPr>
                <w:p>
                  <w:pPr>
                    <w:jc w:val="center"/>
                    <w:rPr>
                      <w:szCs w:val="21"/>
                    </w:rPr>
                  </w:pPr>
                  <w:r>
                    <w:rPr>
                      <w:rFonts w:hint="eastAsia"/>
                      <w:szCs w:val="21"/>
                    </w:rPr>
                    <w:t>陕西省渭南市大荔县重点管控单元</w:t>
                  </w:r>
                </w:p>
              </w:tc>
              <w:tc>
                <w:tcPr>
                  <w:tcW w:w="664" w:type="pct"/>
                  <w:vMerge w:val="restart"/>
                  <w:tcBorders>
                    <w:tl2br w:val="nil"/>
                    <w:tr2bl w:val="nil"/>
                  </w:tcBorders>
                  <w:vAlign w:val="center"/>
                </w:tcPr>
                <w:p>
                  <w:pPr>
                    <w:jc w:val="center"/>
                    <w:rPr>
                      <w:szCs w:val="21"/>
                    </w:rPr>
                  </w:pPr>
                  <w:r>
                    <w:rPr>
                      <w:rFonts w:hint="eastAsia"/>
                      <w:szCs w:val="21"/>
                    </w:rPr>
                    <w:t>大气环境受体敏感区环境</w:t>
                  </w:r>
                </w:p>
              </w:tc>
              <w:tc>
                <w:tcPr>
                  <w:tcW w:w="568" w:type="pct"/>
                  <w:vMerge w:val="restart"/>
                  <w:tcBorders>
                    <w:tl2br w:val="nil"/>
                    <w:tr2bl w:val="nil"/>
                  </w:tcBorders>
                  <w:vAlign w:val="center"/>
                </w:tcPr>
                <w:p>
                  <w:pPr>
                    <w:jc w:val="center"/>
                    <w:rPr>
                      <w:szCs w:val="21"/>
                    </w:rPr>
                  </w:pPr>
                  <w:r>
                    <w:rPr>
                      <w:szCs w:val="21"/>
                    </w:rPr>
                    <w:t>重点管控单元</w:t>
                  </w:r>
                </w:p>
              </w:tc>
              <w:tc>
                <w:tcPr>
                  <w:tcW w:w="569" w:type="pct"/>
                  <w:tcBorders>
                    <w:tl2br w:val="nil"/>
                    <w:tr2bl w:val="nil"/>
                  </w:tcBorders>
                  <w:vAlign w:val="center"/>
                </w:tcPr>
                <w:p>
                  <w:pPr>
                    <w:jc w:val="center"/>
                    <w:rPr>
                      <w:szCs w:val="21"/>
                    </w:rPr>
                  </w:pPr>
                  <w:r>
                    <w:rPr>
                      <w:szCs w:val="21"/>
                    </w:rPr>
                    <w:t>空间布局约束</w:t>
                  </w:r>
                </w:p>
              </w:tc>
              <w:tc>
                <w:tcPr>
                  <w:tcW w:w="1752" w:type="pct"/>
                  <w:tcBorders>
                    <w:tl2br w:val="nil"/>
                    <w:tr2bl w:val="nil"/>
                  </w:tcBorders>
                  <w:vAlign w:val="center"/>
                </w:tcPr>
                <w:p>
                  <w:pPr>
                    <w:jc w:val="left"/>
                  </w:pPr>
                  <w:r>
                    <w:rPr>
                      <w:rFonts w:hint="eastAsia"/>
                    </w:rPr>
                    <w:t>严格控制新增煤电、石化、化工、钢铁、有色金属冶炼、建材等“两高”行业项目；加快城市建成区重污染企业搬迁改造或关闭退出。</w:t>
                  </w:r>
                </w:p>
              </w:tc>
              <w:tc>
                <w:tcPr>
                  <w:tcW w:w="391" w:type="pct"/>
                  <w:vMerge w:val="restart"/>
                  <w:tcBorders>
                    <w:tl2br w:val="nil"/>
                    <w:tr2bl w:val="nil"/>
                  </w:tcBorders>
                  <w:vAlign w:val="center"/>
                </w:tcPr>
                <w:p>
                  <w:pPr>
                    <w:jc w:val="center"/>
                    <w:rPr>
                      <w:szCs w:val="21"/>
                    </w:rPr>
                  </w:pPr>
                  <w:r>
                    <w:rPr>
                      <w:szCs w:val="21"/>
                    </w:rPr>
                    <w:t>8860平方米</w:t>
                  </w:r>
                </w:p>
              </w:tc>
            </w:tr>
            <w:tr>
              <w:tblPrEx>
                <w:tblW w:w="5000" w:type="pct"/>
                <w:jc w:val="center"/>
                <w:tblCellMar>
                  <w:top w:w="0" w:type="dxa"/>
                  <w:left w:w="0" w:type="dxa"/>
                  <w:bottom w:w="0" w:type="dxa"/>
                  <w:right w:w="0" w:type="dxa"/>
                </w:tblCellMar>
              </w:tblPrEx>
              <w:trPr>
                <w:jc w:val="center"/>
              </w:trPr>
              <w:tc>
                <w:tcPr>
                  <w:tcW w:w="192" w:type="pct"/>
                  <w:vMerge/>
                  <w:tcBorders>
                    <w:tl2br w:val="nil"/>
                    <w:tr2bl w:val="nil"/>
                  </w:tcBorders>
                  <w:tcMar>
                    <w:left w:w="28" w:type="dxa"/>
                    <w:right w:w="28" w:type="dxa"/>
                  </w:tcMar>
                  <w:vAlign w:val="center"/>
                </w:tcPr>
                <w:p>
                  <w:pPr>
                    <w:jc w:val="center"/>
                    <w:rPr>
                      <w:szCs w:val="21"/>
                    </w:rPr>
                  </w:pPr>
                </w:p>
              </w:tc>
              <w:tc>
                <w:tcPr>
                  <w:tcW w:w="191" w:type="pct"/>
                  <w:vMerge/>
                  <w:tcBorders>
                    <w:tl2br w:val="nil"/>
                    <w:tr2bl w:val="nil"/>
                  </w:tcBorders>
                  <w:tcMar>
                    <w:left w:w="28" w:type="dxa"/>
                    <w:right w:w="28" w:type="dxa"/>
                  </w:tcMar>
                  <w:vAlign w:val="center"/>
                </w:tcPr>
                <w:p>
                  <w:pPr>
                    <w:jc w:val="center"/>
                  </w:pPr>
                </w:p>
              </w:tc>
              <w:tc>
                <w:tcPr>
                  <w:tcW w:w="200" w:type="pct"/>
                  <w:vMerge/>
                  <w:tcBorders>
                    <w:tl2br w:val="nil"/>
                    <w:tr2bl w:val="nil"/>
                  </w:tcBorders>
                  <w:tcMar>
                    <w:left w:w="28" w:type="dxa"/>
                    <w:right w:w="28" w:type="dxa"/>
                  </w:tcMar>
                  <w:vAlign w:val="center"/>
                </w:tcPr>
                <w:p>
                  <w:pPr>
                    <w:jc w:val="center"/>
                    <w:rPr>
                      <w:szCs w:val="21"/>
                    </w:rPr>
                  </w:pPr>
                </w:p>
              </w:tc>
              <w:tc>
                <w:tcPr>
                  <w:tcW w:w="473" w:type="pct"/>
                  <w:vMerge/>
                  <w:tcBorders>
                    <w:tl2br w:val="nil"/>
                    <w:tr2bl w:val="nil"/>
                  </w:tcBorders>
                  <w:tcMar>
                    <w:left w:w="28" w:type="dxa"/>
                    <w:right w:w="28" w:type="dxa"/>
                  </w:tcMar>
                  <w:vAlign w:val="center"/>
                </w:tcPr>
                <w:p>
                  <w:pPr>
                    <w:jc w:val="center"/>
                    <w:rPr>
                      <w:szCs w:val="21"/>
                    </w:rPr>
                  </w:pPr>
                </w:p>
              </w:tc>
              <w:tc>
                <w:tcPr>
                  <w:tcW w:w="664" w:type="pct"/>
                  <w:vMerge/>
                  <w:tcBorders>
                    <w:tl2br w:val="nil"/>
                    <w:tr2bl w:val="nil"/>
                  </w:tcBorders>
                  <w:vAlign w:val="center"/>
                </w:tcPr>
                <w:p>
                  <w:pPr>
                    <w:jc w:val="center"/>
                    <w:rPr>
                      <w:szCs w:val="21"/>
                    </w:rPr>
                  </w:pPr>
                </w:p>
              </w:tc>
              <w:tc>
                <w:tcPr>
                  <w:tcW w:w="568" w:type="pct"/>
                  <w:vMerge/>
                  <w:tcBorders>
                    <w:tl2br w:val="nil"/>
                    <w:tr2bl w:val="nil"/>
                  </w:tcBorders>
                  <w:vAlign w:val="center"/>
                </w:tcPr>
                <w:p>
                  <w:pPr>
                    <w:jc w:val="center"/>
                    <w:rPr>
                      <w:szCs w:val="21"/>
                    </w:rPr>
                  </w:pPr>
                </w:p>
              </w:tc>
              <w:tc>
                <w:tcPr>
                  <w:tcW w:w="569" w:type="pct"/>
                  <w:tcBorders>
                    <w:tl2br w:val="nil"/>
                    <w:tr2bl w:val="nil"/>
                  </w:tcBorders>
                  <w:vAlign w:val="center"/>
                </w:tcPr>
                <w:p>
                  <w:pPr>
                    <w:autoSpaceDE w:val="0"/>
                    <w:autoSpaceDN w:val="0"/>
                    <w:adjustRightInd w:val="0"/>
                    <w:jc w:val="center"/>
                    <w:rPr>
                      <w:kern w:val="0"/>
                      <w:szCs w:val="21"/>
                    </w:rPr>
                  </w:pPr>
                  <w:r>
                    <w:rPr>
                      <w:kern w:val="0"/>
                      <w:szCs w:val="21"/>
                    </w:rPr>
                    <w:t>污染物排放管控</w:t>
                  </w:r>
                </w:p>
              </w:tc>
              <w:tc>
                <w:tcPr>
                  <w:tcW w:w="1752" w:type="pct"/>
                  <w:tcBorders>
                    <w:tl2br w:val="nil"/>
                    <w:tr2bl w:val="nil"/>
                  </w:tcBorders>
                  <w:vAlign w:val="center"/>
                </w:tcPr>
                <w:p>
                  <w:pPr>
                    <w:spacing w:after="0"/>
                    <w:rPr>
                      <w:kern w:val="0"/>
                      <w:szCs w:val="21"/>
                    </w:rPr>
                  </w:pPr>
                </w:p>
              </w:tc>
              <w:tc>
                <w:tcPr>
                  <w:tcW w:w="391" w:type="pct"/>
                  <w:vMerge/>
                  <w:tcBorders>
                    <w:tl2br w:val="nil"/>
                    <w:tr2bl w:val="nil"/>
                  </w:tcBorders>
                  <w:vAlign w:val="center"/>
                </w:tcPr>
                <w:p>
                  <w:pPr>
                    <w:jc w:val="center"/>
                    <w:rPr>
                      <w:szCs w:val="21"/>
                    </w:rPr>
                  </w:pPr>
                </w:p>
              </w:tc>
            </w:tr>
          </w:tbl>
          <w:p/>
        </w:tc>
      </w:tr>
    </w:tbl>
    <w:p>
      <w:pPr>
        <w:sectPr>
          <w:footerReference w:type="default" r:id="rId10"/>
          <w:type w:val="nextPage"/>
          <w:pgSz w:w="11906" w:h="16838"/>
          <w:pgMar w:top="1701" w:right="1531" w:bottom="1701" w:left="1531" w:header="851" w:footer="1077" w:gutter="0"/>
          <w:pgNumType w:start="5"/>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1431"/>
        <w:gridCol w:w="7439"/>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9917"/>
          <w:jc w:val="center"/>
        </w:trPr>
        <w:tc>
          <w:tcPr>
            <w:tcW w:w="1431" w:type="dxa"/>
            <w:vAlign w:val="center"/>
          </w:tcPr>
          <w:p/>
        </w:tc>
        <w:tc>
          <w:tcPr>
            <w:tcW w:w="7439" w:type="dxa"/>
            <w:vAlign w:val="center"/>
          </w:tcPr>
          <w:tbl>
            <w:tblPr>
              <w:tblStyle w:val="TableNormal"/>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0" w:type="dxa"/>
                <w:bottom w:w="0" w:type="dxa"/>
                <w:right w:w="0" w:type="dxa"/>
              </w:tblCellMar>
            </w:tblPr>
            <w:tblGrid>
              <w:gridCol w:w="276"/>
              <w:gridCol w:w="275"/>
              <w:gridCol w:w="288"/>
              <w:gridCol w:w="680"/>
              <w:gridCol w:w="955"/>
              <w:gridCol w:w="817"/>
              <w:gridCol w:w="819"/>
              <w:gridCol w:w="2520"/>
              <w:gridCol w:w="563"/>
            </w:tblGrid>
            <w:tr>
              <w:tblPrEx>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0" w:type="dxa"/>
                  <w:bottom w:w="0" w:type="dxa"/>
                  <w:right w:w="0" w:type="dxa"/>
                </w:tblCellMar>
              </w:tblPrEx>
              <w:trPr>
                <w:jc w:val="center"/>
              </w:trPr>
              <w:tc>
                <w:tcPr>
                  <w:tcW w:w="192" w:type="pct"/>
                  <w:vMerge w:val="restart"/>
                  <w:tcBorders>
                    <w:tl2br w:val="nil"/>
                    <w:tr2bl w:val="nil"/>
                  </w:tcBorders>
                  <w:tcMar>
                    <w:left w:w="28" w:type="dxa"/>
                    <w:right w:w="28" w:type="dxa"/>
                  </w:tcMar>
                  <w:vAlign w:val="center"/>
                </w:tcPr>
                <w:p/>
              </w:tc>
              <w:tc>
                <w:tcPr>
                  <w:tcW w:w="191" w:type="pct"/>
                  <w:vMerge w:val="restart"/>
                  <w:tcBorders>
                    <w:tl2br w:val="nil"/>
                    <w:tr2bl w:val="nil"/>
                  </w:tcBorders>
                  <w:tcMar>
                    <w:left w:w="28" w:type="dxa"/>
                    <w:right w:w="28" w:type="dxa"/>
                  </w:tcMar>
                  <w:vAlign w:val="center"/>
                </w:tcPr>
                <w:p/>
              </w:tc>
              <w:tc>
                <w:tcPr>
                  <w:tcW w:w="200" w:type="pct"/>
                  <w:vMerge w:val="restart"/>
                  <w:tcBorders>
                    <w:tl2br w:val="nil"/>
                    <w:tr2bl w:val="nil"/>
                  </w:tcBorders>
                  <w:tcMar>
                    <w:left w:w="28" w:type="dxa"/>
                    <w:right w:w="28" w:type="dxa"/>
                  </w:tcMar>
                  <w:vAlign w:val="center"/>
                </w:tcPr>
                <w:p/>
              </w:tc>
              <w:tc>
                <w:tcPr>
                  <w:tcW w:w="473" w:type="pct"/>
                  <w:vMerge w:val="restart"/>
                  <w:tcBorders>
                    <w:tl2br w:val="nil"/>
                    <w:tr2bl w:val="nil"/>
                  </w:tcBorders>
                  <w:tcMar>
                    <w:left w:w="28" w:type="dxa"/>
                    <w:right w:w="28" w:type="dxa"/>
                  </w:tcMar>
                  <w:vAlign w:val="center"/>
                </w:tcPr>
                <w:p/>
              </w:tc>
              <w:tc>
                <w:tcPr>
                  <w:tcW w:w="664" w:type="pct"/>
                  <w:vMerge w:val="restart"/>
                  <w:tcBorders>
                    <w:tl2br w:val="nil"/>
                    <w:tr2bl w:val="nil"/>
                  </w:tcBorders>
                  <w:vAlign w:val="center"/>
                </w:tcPr>
                <w:p/>
              </w:tc>
              <w:tc>
                <w:tcPr>
                  <w:tcW w:w="568" w:type="pct"/>
                  <w:vMerge w:val="restart"/>
                  <w:tcBorders>
                    <w:tl2br w:val="nil"/>
                    <w:tr2bl w:val="nil"/>
                  </w:tcBorders>
                  <w:vAlign w:val="center"/>
                </w:tcPr>
                <w:p/>
              </w:tc>
              <w:tc>
                <w:tcPr>
                  <w:tcW w:w="569" w:type="pct"/>
                  <w:tcBorders>
                    <w:tl2br w:val="nil"/>
                    <w:tr2bl w:val="nil"/>
                  </w:tcBorders>
                  <w:vAlign w:val="center"/>
                </w:tcPr>
                <w:p/>
              </w:tc>
              <w:tc>
                <w:tcPr>
                  <w:tcW w:w="1752" w:type="pct"/>
                  <w:tcBorders>
                    <w:tl2br w:val="nil"/>
                    <w:tr2bl w:val="nil"/>
                  </w:tcBorders>
                  <w:vAlign w:val="center"/>
                </w:tcPr>
                <w:p>
                  <w:pPr>
                    <w:spacing w:before="0"/>
                    <w:rPr>
                      <w:kern w:val="0"/>
                      <w:szCs w:val="21"/>
                    </w:rPr>
                  </w:pPr>
                  <w:r>
                    <w:rPr>
                      <w:rFonts w:hint="eastAsia"/>
                    </w:rPr>
                    <w:t>区域内保留企业采用先进生产工艺、严格落实污染治理设施，污染物执行超低排放或特别排放限值；控制机动车增速，推动汽车全面实现新能源化；加大餐饮油烟治理力度，排放油烟的饮食业单位全部安装油烟净化装置并实现达标排放。</w:t>
                  </w:r>
                </w:p>
              </w:tc>
              <w:tc>
                <w:tcPr>
                  <w:tcW w:w="391" w:type="pct"/>
                  <w:vMerge w:val="restart"/>
                  <w:tcBorders>
                    <w:tl2br w:val="nil"/>
                    <w:tr2bl w:val="nil"/>
                  </w:tcBorders>
                  <w:vAlign w:val="center"/>
                </w:tcPr>
                <w:p/>
              </w:tc>
            </w:tr>
            <w:tr>
              <w:tblPrEx>
                <w:tblW w:w="5000" w:type="pct"/>
                <w:jc w:val="center"/>
                <w:tblCellMar>
                  <w:top w:w="0" w:type="dxa"/>
                  <w:left w:w="0" w:type="dxa"/>
                  <w:bottom w:w="0" w:type="dxa"/>
                  <w:right w:w="0" w:type="dxa"/>
                </w:tblCellMar>
              </w:tblPrEx>
              <w:trPr>
                <w:jc w:val="center"/>
              </w:trPr>
              <w:tc>
                <w:tcPr>
                  <w:tcW w:w="192" w:type="pct"/>
                  <w:vMerge/>
                  <w:tcBorders>
                    <w:tl2br w:val="nil"/>
                    <w:tr2bl w:val="nil"/>
                  </w:tcBorders>
                  <w:tcMar>
                    <w:left w:w="28" w:type="dxa"/>
                    <w:right w:w="28" w:type="dxa"/>
                  </w:tcMar>
                  <w:vAlign w:val="center"/>
                </w:tcPr>
                <w:p>
                  <w:pPr>
                    <w:jc w:val="center"/>
                    <w:rPr>
                      <w:szCs w:val="21"/>
                    </w:rPr>
                  </w:pPr>
                </w:p>
              </w:tc>
              <w:tc>
                <w:tcPr>
                  <w:tcW w:w="191" w:type="pct"/>
                  <w:vMerge/>
                  <w:tcBorders>
                    <w:tl2br w:val="nil"/>
                    <w:tr2bl w:val="nil"/>
                  </w:tcBorders>
                  <w:tcMar>
                    <w:left w:w="28" w:type="dxa"/>
                    <w:right w:w="28" w:type="dxa"/>
                  </w:tcMar>
                  <w:vAlign w:val="center"/>
                </w:tcPr>
                <w:p>
                  <w:pPr>
                    <w:jc w:val="center"/>
                  </w:pPr>
                </w:p>
              </w:tc>
              <w:tc>
                <w:tcPr>
                  <w:tcW w:w="200" w:type="pct"/>
                  <w:vMerge/>
                  <w:tcBorders>
                    <w:tl2br w:val="nil"/>
                    <w:tr2bl w:val="nil"/>
                  </w:tcBorders>
                  <w:tcMar>
                    <w:left w:w="28" w:type="dxa"/>
                    <w:right w:w="28" w:type="dxa"/>
                  </w:tcMar>
                  <w:vAlign w:val="center"/>
                </w:tcPr>
                <w:p>
                  <w:pPr>
                    <w:jc w:val="center"/>
                    <w:rPr>
                      <w:szCs w:val="21"/>
                    </w:rPr>
                  </w:pPr>
                </w:p>
              </w:tc>
              <w:tc>
                <w:tcPr>
                  <w:tcW w:w="473" w:type="pct"/>
                  <w:vMerge/>
                  <w:tcBorders>
                    <w:tl2br w:val="nil"/>
                    <w:tr2bl w:val="nil"/>
                  </w:tcBorders>
                  <w:tcMar>
                    <w:left w:w="28" w:type="dxa"/>
                    <w:right w:w="28" w:type="dxa"/>
                  </w:tcMar>
                  <w:vAlign w:val="center"/>
                </w:tcPr>
                <w:p>
                  <w:pPr>
                    <w:jc w:val="center"/>
                    <w:rPr>
                      <w:szCs w:val="21"/>
                    </w:rPr>
                  </w:pPr>
                </w:p>
              </w:tc>
              <w:tc>
                <w:tcPr>
                  <w:tcW w:w="664" w:type="pct"/>
                  <w:vMerge w:val="restart"/>
                  <w:tcBorders>
                    <w:tl2br w:val="nil"/>
                    <w:tr2bl w:val="nil"/>
                  </w:tcBorders>
                  <w:vAlign w:val="center"/>
                </w:tcPr>
                <w:p>
                  <w:pPr>
                    <w:jc w:val="center"/>
                    <w:rPr>
                      <w:szCs w:val="21"/>
                    </w:rPr>
                  </w:pPr>
                  <w:r>
                    <w:rPr>
                      <w:rFonts w:hint="eastAsia"/>
                      <w:szCs w:val="21"/>
                    </w:rPr>
                    <w:t>大气环境弱扩散区</w:t>
                  </w:r>
                </w:p>
              </w:tc>
              <w:tc>
                <w:tcPr>
                  <w:tcW w:w="568" w:type="pct"/>
                  <w:vMerge w:val="restart"/>
                  <w:tcBorders>
                    <w:tl2br w:val="nil"/>
                    <w:tr2bl w:val="nil"/>
                  </w:tcBorders>
                  <w:vAlign w:val="center"/>
                </w:tcPr>
                <w:p>
                  <w:pPr>
                    <w:jc w:val="center"/>
                    <w:rPr>
                      <w:szCs w:val="21"/>
                    </w:rPr>
                  </w:pPr>
                  <w:r>
                    <w:rPr>
                      <w:rFonts w:hint="eastAsia"/>
                      <w:szCs w:val="21"/>
                    </w:rPr>
                    <w:t>重点管控单元</w:t>
                  </w:r>
                </w:p>
              </w:tc>
              <w:tc>
                <w:tcPr>
                  <w:tcW w:w="569" w:type="pct"/>
                  <w:tcBorders>
                    <w:tl2br w:val="nil"/>
                    <w:tr2bl w:val="nil"/>
                  </w:tcBorders>
                  <w:vAlign w:val="center"/>
                </w:tcPr>
                <w:p>
                  <w:pPr>
                    <w:autoSpaceDE w:val="0"/>
                    <w:autoSpaceDN w:val="0"/>
                    <w:adjustRightInd w:val="0"/>
                    <w:jc w:val="center"/>
                    <w:rPr>
                      <w:kern w:val="0"/>
                      <w:szCs w:val="21"/>
                    </w:rPr>
                  </w:pPr>
                  <w:r>
                    <w:rPr>
                      <w:kern w:val="0"/>
                      <w:szCs w:val="21"/>
                    </w:rPr>
                    <w:t>空间布局约束</w:t>
                  </w:r>
                </w:p>
              </w:tc>
              <w:tc>
                <w:tcPr>
                  <w:tcW w:w="1752" w:type="pct"/>
                  <w:tcBorders>
                    <w:tl2br w:val="nil"/>
                    <w:tr2bl w:val="nil"/>
                  </w:tcBorders>
                  <w:vAlign w:val="center"/>
                </w:tcPr>
                <w:p>
                  <w:r>
                    <w:rPr>
                      <w:rFonts w:hint="eastAsia"/>
                    </w:rPr>
                    <w:t>严格控制新增煤电、石化、化工、钢铁、有色金属冶炼、建材等“两高”行业项目。</w:t>
                  </w:r>
                </w:p>
              </w:tc>
              <w:tc>
                <w:tcPr>
                  <w:tcW w:w="391" w:type="pct"/>
                  <w:vMerge/>
                  <w:tcBorders>
                    <w:tl2br w:val="nil"/>
                    <w:tr2bl w:val="nil"/>
                  </w:tcBorders>
                  <w:vAlign w:val="center"/>
                </w:tcPr>
                <w:p>
                  <w:pPr>
                    <w:jc w:val="center"/>
                    <w:rPr>
                      <w:szCs w:val="21"/>
                    </w:rPr>
                  </w:pPr>
                </w:p>
              </w:tc>
            </w:tr>
            <w:tr>
              <w:tblPrEx>
                <w:tblW w:w="5000" w:type="pct"/>
                <w:jc w:val="center"/>
                <w:tblCellMar>
                  <w:top w:w="0" w:type="dxa"/>
                  <w:left w:w="0" w:type="dxa"/>
                  <w:bottom w:w="0" w:type="dxa"/>
                  <w:right w:w="0" w:type="dxa"/>
                </w:tblCellMar>
              </w:tblPrEx>
              <w:trPr>
                <w:jc w:val="center"/>
              </w:trPr>
              <w:tc>
                <w:tcPr>
                  <w:tcW w:w="192" w:type="pct"/>
                  <w:vMerge/>
                  <w:tcBorders>
                    <w:tl2br w:val="nil"/>
                    <w:tr2bl w:val="nil"/>
                  </w:tcBorders>
                  <w:tcMar>
                    <w:left w:w="28" w:type="dxa"/>
                    <w:right w:w="28" w:type="dxa"/>
                  </w:tcMar>
                  <w:vAlign w:val="center"/>
                </w:tcPr>
                <w:p>
                  <w:pPr>
                    <w:jc w:val="center"/>
                    <w:rPr>
                      <w:szCs w:val="21"/>
                    </w:rPr>
                  </w:pPr>
                </w:p>
              </w:tc>
              <w:tc>
                <w:tcPr>
                  <w:tcW w:w="191" w:type="pct"/>
                  <w:vMerge/>
                  <w:tcBorders>
                    <w:tl2br w:val="nil"/>
                    <w:tr2bl w:val="nil"/>
                  </w:tcBorders>
                  <w:tcMar>
                    <w:left w:w="28" w:type="dxa"/>
                    <w:right w:w="28" w:type="dxa"/>
                  </w:tcMar>
                  <w:vAlign w:val="center"/>
                </w:tcPr>
                <w:p>
                  <w:pPr>
                    <w:jc w:val="center"/>
                  </w:pPr>
                </w:p>
              </w:tc>
              <w:tc>
                <w:tcPr>
                  <w:tcW w:w="200" w:type="pct"/>
                  <w:vMerge/>
                  <w:tcBorders>
                    <w:tl2br w:val="nil"/>
                    <w:tr2bl w:val="nil"/>
                  </w:tcBorders>
                  <w:tcMar>
                    <w:left w:w="28" w:type="dxa"/>
                    <w:right w:w="28" w:type="dxa"/>
                  </w:tcMar>
                  <w:vAlign w:val="center"/>
                </w:tcPr>
                <w:p>
                  <w:pPr>
                    <w:jc w:val="center"/>
                    <w:rPr>
                      <w:szCs w:val="21"/>
                    </w:rPr>
                  </w:pPr>
                </w:p>
              </w:tc>
              <w:tc>
                <w:tcPr>
                  <w:tcW w:w="473" w:type="pct"/>
                  <w:vMerge/>
                  <w:tcBorders>
                    <w:tl2br w:val="nil"/>
                    <w:tr2bl w:val="nil"/>
                  </w:tcBorders>
                  <w:tcMar>
                    <w:left w:w="28" w:type="dxa"/>
                    <w:right w:w="28" w:type="dxa"/>
                  </w:tcMar>
                  <w:vAlign w:val="center"/>
                </w:tcPr>
                <w:p>
                  <w:pPr>
                    <w:jc w:val="center"/>
                    <w:rPr>
                      <w:szCs w:val="21"/>
                    </w:rPr>
                  </w:pPr>
                </w:p>
              </w:tc>
              <w:tc>
                <w:tcPr>
                  <w:tcW w:w="664" w:type="pct"/>
                  <w:vMerge/>
                  <w:tcBorders>
                    <w:tl2br w:val="nil"/>
                    <w:tr2bl w:val="nil"/>
                  </w:tcBorders>
                  <w:vAlign w:val="center"/>
                </w:tcPr>
                <w:p>
                  <w:pPr>
                    <w:jc w:val="center"/>
                    <w:rPr>
                      <w:szCs w:val="21"/>
                    </w:rPr>
                  </w:pPr>
                </w:p>
              </w:tc>
              <w:tc>
                <w:tcPr>
                  <w:tcW w:w="568" w:type="pct"/>
                  <w:vMerge/>
                  <w:tcBorders>
                    <w:tl2br w:val="nil"/>
                    <w:tr2bl w:val="nil"/>
                  </w:tcBorders>
                  <w:vAlign w:val="center"/>
                </w:tcPr>
                <w:p>
                  <w:pPr>
                    <w:jc w:val="center"/>
                    <w:rPr>
                      <w:szCs w:val="21"/>
                    </w:rPr>
                  </w:pPr>
                </w:p>
              </w:tc>
              <w:tc>
                <w:tcPr>
                  <w:tcW w:w="569" w:type="pct"/>
                  <w:tcBorders>
                    <w:tl2br w:val="nil"/>
                    <w:tr2bl w:val="nil"/>
                  </w:tcBorders>
                  <w:vAlign w:val="center"/>
                </w:tcPr>
                <w:p>
                  <w:pPr>
                    <w:autoSpaceDE w:val="0"/>
                    <w:autoSpaceDN w:val="0"/>
                    <w:adjustRightInd w:val="0"/>
                    <w:jc w:val="center"/>
                    <w:rPr>
                      <w:kern w:val="0"/>
                      <w:szCs w:val="21"/>
                    </w:rPr>
                  </w:pPr>
                  <w:r>
                    <w:rPr>
                      <w:kern w:val="0"/>
                      <w:szCs w:val="21"/>
                    </w:rPr>
                    <w:t>污染物排放管控</w:t>
                  </w:r>
                </w:p>
              </w:tc>
              <w:tc>
                <w:tcPr>
                  <w:tcW w:w="1752" w:type="pct"/>
                  <w:tcBorders>
                    <w:tl2br w:val="nil"/>
                    <w:tr2bl w:val="nil"/>
                  </w:tcBorders>
                  <w:vAlign w:val="center"/>
                </w:tcPr>
                <w:p>
                  <w:r>
                    <w:rPr>
                      <w:rFonts w:hint="eastAsia"/>
                    </w:rPr>
                    <w:t>加强大气污染物减排力度，推进散煤替代和清洁利用，推进“煤改电”、“煤改气”工程；严禁秸秆燃烧，强化扬尘管控。</w:t>
                  </w:r>
                </w:p>
              </w:tc>
              <w:tc>
                <w:tcPr>
                  <w:tcW w:w="391" w:type="pct"/>
                  <w:vMerge/>
                  <w:tcBorders>
                    <w:tl2br w:val="nil"/>
                    <w:tr2bl w:val="nil"/>
                  </w:tcBorders>
                  <w:vAlign w:val="center"/>
                </w:tcPr>
                <w:p>
                  <w:pPr>
                    <w:jc w:val="center"/>
                    <w:rPr>
                      <w:szCs w:val="21"/>
                    </w:rPr>
                  </w:pPr>
                </w:p>
              </w:tc>
            </w:tr>
          </w:tbl>
          <w:p>
            <w:pPr>
              <w:adjustRightInd w:val="0"/>
              <w:snapToGrid w:val="0"/>
              <w:spacing w:after="48" w:afterLines="20"/>
              <w:jc w:val="center"/>
              <w:rPr>
                <w:rFonts w:eastAsiaTheme="minorEastAsia"/>
                <w:b/>
                <w:sz w:val="24"/>
              </w:rPr>
            </w:pPr>
            <w:r>
              <w:rPr>
                <w:rFonts w:eastAsiaTheme="minorEastAsia"/>
                <w:b/>
                <w:sz w:val="24"/>
              </w:rPr>
              <w:t>表1-3    “三线一单”符合性分析</w:t>
            </w:r>
          </w:p>
          <w:tbl>
            <w:tblPr>
              <w:tblStyle w:val="TableNormal"/>
              <w:tblW w:w="5000" w:type="pct"/>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left w:w="108" w:type="dxa"/>
                <w:bottom w:w="0" w:type="dxa"/>
                <w:right w:w="108" w:type="dxa"/>
              </w:tblCellMar>
            </w:tblPr>
            <w:tblGrid>
              <w:gridCol w:w="875"/>
              <w:gridCol w:w="5504"/>
              <w:gridCol w:w="814"/>
            </w:tblGrid>
            <w:tr>
              <w:tblPrEx>
                <w:tblW w:w="5000" w:type="pct"/>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left w:w="108" w:type="dxa"/>
                  <w:bottom w:w="0" w:type="dxa"/>
                  <w:right w:w="108" w:type="dxa"/>
                </w:tblCellMar>
              </w:tblPrEx>
              <w:tc>
                <w:tcPr>
                  <w:tcW w:w="608" w:type="pct"/>
                  <w:vAlign w:val="center"/>
                </w:tcPr>
                <w:p>
                  <w:pPr>
                    <w:spacing w:line="240" w:lineRule="exact"/>
                    <w:jc w:val="center"/>
                    <w:rPr>
                      <w:rFonts w:eastAsiaTheme="minorEastAsia"/>
                      <w:bCs/>
                      <w:szCs w:val="21"/>
                    </w:rPr>
                  </w:pPr>
                  <w:r>
                    <w:rPr>
                      <w:rFonts w:eastAsiaTheme="minorEastAsia"/>
                      <w:bCs/>
                      <w:szCs w:val="21"/>
                    </w:rPr>
                    <w:t>项目</w:t>
                  </w:r>
                </w:p>
              </w:tc>
              <w:tc>
                <w:tcPr>
                  <w:tcW w:w="3826" w:type="pct"/>
                  <w:vAlign w:val="center"/>
                </w:tcPr>
                <w:p>
                  <w:pPr>
                    <w:spacing w:line="240" w:lineRule="exact"/>
                    <w:jc w:val="center"/>
                    <w:rPr>
                      <w:rFonts w:eastAsiaTheme="minorEastAsia"/>
                      <w:bCs/>
                      <w:szCs w:val="21"/>
                    </w:rPr>
                  </w:pPr>
                  <w:r>
                    <w:rPr>
                      <w:rFonts w:eastAsiaTheme="minorEastAsia"/>
                      <w:bCs/>
                      <w:szCs w:val="21"/>
                    </w:rPr>
                    <w:t>内容</w:t>
                  </w:r>
                </w:p>
              </w:tc>
              <w:tc>
                <w:tcPr>
                  <w:tcW w:w="566" w:type="pct"/>
                  <w:vAlign w:val="center"/>
                </w:tcPr>
                <w:p>
                  <w:pPr>
                    <w:spacing w:line="240" w:lineRule="exact"/>
                    <w:jc w:val="center"/>
                    <w:rPr>
                      <w:rFonts w:eastAsiaTheme="minorEastAsia"/>
                      <w:bCs/>
                      <w:szCs w:val="21"/>
                    </w:rPr>
                  </w:pPr>
                  <w:r>
                    <w:rPr>
                      <w:rFonts w:eastAsiaTheme="minorEastAsia"/>
                      <w:bCs/>
                      <w:szCs w:val="21"/>
                    </w:rPr>
                    <w:t>符合性</w:t>
                  </w:r>
                </w:p>
              </w:tc>
            </w:tr>
            <w:tr>
              <w:tblPrEx>
                <w:tblW w:w="5000" w:type="pct"/>
                <w:tblInd w:w="0" w:type="dxa"/>
                <w:tblCellMar>
                  <w:top w:w="0" w:type="dxa"/>
                  <w:left w:w="108" w:type="dxa"/>
                  <w:bottom w:w="0" w:type="dxa"/>
                  <w:right w:w="108" w:type="dxa"/>
                </w:tblCellMar>
              </w:tblPrEx>
              <w:tc>
                <w:tcPr>
                  <w:tcW w:w="608" w:type="pct"/>
                  <w:vAlign w:val="center"/>
                </w:tcPr>
                <w:p>
                  <w:pPr>
                    <w:spacing w:line="240" w:lineRule="exact"/>
                    <w:jc w:val="center"/>
                    <w:rPr>
                      <w:rFonts w:eastAsiaTheme="minorEastAsia"/>
                      <w:szCs w:val="21"/>
                    </w:rPr>
                  </w:pPr>
                  <w:r>
                    <w:rPr>
                      <w:rFonts w:eastAsiaTheme="minorEastAsia"/>
                      <w:szCs w:val="21"/>
                    </w:rPr>
                    <w:t>生态保护红线</w:t>
                  </w:r>
                </w:p>
              </w:tc>
              <w:tc>
                <w:tcPr>
                  <w:tcW w:w="3826" w:type="pct"/>
                  <w:vAlign w:val="center"/>
                </w:tcPr>
                <w:p>
                  <w:pPr>
                    <w:rPr>
                      <w:rFonts w:eastAsiaTheme="minorEastAsia"/>
                      <w:szCs w:val="21"/>
                    </w:rPr>
                  </w:pPr>
                  <w:r>
                    <w:rPr>
                      <w:rFonts w:eastAsiaTheme="minorEastAsia"/>
                    </w:rPr>
                    <w:t>项目所在地位于陕西省渭南市大荔县韦林镇韦留村，项目所在地属于重点管控区，周围无自然保护区、风景名胜区等环境敏感点，不涉及生态保护红线。</w:t>
                  </w:r>
                </w:p>
              </w:tc>
              <w:tc>
                <w:tcPr>
                  <w:tcW w:w="566" w:type="pct"/>
                  <w:vAlign w:val="center"/>
                </w:tcPr>
                <w:p>
                  <w:pPr>
                    <w:spacing w:line="240" w:lineRule="exact"/>
                    <w:jc w:val="center"/>
                    <w:rPr>
                      <w:rFonts w:eastAsiaTheme="minorEastAsia"/>
                      <w:szCs w:val="21"/>
                    </w:rPr>
                  </w:pPr>
                  <w:r>
                    <w:rPr>
                      <w:rFonts w:eastAsiaTheme="minorEastAsia"/>
                      <w:szCs w:val="21"/>
                    </w:rPr>
                    <w:t>符合</w:t>
                  </w:r>
                </w:p>
              </w:tc>
            </w:tr>
            <w:tr>
              <w:tblPrEx>
                <w:tblW w:w="5000" w:type="pct"/>
                <w:tblInd w:w="0" w:type="dxa"/>
                <w:tblCellMar>
                  <w:top w:w="0" w:type="dxa"/>
                  <w:left w:w="108" w:type="dxa"/>
                  <w:bottom w:w="0" w:type="dxa"/>
                  <w:right w:w="108" w:type="dxa"/>
                </w:tblCellMar>
              </w:tblPrEx>
              <w:tc>
                <w:tcPr>
                  <w:tcW w:w="608" w:type="pct"/>
                  <w:vAlign w:val="center"/>
                </w:tcPr>
                <w:p>
                  <w:pPr>
                    <w:spacing w:line="240" w:lineRule="exact"/>
                    <w:jc w:val="center"/>
                    <w:rPr>
                      <w:rFonts w:eastAsiaTheme="minorEastAsia"/>
                      <w:szCs w:val="21"/>
                    </w:rPr>
                  </w:pPr>
                  <w:r>
                    <w:rPr>
                      <w:rFonts w:eastAsiaTheme="minorEastAsia"/>
                      <w:szCs w:val="21"/>
                    </w:rPr>
                    <w:t>环境质量底线</w:t>
                  </w:r>
                </w:p>
              </w:tc>
              <w:tc>
                <w:tcPr>
                  <w:tcW w:w="3826" w:type="pct"/>
                  <w:vAlign w:val="center"/>
                </w:tcPr>
                <w:p>
                  <w:pPr>
                    <w:rPr>
                      <w:rFonts w:eastAsiaTheme="minorEastAsia"/>
                      <w:szCs w:val="21"/>
                    </w:rPr>
                  </w:pPr>
                  <w:r>
                    <w:rPr>
                      <w:rFonts w:eastAsiaTheme="minorEastAsia"/>
                    </w:rPr>
                    <w:t>本项目运营期采取本次环评提出的治理措施后，废气、噪声均可实现达标排放，固体废物均得到合理的处理和处置，建设项目未触及环境质量底线要求。</w:t>
                  </w:r>
                </w:p>
              </w:tc>
              <w:tc>
                <w:tcPr>
                  <w:tcW w:w="566" w:type="pct"/>
                  <w:vAlign w:val="center"/>
                </w:tcPr>
                <w:p>
                  <w:pPr>
                    <w:spacing w:line="240" w:lineRule="exact"/>
                    <w:jc w:val="center"/>
                    <w:rPr>
                      <w:rFonts w:eastAsiaTheme="minorEastAsia"/>
                      <w:szCs w:val="21"/>
                    </w:rPr>
                  </w:pPr>
                  <w:r>
                    <w:rPr>
                      <w:rFonts w:eastAsiaTheme="minorEastAsia"/>
                      <w:szCs w:val="21"/>
                    </w:rPr>
                    <w:t>符合</w:t>
                  </w:r>
                </w:p>
              </w:tc>
            </w:tr>
            <w:tr>
              <w:tblPrEx>
                <w:tblW w:w="5000" w:type="pct"/>
                <w:tblInd w:w="0" w:type="dxa"/>
                <w:tblCellMar>
                  <w:top w:w="0" w:type="dxa"/>
                  <w:left w:w="108" w:type="dxa"/>
                  <w:bottom w:w="0" w:type="dxa"/>
                  <w:right w:w="108" w:type="dxa"/>
                </w:tblCellMar>
              </w:tblPrEx>
              <w:tc>
                <w:tcPr>
                  <w:tcW w:w="608" w:type="pct"/>
                  <w:vAlign w:val="center"/>
                </w:tcPr>
                <w:p>
                  <w:pPr>
                    <w:spacing w:line="240" w:lineRule="exact"/>
                    <w:jc w:val="center"/>
                    <w:rPr>
                      <w:rFonts w:eastAsiaTheme="minorEastAsia"/>
                      <w:szCs w:val="21"/>
                    </w:rPr>
                  </w:pPr>
                  <w:r>
                    <w:rPr>
                      <w:rFonts w:eastAsiaTheme="minorEastAsia"/>
                      <w:szCs w:val="21"/>
                    </w:rPr>
                    <w:t>资源利用上线</w:t>
                  </w:r>
                </w:p>
              </w:tc>
              <w:tc>
                <w:tcPr>
                  <w:tcW w:w="3826" w:type="pct"/>
                  <w:vAlign w:val="center"/>
                </w:tcPr>
                <w:p>
                  <w:pPr>
                    <w:rPr>
                      <w:rFonts w:eastAsiaTheme="minorEastAsia"/>
                      <w:kern w:val="0"/>
                      <w:szCs w:val="21"/>
                    </w:rPr>
                  </w:pPr>
                  <w:r>
                    <w:rPr>
                      <w:rFonts w:eastAsiaTheme="minorEastAsia"/>
                    </w:rPr>
                    <w:t>本项目新鲜水由市政管网接入，电能主要依托当地电网供给，项目不属于高耗水、耗电企业。因此本项目满足资源利用上线的要求。</w:t>
                  </w:r>
                </w:p>
              </w:tc>
              <w:tc>
                <w:tcPr>
                  <w:tcW w:w="566" w:type="pct"/>
                  <w:vAlign w:val="center"/>
                </w:tcPr>
                <w:p>
                  <w:pPr>
                    <w:spacing w:line="240" w:lineRule="exact"/>
                    <w:jc w:val="center"/>
                    <w:rPr>
                      <w:rFonts w:eastAsiaTheme="minorEastAsia"/>
                      <w:szCs w:val="21"/>
                    </w:rPr>
                  </w:pPr>
                  <w:r>
                    <w:rPr>
                      <w:rFonts w:eastAsiaTheme="minorEastAsia"/>
                      <w:szCs w:val="21"/>
                    </w:rPr>
                    <w:t>符合</w:t>
                  </w:r>
                </w:p>
              </w:tc>
            </w:tr>
            <w:tr>
              <w:tblPrEx>
                <w:tblW w:w="5000" w:type="pct"/>
                <w:tblInd w:w="0" w:type="dxa"/>
                <w:tblCellMar>
                  <w:top w:w="0" w:type="dxa"/>
                  <w:left w:w="108" w:type="dxa"/>
                  <w:bottom w:w="0" w:type="dxa"/>
                  <w:right w:w="108" w:type="dxa"/>
                </w:tblCellMar>
              </w:tblPrEx>
              <w:tc>
                <w:tcPr>
                  <w:tcW w:w="608" w:type="pct"/>
                  <w:vAlign w:val="center"/>
                </w:tcPr>
                <w:p>
                  <w:pPr>
                    <w:spacing w:line="240" w:lineRule="exact"/>
                    <w:jc w:val="center"/>
                    <w:rPr>
                      <w:rFonts w:eastAsiaTheme="minorEastAsia"/>
                      <w:szCs w:val="21"/>
                    </w:rPr>
                  </w:pPr>
                  <w:r>
                    <w:rPr>
                      <w:rFonts w:eastAsiaTheme="minorEastAsia"/>
                      <w:szCs w:val="21"/>
                    </w:rPr>
                    <w:t>环境准入负面清单</w:t>
                  </w:r>
                </w:p>
              </w:tc>
              <w:tc>
                <w:tcPr>
                  <w:tcW w:w="3826" w:type="pct"/>
                  <w:vAlign w:val="center"/>
                </w:tcPr>
                <w:p>
                  <w:pPr>
                    <w:rPr>
                      <w:rFonts w:eastAsiaTheme="minorEastAsia"/>
                      <w:szCs w:val="21"/>
                    </w:rPr>
                  </w:pPr>
                  <w:r>
                    <w:rPr>
                      <w:rFonts w:eastAsiaTheme="minorEastAsia"/>
                    </w:rPr>
                    <w:t>本项目不属于限制类和淘汰类项目，符合国家产业政策的要求，项目未列入环境准入负面清单中。</w:t>
                  </w:r>
                </w:p>
              </w:tc>
              <w:tc>
                <w:tcPr>
                  <w:tcW w:w="566" w:type="pct"/>
                  <w:vAlign w:val="center"/>
                </w:tcPr>
                <w:p>
                  <w:pPr>
                    <w:spacing w:line="240" w:lineRule="exact"/>
                    <w:jc w:val="center"/>
                    <w:rPr>
                      <w:rFonts w:eastAsiaTheme="minorEastAsia"/>
                      <w:szCs w:val="21"/>
                    </w:rPr>
                  </w:pPr>
                  <w:r>
                    <w:rPr>
                      <w:rFonts w:eastAsiaTheme="minorEastAsia"/>
                      <w:szCs w:val="21"/>
                    </w:rPr>
                    <w:t>符合</w:t>
                  </w:r>
                </w:p>
              </w:tc>
            </w:tr>
          </w:tbl>
          <w:p>
            <w:pPr>
              <w:widowControl/>
              <w:spacing w:line="360" w:lineRule="auto"/>
              <w:ind w:firstLine="480" w:firstLineChars="200"/>
              <w:rPr>
                <w:rFonts w:eastAsiaTheme="minorEastAsia"/>
                <w:bCs/>
                <w:sz w:val="24"/>
                <w:szCs w:val="22"/>
              </w:rPr>
            </w:pPr>
            <w:r>
              <w:rPr>
                <w:rFonts w:eastAsiaTheme="minorEastAsia"/>
                <w:bCs/>
                <w:sz w:val="24"/>
                <w:szCs w:val="22"/>
              </w:rPr>
              <w:t>综上所述，本项目位于重点管控单元（附图5），项目为粮食烘干项目，不属于“两高”行业，废气经处理后可以满足相关的排放标准，对区域环境影响较小，符合“三线一单”的相关管控要求。</w:t>
            </w:r>
          </w:p>
          <w:p>
            <w:pPr>
              <w:autoSpaceDE w:val="0"/>
              <w:autoSpaceDN w:val="0"/>
              <w:adjustRightInd w:val="0"/>
              <w:snapToGrid w:val="0"/>
              <w:spacing w:line="360" w:lineRule="auto"/>
              <w:jc w:val="left"/>
              <w:rPr>
                <w:rFonts w:eastAsiaTheme="minorEastAsia"/>
                <w:b/>
                <w:kern w:val="0"/>
                <w:sz w:val="24"/>
              </w:rPr>
            </w:pPr>
            <w:r>
              <w:rPr>
                <w:rFonts w:eastAsiaTheme="minorEastAsia"/>
                <w:b/>
                <w:kern w:val="0"/>
                <w:sz w:val="24"/>
              </w:rPr>
              <w:t>4、选址合理性分析</w:t>
            </w:r>
          </w:p>
          <w:p>
            <w:pPr>
              <w:widowControl/>
              <w:spacing w:after="0" w:line="360" w:lineRule="auto"/>
              <w:ind w:firstLine="480" w:firstLineChars="200"/>
              <w:rPr>
                <w:rFonts w:eastAsiaTheme="minorEastAsia"/>
                <w:bCs/>
                <w:sz w:val="24"/>
                <w:szCs w:val="22"/>
              </w:rPr>
            </w:pPr>
          </w:p>
        </w:tc>
      </w:tr>
    </w:tbl>
    <w:p>
      <w:pPr>
        <w:sectPr>
          <w:footerReference w:type="default" r:id="rId11"/>
          <w:type w:val="nextPage"/>
          <w:pgSz w:w="11906" w:h="16838"/>
          <w:pgMar w:top="1701" w:right="1531" w:bottom="1701" w:left="1531" w:header="851" w:footer="1077" w:gutter="0"/>
          <w:pgNumType w:start="6"/>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1431"/>
        <w:gridCol w:w="7439"/>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9917"/>
          <w:jc w:val="center"/>
        </w:trPr>
        <w:tc>
          <w:tcPr>
            <w:tcW w:w="1431" w:type="dxa"/>
            <w:vAlign w:val="center"/>
          </w:tcPr>
          <w:p/>
        </w:tc>
        <w:tc>
          <w:tcPr>
            <w:tcW w:w="7439" w:type="dxa"/>
            <w:vAlign w:val="center"/>
          </w:tcPr>
          <w:p>
            <w:pPr>
              <w:widowControl/>
              <w:spacing w:before="0" w:line="360" w:lineRule="auto"/>
              <w:ind w:firstLine="480" w:firstLineChars="200"/>
              <w:rPr>
                <w:rFonts w:eastAsiaTheme="minorEastAsia"/>
                <w:bCs/>
                <w:sz w:val="24"/>
                <w:szCs w:val="22"/>
              </w:rPr>
            </w:pPr>
            <w:r>
              <w:rPr>
                <w:rFonts w:eastAsiaTheme="minorEastAsia"/>
                <w:bCs/>
                <w:sz w:val="24"/>
                <w:szCs w:val="22"/>
              </w:rPr>
              <w:t>项目位于陕西省渭南市大荔县韦林镇韦留村，目前为主体工程已建成，项目使用韦留村集体土地0.886公顷（8860平方米）用于建设粮食烘干项目，已取得大荔县自然资源局出具的《关于韦留村粮食储存烘干厂设施农用地备案查询的函》的复函（附件3）。</w:t>
            </w:r>
          </w:p>
          <w:p>
            <w:pPr>
              <w:widowControl/>
              <w:spacing w:line="360" w:lineRule="auto"/>
              <w:ind w:firstLine="480" w:firstLineChars="200"/>
              <w:rPr>
                <w:rFonts w:eastAsiaTheme="minorEastAsia"/>
                <w:bCs/>
                <w:sz w:val="24"/>
                <w:szCs w:val="22"/>
              </w:rPr>
            </w:pPr>
            <w:r>
              <w:rPr>
                <w:rFonts w:eastAsiaTheme="minorEastAsia"/>
                <w:bCs/>
                <w:sz w:val="24"/>
                <w:szCs w:val="22"/>
              </w:rPr>
              <w:t>项目东侧为道路，西侧为空厂房，北侧、南侧为空地。南侧120m处为韦林镇。建设地不在国家法律法规规划的饮用水水源地保护区、自然保护区、风景名胜区、生态功能保护区等需要特殊保护的地区范围内。</w:t>
            </w:r>
          </w:p>
          <w:p>
            <w:pPr>
              <w:widowControl/>
              <w:spacing w:line="360" w:lineRule="auto"/>
              <w:ind w:firstLine="480" w:firstLineChars="200"/>
              <w:rPr>
                <w:rFonts w:eastAsiaTheme="minorEastAsia"/>
                <w:bCs/>
                <w:sz w:val="24"/>
                <w:szCs w:val="22"/>
              </w:rPr>
            </w:pPr>
            <w:r>
              <w:rPr>
                <w:rFonts w:eastAsiaTheme="minorEastAsia"/>
                <w:bCs/>
                <w:sz w:val="24"/>
                <w:szCs w:val="22"/>
              </w:rPr>
              <w:t>项目产生的污染物在落实环评提出的相关措施后，均能达标排放或得到妥善处置，不会对环境产生较大影响。综上，项目选址合理。</w:t>
            </w:r>
          </w:p>
          <w:p>
            <w:pPr>
              <w:widowControl/>
              <w:spacing w:line="360" w:lineRule="auto"/>
              <w:rPr>
                <w:rFonts w:eastAsiaTheme="minorEastAsia"/>
                <w:bCs/>
                <w:sz w:val="24"/>
                <w:szCs w:val="22"/>
              </w:rPr>
            </w:pPr>
          </w:p>
        </w:tc>
      </w:tr>
    </w:tbl>
    <w:p>
      <w:pPr>
        <w:spacing w:line="360" w:lineRule="auto"/>
        <w:jc w:val="center"/>
        <w:outlineLvl w:val="0"/>
        <w:rPr>
          <w:rFonts w:eastAsiaTheme="minorEastAsia"/>
          <w:sz w:val="30"/>
        </w:rPr>
      </w:pPr>
      <w:r>
        <w:rPr>
          <w:rFonts w:eastAsiaTheme="minorEastAsia"/>
          <w:sz w:val="30"/>
        </w:rPr>
        <w:br/>
      </w:r>
      <w:r>
        <w:rPr>
          <w:rFonts w:eastAsiaTheme="minorEastAsia"/>
          <w:sz w:val="30"/>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https://d.book118.com/448001026000006050</w:t>
        </w:r>
      </w:hyperlink>
    </w:p>
    <w:p>
      <w:pPr>
        <w:spacing w:line="360" w:lineRule="auto"/>
        <w:jc w:val="center"/>
        <w:outlineLvl w:val="0"/>
        <w:rPr>
          <w:rFonts w:eastAsiaTheme="minorEastAsia"/>
          <w:sz w:val="30"/>
        </w:rPr>
      </w:pPr>
    </w:p>
    <w:sectPr>
      <w:footerReference w:type="default" r:id="rId13"/>
      <w:type w:val="nextPage"/>
      <w:pgSz w:w="11906" w:h="16838"/>
      <w:pgMar w:top="1701" w:right="1531" w:bottom="1701" w:left="1531" w:header="851" w:footer="1077" w:gutter="0"/>
      <w:pgNumType w:start="7"/>
      <w:cols w:num="1" w:space="720"/>
      <w:titlePg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1"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宋体..壮..">
    <w:altName w:val="宋体"/>
    <w:panose1 w:val="00000000000000000000"/>
    <w:charset w:val="86"/>
    <w:family w:val="auto"/>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Calibri Light">
    <w:panose1 w:val="020F0302020204030204"/>
    <w:charset w:val="00"/>
    <w:family w:val="swiss"/>
    <w:pitch w:val="default"/>
    <w:sig w:usb0="E4002EFF" w:usb1="C000247B" w:usb2="00000009" w:usb3="00000000" w:csb0="200001FF" w:csb1="00000000"/>
  </w:font>
  <w:font w:name="CG Times">
    <w:altName w:val="Times New Roman"/>
    <w:panose1 w:val="00000000000000000000"/>
    <w:charset w:val="00"/>
    <w:family w:val="roman"/>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Wingdings 2">
    <w:altName w:val="Wingdings"/>
    <w:panose1 w:val="05020102010507070707"/>
    <w:charset w:val="02"/>
    <w:family w:val="roman"/>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Style w:val="PageNumber"/>
        <w:rFonts w:ascii="宋体" w:hAnsi="宋体"/>
        <w:sz w:val="26"/>
        <w:szCs w:val="26"/>
      </w:rPr>
      <w:fldChar w:fldCharType="begin"/>
    </w:r>
    <w:r>
      <w:rPr>
        <w:rStyle w:val="PageNumber"/>
        <w:rFonts w:ascii="宋体" w:hAnsi="宋体"/>
        <w:sz w:val="26"/>
        <w:szCs w:val="26"/>
      </w:rPr>
      <w:instrText xml:space="preserve">PAGE  </w:instrText>
    </w:r>
    <w:r>
      <w:rPr>
        <w:rStyle w:val="PageNumber"/>
        <w:rFonts w:ascii="宋体" w:hAnsi="宋体"/>
        <w:sz w:val="26"/>
        <w:szCs w:val="26"/>
      </w:rPr>
      <w:fldChar w:fldCharType="separate"/>
    </w:r>
    <w:r>
      <w:rPr>
        <w:rStyle w:val="PageNumber"/>
        <w:rFonts w:ascii="宋体" w:hAnsi="宋体"/>
        <w:sz w:val="26"/>
        <w:szCs w:val="26"/>
      </w:rPr>
      <w:t>1</w:t>
    </w:r>
    <w:r>
      <w:rPr>
        <w:rStyle w:val="PageNumbe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Style w:val="PageNumber"/>
        <w:rFonts w:ascii="宋体" w:hAnsi="宋体"/>
        <w:sz w:val="26"/>
        <w:szCs w:val="26"/>
      </w:rPr>
      <w:fldChar w:fldCharType="begin"/>
    </w:r>
    <w:r>
      <w:rPr>
        <w:rStyle w:val="PageNumber"/>
        <w:rFonts w:ascii="宋体" w:hAnsi="宋体"/>
        <w:sz w:val="26"/>
        <w:szCs w:val="26"/>
      </w:rPr>
      <w:instrText xml:space="preserve">PAGE  </w:instrText>
    </w:r>
    <w:r>
      <w:rPr>
        <w:rStyle w:val="PageNumber"/>
        <w:rFonts w:ascii="宋体" w:hAnsi="宋体"/>
        <w:sz w:val="26"/>
        <w:szCs w:val="26"/>
      </w:rPr>
      <w:fldChar w:fldCharType="separate"/>
    </w:r>
    <w:r>
      <w:rPr>
        <w:rStyle w:val="PageNumber"/>
        <w:rFonts w:ascii="宋体" w:hAnsi="宋体"/>
        <w:sz w:val="26"/>
        <w:szCs w:val="26"/>
      </w:rPr>
      <w:t>2</w:t>
    </w:r>
    <w:r>
      <w:rPr>
        <w:rStyle w:val="PageNumbe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Style w:val="PageNumber"/>
        <w:rFonts w:ascii="宋体" w:hAnsi="宋体"/>
        <w:sz w:val="26"/>
        <w:szCs w:val="26"/>
      </w:rPr>
      <w:fldChar w:fldCharType="begin"/>
    </w:r>
    <w:r>
      <w:rPr>
        <w:rStyle w:val="PageNumber"/>
        <w:rFonts w:ascii="宋体" w:hAnsi="宋体"/>
        <w:sz w:val="26"/>
        <w:szCs w:val="26"/>
      </w:rPr>
      <w:instrText xml:space="preserve">PAGE  </w:instrText>
    </w:r>
    <w:r>
      <w:rPr>
        <w:rStyle w:val="PageNumber"/>
        <w:rFonts w:ascii="宋体" w:hAnsi="宋体"/>
        <w:sz w:val="26"/>
        <w:szCs w:val="26"/>
      </w:rPr>
      <w:fldChar w:fldCharType="separate"/>
    </w:r>
    <w:r>
      <w:rPr>
        <w:rStyle w:val="PageNumber"/>
        <w:rFonts w:ascii="宋体" w:hAnsi="宋体"/>
        <w:sz w:val="26"/>
        <w:szCs w:val="26"/>
      </w:rPr>
      <w:t>3</w:t>
    </w:r>
    <w:r>
      <w:rPr>
        <w:rStyle w:val="PageNumbe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Style w:val="PageNumber"/>
        <w:rFonts w:ascii="宋体" w:hAnsi="宋体"/>
        <w:sz w:val="26"/>
        <w:szCs w:val="26"/>
      </w:rPr>
      <w:fldChar w:fldCharType="begin"/>
    </w:r>
    <w:r>
      <w:rPr>
        <w:rStyle w:val="PageNumber"/>
        <w:rFonts w:ascii="宋体" w:hAnsi="宋体"/>
        <w:sz w:val="26"/>
        <w:szCs w:val="26"/>
      </w:rPr>
      <w:instrText xml:space="preserve">PAGE  </w:instrText>
    </w:r>
    <w:r>
      <w:rPr>
        <w:rStyle w:val="PageNumber"/>
        <w:rFonts w:ascii="宋体" w:hAnsi="宋体"/>
        <w:sz w:val="26"/>
        <w:szCs w:val="26"/>
      </w:rPr>
      <w:fldChar w:fldCharType="separate"/>
    </w:r>
    <w:r>
      <w:rPr>
        <w:rStyle w:val="PageNumber"/>
        <w:rFonts w:ascii="宋体" w:hAnsi="宋体"/>
        <w:sz w:val="26"/>
        <w:szCs w:val="26"/>
      </w:rPr>
      <w:t>5</w:t>
    </w:r>
    <w:r>
      <w:rPr>
        <w:rStyle w:val="PageNumbe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Style w:val="PageNumber"/>
        <w:rFonts w:ascii="宋体" w:hAnsi="宋体"/>
        <w:sz w:val="26"/>
        <w:szCs w:val="26"/>
      </w:rPr>
      <w:fldChar w:fldCharType="begin"/>
    </w:r>
    <w:r>
      <w:rPr>
        <w:rStyle w:val="PageNumber"/>
        <w:rFonts w:ascii="宋体" w:hAnsi="宋体"/>
        <w:sz w:val="26"/>
        <w:szCs w:val="26"/>
      </w:rPr>
      <w:instrText xml:space="preserve">PAGE  </w:instrText>
    </w:r>
    <w:r>
      <w:rPr>
        <w:rStyle w:val="PageNumber"/>
        <w:rFonts w:ascii="宋体" w:hAnsi="宋体"/>
        <w:sz w:val="26"/>
        <w:szCs w:val="26"/>
      </w:rPr>
      <w:fldChar w:fldCharType="separate"/>
    </w:r>
    <w:r>
      <w:rPr>
        <w:rStyle w:val="PageNumber"/>
        <w:rFonts w:ascii="宋体" w:hAnsi="宋体"/>
        <w:sz w:val="26"/>
        <w:szCs w:val="26"/>
      </w:rPr>
      <w:t>6</w:t>
    </w:r>
    <w:r>
      <w:rPr>
        <w:rStyle w:val="PageNumbe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Style w:val="PageNumber"/>
        <w:rFonts w:ascii="宋体" w:hAnsi="宋体"/>
        <w:sz w:val="26"/>
        <w:szCs w:val="26"/>
      </w:rPr>
      <w:fldChar w:fldCharType="begin"/>
    </w:r>
    <w:r>
      <w:rPr>
        <w:rStyle w:val="PageNumber"/>
        <w:rFonts w:ascii="宋体" w:hAnsi="宋体"/>
        <w:sz w:val="26"/>
        <w:szCs w:val="26"/>
      </w:rPr>
      <w:instrText xml:space="preserve">PAGE  </w:instrText>
    </w:r>
    <w:r>
      <w:rPr>
        <w:rStyle w:val="PageNumber"/>
        <w:rFonts w:ascii="宋体" w:hAnsi="宋体"/>
        <w:sz w:val="26"/>
        <w:szCs w:val="26"/>
      </w:rPr>
      <w:fldChar w:fldCharType="separate"/>
    </w:r>
    <w:r>
      <w:rPr>
        <w:rStyle w:val="PageNumber"/>
        <w:rFonts w:ascii="宋体" w:hAnsi="宋体"/>
        <w:sz w:val="26"/>
        <w:szCs w:val="26"/>
      </w:rPr>
      <w:t>6</w:t>
    </w:r>
    <w:r>
      <w:rPr>
        <w:rStyle w:val="PageNumbe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Style w:val="PageNumber"/>
        <w:rFonts w:ascii="宋体" w:hAnsi="宋体"/>
        <w:sz w:val="26"/>
        <w:szCs w:val="26"/>
      </w:rPr>
      <w:fldChar w:fldCharType="begin"/>
    </w:r>
    <w:r>
      <w:rPr>
        <w:rStyle w:val="PageNumber"/>
        <w:rFonts w:ascii="宋体" w:hAnsi="宋体"/>
        <w:sz w:val="26"/>
        <w:szCs w:val="26"/>
      </w:rPr>
      <w:instrText xml:space="preserve">PAGE  </w:instrText>
    </w:r>
    <w:r>
      <w:rPr>
        <w:rStyle w:val="PageNumber"/>
        <w:rFonts w:ascii="宋体" w:hAnsi="宋体"/>
        <w:sz w:val="26"/>
        <w:szCs w:val="26"/>
      </w:rPr>
      <w:fldChar w:fldCharType="separate"/>
    </w:r>
    <w:r>
      <w:rPr>
        <w:rStyle w:val="PageNumber"/>
        <w:rFonts w:ascii="宋体" w:hAnsi="宋体"/>
        <w:sz w:val="26"/>
        <w:szCs w:val="26"/>
      </w:rPr>
      <w:t>7</w:t>
    </w:r>
    <w:r>
      <w:rPr>
        <w:rStyle w:val="PageNumbe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779D5DF"/>
    <w:multiLevelType w:val="singleLevel"/>
    <w:tmpl w:val="9779D5DF"/>
    <w:lvl w:ilvl="0">
      <w:start w:val="1"/>
      <w:numFmt w:val="chineseCounting"/>
      <w:suff w:val="nothing"/>
      <w:lvlText w:val="%1、"/>
      <w:lvlJc w:val="left"/>
      <w:rPr>
        <w:rFonts w:hint="eastAsia"/>
      </w:rPr>
    </w:lvl>
  </w:abstractNum>
  <w:abstractNum w:abstractNumId="1">
    <w:nsid w:val="4C7C75FC"/>
    <w:multiLevelType w:val="multilevel"/>
    <w:tmpl w:val="4C7C75FC"/>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125"/>
  <w:bordersDoNotSurroundHeader/>
  <w:bordersDoNotSurroundFooter/>
  <w:attachedTemplate r:id="rId1"/>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ocumentProtection w:edit="trackedChanges"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ˇˉ―‖’”…∶、。〃々〉》」』】〕〗！＂＇），．：；？］｀｜｝～￠"/>
  <w:doNotEmbedSmartTags/>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4947"/>
    <w:rsid w:val="000003EA"/>
    <w:rsid w:val="00001198"/>
    <w:rsid w:val="0000146C"/>
    <w:rsid w:val="00003288"/>
    <w:rsid w:val="00004A9C"/>
    <w:rsid w:val="00004EE9"/>
    <w:rsid w:val="0000501A"/>
    <w:rsid w:val="00005E8B"/>
    <w:rsid w:val="000060B3"/>
    <w:rsid w:val="000063AF"/>
    <w:rsid w:val="000065AB"/>
    <w:rsid w:val="0000677F"/>
    <w:rsid w:val="00006C67"/>
    <w:rsid w:val="0001002C"/>
    <w:rsid w:val="00010263"/>
    <w:rsid w:val="00011C16"/>
    <w:rsid w:val="00012867"/>
    <w:rsid w:val="00012871"/>
    <w:rsid w:val="000138DA"/>
    <w:rsid w:val="000139A0"/>
    <w:rsid w:val="000140A1"/>
    <w:rsid w:val="00014481"/>
    <w:rsid w:val="00015B4E"/>
    <w:rsid w:val="00015DA8"/>
    <w:rsid w:val="000165E1"/>
    <w:rsid w:val="000177C2"/>
    <w:rsid w:val="0002004C"/>
    <w:rsid w:val="00020860"/>
    <w:rsid w:val="000209D4"/>
    <w:rsid w:val="00020B0D"/>
    <w:rsid w:val="00023456"/>
    <w:rsid w:val="0002369C"/>
    <w:rsid w:val="0002426B"/>
    <w:rsid w:val="0002466F"/>
    <w:rsid w:val="000253B6"/>
    <w:rsid w:val="00026697"/>
    <w:rsid w:val="00027A34"/>
    <w:rsid w:val="00027CFE"/>
    <w:rsid w:val="00030338"/>
    <w:rsid w:val="000308BA"/>
    <w:rsid w:val="00030F29"/>
    <w:rsid w:val="000314C7"/>
    <w:rsid w:val="000314E0"/>
    <w:rsid w:val="00032967"/>
    <w:rsid w:val="00033291"/>
    <w:rsid w:val="00033619"/>
    <w:rsid w:val="000344ED"/>
    <w:rsid w:val="00034871"/>
    <w:rsid w:val="00034B12"/>
    <w:rsid w:val="000363A3"/>
    <w:rsid w:val="00036574"/>
    <w:rsid w:val="000372F9"/>
    <w:rsid w:val="000376DC"/>
    <w:rsid w:val="0004050B"/>
    <w:rsid w:val="00040538"/>
    <w:rsid w:val="00040598"/>
    <w:rsid w:val="00040D84"/>
    <w:rsid w:val="000416CD"/>
    <w:rsid w:val="00042A67"/>
    <w:rsid w:val="0004364B"/>
    <w:rsid w:val="00044B38"/>
    <w:rsid w:val="00044CB9"/>
    <w:rsid w:val="00045765"/>
    <w:rsid w:val="000460D2"/>
    <w:rsid w:val="0004707A"/>
    <w:rsid w:val="00050824"/>
    <w:rsid w:val="000524E1"/>
    <w:rsid w:val="000527E3"/>
    <w:rsid w:val="00053726"/>
    <w:rsid w:val="00053BB5"/>
    <w:rsid w:val="00053E0B"/>
    <w:rsid w:val="000545B0"/>
    <w:rsid w:val="00055990"/>
    <w:rsid w:val="000560EF"/>
    <w:rsid w:val="000564D5"/>
    <w:rsid w:val="000565AC"/>
    <w:rsid w:val="00056BE7"/>
    <w:rsid w:val="00060E2E"/>
    <w:rsid w:val="00060FEB"/>
    <w:rsid w:val="0006119B"/>
    <w:rsid w:val="000616F0"/>
    <w:rsid w:val="00061998"/>
    <w:rsid w:val="00061B1F"/>
    <w:rsid w:val="0006319E"/>
    <w:rsid w:val="000638AB"/>
    <w:rsid w:val="0006391D"/>
    <w:rsid w:val="00064ABC"/>
    <w:rsid w:val="0006518B"/>
    <w:rsid w:val="000651F7"/>
    <w:rsid w:val="00065566"/>
    <w:rsid w:val="000657DB"/>
    <w:rsid w:val="000661E2"/>
    <w:rsid w:val="00066219"/>
    <w:rsid w:val="00067047"/>
    <w:rsid w:val="00067782"/>
    <w:rsid w:val="00067AE4"/>
    <w:rsid w:val="00070739"/>
    <w:rsid w:val="00070B03"/>
    <w:rsid w:val="00070D32"/>
    <w:rsid w:val="00071EB4"/>
    <w:rsid w:val="00072022"/>
    <w:rsid w:val="000733C4"/>
    <w:rsid w:val="00073C18"/>
    <w:rsid w:val="00074446"/>
    <w:rsid w:val="00074783"/>
    <w:rsid w:val="00074DF5"/>
    <w:rsid w:val="0007540F"/>
    <w:rsid w:val="0007589E"/>
    <w:rsid w:val="000758B6"/>
    <w:rsid w:val="000770F3"/>
    <w:rsid w:val="0007774C"/>
    <w:rsid w:val="00077DA4"/>
    <w:rsid w:val="0008011E"/>
    <w:rsid w:val="0008070B"/>
    <w:rsid w:val="000810AC"/>
    <w:rsid w:val="00081A02"/>
    <w:rsid w:val="00081BE9"/>
    <w:rsid w:val="00082231"/>
    <w:rsid w:val="000822E6"/>
    <w:rsid w:val="000827FC"/>
    <w:rsid w:val="0008335F"/>
    <w:rsid w:val="000835BF"/>
    <w:rsid w:val="000837A1"/>
    <w:rsid w:val="00083AB9"/>
    <w:rsid w:val="00083DD3"/>
    <w:rsid w:val="00085369"/>
    <w:rsid w:val="00085B74"/>
    <w:rsid w:val="00086889"/>
    <w:rsid w:val="00086954"/>
    <w:rsid w:val="00086C60"/>
    <w:rsid w:val="000873F2"/>
    <w:rsid w:val="00090EE7"/>
    <w:rsid w:val="0009143B"/>
    <w:rsid w:val="000915A0"/>
    <w:rsid w:val="000920B6"/>
    <w:rsid w:val="0009244A"/>
    <w:rsid w:val="00092D38"/>
    <w:rsid w:val="0009345D"/>
    <w:rsid w:val="0009377B"/>
    <w:rsid w:val="000939DD"/>
    <w:rsid w:val="00093CF4"/>
    <w:rsid w:val="00094272"/>
    <w:rsid w:val="000959FA"/>
    <w:rsid w:val="0009653D"/>
    <w:rsid w:val="00097810"/>
    <w:rsid w:val="000A0348"/>
    <w:rsid w:val="000A17A0"/>
    <w:rsid w:val="000A190C"/>
    <w:rsid w:val="000A20C9"/>
    <w:rsid w:val="000A2CFF"/>
    <w:rsid w:val="000A2D5B"/>
    <w:rsid w:val="000A2FD6"/>
    <w:rsid w:val="000A38FF"/>
    <w:rsid w:val="000A3C81"/>
    <w:rsid w:val="000A49CF"/>
    <w:rsid w:val="000A5368"/>
    <w:rsid w:val="000A59D0"/>
    <w:rsid w:val="000A6D3F"/>
    <w:rsid w:val="000A6F80"/>
    <w:rsid w:val="000B016C"/>
    <w:rsid w:val="000B058F"/>
    <w:rsid w:val="000B0B60"/>
    <w:rsid w:val="000B0BBB"/>
    <w:rsid w:val="000B15B6"/>
    <w:rsid w:val="000B1A7C"/>
    <w:rsid w:val="000B1B71"/>
    <w:rsid w:val="000B1D75"/>
    <w:rsid w:val="000B2E01"/>
    <w:rsid w:val="000B2E7D"/>
    <w:rsid w:val="000B33CF"/>
    <w:rsid w:val="000B3D85"/>
    <w:rsid w:val="000B4467"/>
    <w:rsid w:val="000B4AB2"/>
    <w:rsid w:val="000B4C2A"/>
    <w:rsid w:val="000B4DB9"/>
    <w:rsid w:val="000B5746"/>
    <w:rsid w:val="000B671E"/>
    <w:rsid w:val="000B6AF4"/>
    <w:rsid w:val="000B7420"/>
    <w:rsid w:val="000B75E0"/>
    <w:rsid w:val="000C09AC"/>
    <w:rsid w:val="000C0DE6"/>
    <w:rsid w:val="000C18C9"/>
    <w:rsid w:val="000C1CC4"/>
    <w:rsid w:val="000C2131"/>
    <w:rsid w:val="000C2DD8"/>
    <w:rsid w:val="000C2FEE"/>
    <w:rsid w:val="000C32EB"/>
    <w:rsid w:val="000C3369"/>
    <w:rsid w:val="000C4413"/>
    <w:rsid w:val="000C51AF"/>
    <w:rsid w:val="000C5CA4"/>
    <w:rsid w:val="000C5E67"/>
    <w:rsid w:val="000C62FE"/>
    <w:rsid w:val="000C767F"/>
    <w:rsid w:val="000C78FE"/>
    <w:rsid w:val="000D0E98"/>
    <w:rsid w:val="000D1488"/>
    <w:rsid w:val="000D2C1A"/>
    <w:rsid w:val="000D2FCB"/>
    <w:rsid w:val="000D3C10"/>
    <w:rsid w:val="000D3D04"/>
    <w:rsid w:val="000D3E3A"/>
    <w:rsid w:val="000D52AC"/>
    <w:rsid w:val="000D5A44"/>
    <w:rsid w:val="000D5AE5"/>
    <w:rsid w:val="000D6956"/>
    <w:rsid w:val="000D79D6"/>
    <w:rsid w:val="000D7D43"/>
    <w:rsid w:val="000E0BEB"/>
    <w:rsid w:val="000E2F8F"/>
    <w:rsid w:val="000E341B"/>
    <w:rsid w:val="000E3ED2"/>
    <w:rsid w:val="000E50FD"/>
    <w:rsid w:val="000E6190"/>
    <w:rsid w:val="000E697A"/>
    <w:rsid w:val="000E6C50"/>
    <w:rsid w:val="000F20F1"/>
    <w:rsid w:val="000F2890"/>
    <w:rsid w:val="000F2E75"/>
    <w:rsid w:val="000F343D"/>
    <w:rsid w:val="000F3E42"/>
    <w:rsid w:val="000F44AF"/>
    <w:rsid w:val="000F5091"/>
    <w:rsid w:val="001007AF"/>
    <w:rsid w:val="00101CC4"/>
    <w:rsid w:val="00101CE2"/>
    <w:rsid w:val="00101F1E"/>
    <w:rsid w:val="0010210D"/>
    <w:rsid w:val="00102362"/>
    <w:rsid w:val="0010271D"/>
    <w:rsid w:val="00102979"/>
    <w:rsid w:val="00103344"/>
    <w:rsid w:val="0010422D"/>
    <w:rsid w:val="001045EE"/>
    <w:rsid w:val="00104B42"/>
    <w:rsid w:val="001055A9"/>
    <w:rsid w:val="00105988"/>
    <w:rsid w:val="00105F22"/>
    <w:rsid w:val="0010665D"/>
    <w:rsid w:val="00106E0E"/>
    <w:rsid w:val="001102E0"/>
    <w:rsid w:val="00110828"/>
    <w:rsid w:val="0011103E"/>
    <w:rsid w:val="00111D03"/>
    <w:rsid w:val="001128BD"/>
    <w:rsid w:val="00114344"/>
    <w:rsid w:val="001144E8"/>
    <w:rsid w:val="00114770"/>
    <w:rsid w:val="0011480C"/>
    <w:rsid w:val="001148B3"/>
    <w:rsid w:val="00115F88"/>
    <w:rsid w:val="00116050"/>
    <w:rsid w:val="00116479"/>
    <w:rsid w:val="00116D31"/>
    <w:rsid w:val="00117653"/>
    <w:rsid w:val="001179F7"/>
    <w:rsid w:val="0012073F"/>
    <w:rsid w:val="001207FE"/>
    <w:rsid w:val="00120930"/>
    <w:rsid w:val="00121017"/>
    <w:rsid w:val="00121BA8"/>
    <w:rsid w:val="001220B1"/>
    <w:rsid w:val="00122262"/>
    <w:rsid w:val="00122B37"/>
    <w:rsid w:val="00123DD9"/>
    <w:rsid w:val="00123F7E"/>
    <w:rsid w:val="0012687E"/>
    <w:rsid w:val="00130CCD"/>
    <w:rsid w:val="00130EEF"/>
    <w:rsid w:val="0013106B"/>
    <w:rsid w:val="00131F42"/>
    <w:rsid w:val="0013235A"/>
    <w:rsid w:val="001329A7"/>
    <w:rsid w:val="00132DE1"/>
    <w:rsid w:val="0013421B"/>
    <w:rsid w:val="001346B7"/>
    <w:rsid w:val="00134B73"/>
    <w:rsid w:val="00134F54"/>
    <w:rsid w:val="001356CB"/>
    <w:rsid w:val="001357F1"/>
    <w:rsid w:val="0013689F"/>
    <w:rsid w:val="00140308"/>
    <w:rsid w:val="00140FA8"/>
    <w:rsid w:val="0014190C"/>
    <w:rsid w:val="0014219C"/>
    <w:rsid w:val="001427D3"/>
    <w:rsid w:val="00142B97"/>
    <w:rsid w:val="00142FEB"/>
    <w:rsid w:val="00143A2D"/>
    <w:rsid w:val="0014495F"/>
    <w:rsid w:val="001449A7"/>
    <w:rsid w:val="00145A41"/>
    <w:rsid w:val="00146214"/>
    <w:rsid w:val="001468CF"/>
    <w:rsid w:val="00146D9A"/>
    <w:rsid w:val="00146FBD"/>
    <w:rsid w:val="00147730"/>
    <w:rsid w:val="00147F64"/>
    <w:rsid w:val="0015021A"/>
    <w:rsid w:val="00150477"/>
    <w:rsid w:val="0015090C"/>
    <w:rsid w:val="00151675"/>
    <w:rsid w:val="00152E36"/>
    <w:rsid w:val="0015336F"/>
    <w:rsid w:val="001541B5"/>
    <w:rsid w:val="00154A8C"/>
    <w:rsid w:val="00155202"/>
    <w:rsid w:val="00155761"/>
    <w:rsid w:val="0015580F"/>
    <w:rsid w:val="001563ED"/>
    <w:rsid w:val="001566EF"/>
    <w:rsid w:val="00156B03"/>
    <w:rsid w:val="00157435"/>
    <w:rsid w:val="00161443"/>
    <w:rsid w:val="00161A44"/>
    <w:rsid w:val="00161D6E"/>
    <w:rsid w:val="001630D4"/>
    <w:rsid w:val="00163F29"/>
    <w:rsid w:val="00164410"/>
    <w:rsid w:val="001644FC"/>
    <w:rsid w:val="00164D08"/>
    <w:rsid w:val="0016584B"/>
    <w:rsid w:val="00166407"/>
    <w:rsid w:val="00166B84"/>
    <w:rsid w:val="0016762B"/>
    <w:rsid w:val="00167A19"/>
    <w:rsid w:val="00167D86"/>
    <w:rsid w:val="00167E89"/>
    <w:rsid w:val="00173D45"/>
    <w:rsid w:val="00174432"/>
    <w:rsid w:val="0017504D"/>
    <w:rsid w:val="00175072"/>
    <w:rsid w:val="00175DB3"/>
    <w:rsid w:val="00176094"/>
    <w:rsid w:val="00176411"/>
    <w:rsid w:val="0017671A"/>
    <w:rsid w:val="00176C90"/>
    <w:rsid w:val="00177422"/>
    <w:rsid w:val="001808DD"/>
    <w:rsid w:val="00180A0C"/>
    <w:rsid w:val="00180C45"/>
    <w:rsid w:val="00181A15"/>
    <w:rsid w:val="00181B32"/>
    <w:rsid w:val="00181E7D"/>
    <w:rsid w:val="001833D8"/>
    <w:rsid w:val="001834C6"/>
    <w:rsid w:val="00183893"/>
    <w:rsid w:val="00184590"/>
    <w:rsid w:val="0018525A"/>
    <w:rsid w:val="0018543F"/>
    <w:rsid w:val="00185F34"/>
    <w:rsid w:val="001860AA"/>
    <w:rsid w:val="0018658B"/>
    <w:rsid w:val="001870D1"/>
    <w:rsid w:val="0018781E"/>
    <w:rsid w:val="001915B3"/>
    <w:rsid w:val="001915E7"/>
    <w:rsid w:val="0019262D"/>
    <w:rsid w:val="001935A2"/>
    <w:rsid w:val="00193A93"/>
    <w:rsid w:val="00193B0D"/>
    <w:rsid w:val="00194C69"/>
    <w:rsid w:val="00195550"/>
    <w:rsid w:val="00195778"/>
    <w:rsid w:val="00196678"/>
    <w:rsid w:val="00196C48"/>
    <w:rsid w:val="00197A2E"/>
    <w:rsid w:val="00197EAD"/>
    <w:rsid w:val="001A1586"/>
    <w:rsid w:val="001A1B35"/>
    <w:rsid w:val="001A48A2"/>
    <w:rsid w:val="001A4FCB"/>
    <w:rsid w:val="001A57D2"/>
    <w:rsid w:val="001A5E65"/>
    <w:rsid w:val="001A64DA"/>
    <w:rsid w:val="001A6F61"/>
    <w:rsid w:val="001B041A"/>
    <w:rsid w:val="001B0810"/>
    <w:rsid w:val="001B2280"/>
    <w:rsid w:val="001B32B5"/>
    <w:rsid w:val="001B3354"/>
    <w:rsid w:val="001B4044"/>
    <w:rsid w:val="001B427E"/>
    <w:rsid w:val="001B44A3"/>
    <w:rsid w:val="001B59EC"/>
    <w:rsid w:val="001B6452"/>
    <w:rsid w:val="001B6D7A"/>
    <w:rsid w:val="001B7242"/>
    <w:rsid w:val="001B72B8"/>
    <w:rsid w:val="001B736F"/>
    <w:rsid w:val="001B748A"/>
    <w:rsid w:val="001B7862"/>
    <w:rsid w:val="001B7FD1"/>
    <w:rsid w:val="001C063D"/>
    <w:rsid w:val="001C14CE"/>
    <w:rsid w:val="001C24ED"/>
    <w:rsid w:val="001C269F"/>
    <w:rsid w:val="001C2A05"/>
    <w:rsid w:val="001C3664"/>
    <w:rsid w:val="001C3EC7"/>
    <w:rsid w:val="001C4055"/>
    <w:rsid w:val="001C4430"/>
    <w:rsid w:val="001C481D"/>
    <w:rsid w:val="001C5322"/>
    <w:rsid w:val="001C567E"/>
    <w:rsid w:val="001C6086"/>
    <w:rsid w:val="001C6330"/>
    <w:rsid w:val="001C69B3"/>
    <w:rsid w:val="001C71F4"/>
    <w:rsid w:val="001D09E4"/>
    <w:rsid w:val="001D1D93"/>
    <w:rsid w:val="001D1ECA"/>
    <w:rsid w:val="001D2480"/>
    <w:rsid w:val="001D262C"/>
    <w:rsid w:val="001D2823"/>
    <w:rsid w:val="001D3661"/>
    <w:rsid w:val="001D5527"/>
    <w:rsid w:val="001D5595"/>
    <w:rsid w:val="001D572D"/>
    <w:rsid w:val="001D5B5D"/>
    <w:rsid w:val="001D5EFC"/>
    <w:rsid w:val="001D612F"/>
    <w:rsid w:val="001D63FC"/>
    <w:rsid w:val="001D64A7"/>
    <w:rsid w:val="001D7874"/>
    <w:rsid w:val="001D79EB"/>
    <w:rsid w:val="001D7F22"/>
    <w:rsid w:val="001E1C9B"/>
    <w:rsid w:val="001E20B0"/>
    <w:rsid w:val="001E24A9"/>
    <w:rsid w:val="001E26A6"/>
    <w:rsid w:val="001E2BD4"/>
    <w:rsid w:val="001E37EF"/>
    <w:rsid w:val="001E46FC"/>
    <w:rsid w:val="001E4E3E"/>
    <w:rsid w:val="001E5140"/>
    <w:rsid w:val="001E664B"/>
    <w:rsid w:val="001E67FC"/>
    <w:rsid w:val="001E7B47"/>
    <w:rsid w:val="001F08E0"/>
    <w:rsid w:val="001F0BC2"/>
    <w:rsid w:val="001F0F17"/>
    <w:rsid w:val="001F2ACF"/>
    <w:rsid w:val="001F3347"/>
    <w:rsid w:val="001F353A"/>
    <w:rsid w:val="001F3FE3"/>
    <w:rsid w:val="001F41E8"/>
    <w:rsid w:val="001F430B"/>
    <w:rsid w:val="001F5FB8"/>
    <w:rsid w:val="001F632A"/>
    <w:rsid w:val="001F69E4"/>
    <w:rsid w:val="001F6B47"/>
    <w:rsid w:val="001F6BB7"/>
    <w:rsid w:val="001F7039"/>
    <w:rsid w:val="001F7142"/>
    <w:rsid w:val="001F7685"/>
    <w:rsid w:val="00201427"/>
    <w:rsid w:val="002014C9"/>
    <w:rsid w:val="00201E27"/>
    <w:rsid w:val="00202AB6"/>
    <w:rsid w:val="002037A2"/>
    <w:rsid w:val="00203CE2"/>
    <w:rsid w:val="00204192"/>
    <w:rsid w:val="00204B87"/>
    <w:rsid w:val="00205265"/>
    <w:rsid w:val="00205961"/>
    <w:rsid w:val="00205ED0"/>
    <w:rsid w:val="002061D2"/>
    <w:rsid w:val="0020651F"/>
    <w:rsid w:val="00206CB7"/>
    <w:rsid w:val="00207E3A"/>
    <w:rsid w:val="0021186B"/>
    <w:rsid w:val="00211910"/>
    <w:rsid w:val="002125B4"/>
    <w:rsid w:val="00212CC5"/>
    <w:rsid w:val="00213BFE"/>
    <w:rsid w:val="00213F39"/>
    <w:rsid w:val="00214006"/>
    <w:rsid w:val="002155B8"/>
    <w:rsid w:val="002171E2"/>
    <w:rsid w:val="0021753A"/>
    <w:rsid w:val="00220152"/>
    <w:rsid w:val="00220512"/>
    <w:rsid w:val="00220E65"/>
    <w:rsid w:val="00221130"/>
    <w:rsid w:val="0022170F"/>
    <w:rsid w:val="0022180A"/>
    <w:rsid w:val="0022187A"/>
    <w:rsid w:val="00222045"/>
    <w:rsid w:val="002222B1"/>
    <w:rsid w:val="0022255A"/>
    <w:rsid w:val="00222B1D"/>
    <w:rsid w:val="00223086"/>
    <w:rsid w:val="00224839"/>
    <w:rsid w:val="002249B2"/>
    <w:rsid w:val="00225047"/>
    <w:rsid w:val="00225447"/>
    <w:rsid w:val="00225F0E"/>
    <w:rsid w:val="00226574"/>
    <w:rsid w:val="002266AD"/>
    <w:rsid w:val="00226DFE"/>
    <w:rsid w:val="00227208"/>
    <w:rsid w:val="002278EC"/>
    <w:rsid w:val="00227F28"/>
    <w:rsid w:val="002305AB"/>
    <w:rsid w:val="00230C75"/>
    <w:rsid w:val="00231A43"/>
    <w:rsid w:val="0023280E"/>
    <w:rsid w:val="0023288A"/>
    <w:rsid w:val="00232BA4"/>
    <w:rsid w:val="0023307E"/>
    <w:rsid w:val="002331FF"/>
    <w:rsid w:val="002334FF"/>
    <w:rsid w:val="00233D30"/>
    <w:rsid w:val="00233ECF"/>
    <w:rsid w:val="00235D6C"/>
    <w:rsid w:val="00236F04"/>
    <w:rsid w:val="002377D1"/>
    <w:rsid w:val="00237970"/>
    <w:rsid w:val="00240A42"/>
    <w:rsid w:val="00241A13"/>
    <w:rsid w:val="00241FCD"/>
    <w:rsid w:val="00244D13"/>
    <w:rsid w:val="00244E84"/>
    <w:rsid w:val="002453B6"/>
    <w:rsid w:val="0024585B"/>
    <w:rsid w:val="002473D4"/>
    <w:rsid w:val="0024756E"/>
    <w:rsid w:val="00247643"/>
    <w:rsid w:val="00247CE9"/>
    <w:rsid w:val="00247E93"/>
    <w:rsid w:val="00247FB8"/>
    <w:rsid w:val="002506BC"/>
    <w:rsid w:val="00250DE9"/>
    <w:rsid w:val="00251267"/>
    <w:rsid w:val="002516A3"/>
    <w:rsid w:val="002528D5"/>
    <w:rsid w:val="002529E7"/>
    <w:rsid w:val="00253392"/>
    <w:rsid w:val="0025396C"/>
    <w:rsid w:val="00253EAA"/>
    <w:rsid w:val="00254345"/>
    <w:rsid w:val="0025608E"/>
    <w:rsid w:val="00256159"/>
    <w:rsid w:val="00256874"/>
    <w:rsid w:val="00257048"/>
    <w:rsid w:val="002576E7"/>
    <w:rsid w:val="00257ADE"/>
    <w:rsid w:val="00260008"/>
    <w:rsid w:val="0026160E"/>
    <w:rsid w:val="0026182D"/>
    <w:rsid w:val="00263448"/>
    <w:rsid w:val="00263B41"/>
    <w:rsid w:val="0026401F"/>
    <w:rsid w:val="00264557"/>
    <w:rsid w:val="00265747"/>
    <w:rsid w:val="00265DB8"/>
    <w:rsid w:val="00266D0A"/>
    <w:rsid w:val="0026730B"/>
    <w:rsid w:val="00267326"/>
    <w:rsid w:val="002673AF"/>
    <w:rsid w:val="0026753D"/>
    <w:rsid w:val="002677D5"/>
    <w:rsid w:val="00270423"/>
    <w:rsid w:val="002713B2"/>
    <w:rsid w:val="002716B5"/>
    <w:rsid w:val="0027292B"/>
    <w:rsid w:val="00273407"/>
    <w:rsid w:val="00273F83"/>
    <w:rsid w:val="00274FD4"/>
    <w:rsid w:val="002756CF"/>
    <w:rsid w:val="00276067"/>
    <w:rsid w:val="00277AF1"/>
    <w:rsid w:val="00277B75"/>
    <w:rsid w:val="00280341"/>
    <w:rsid w:val="002804F9"/>
    <w:rsid w:val="002805AB"/>
    <w:rsid w:val="00282126"/>
    <w:rsid w:val="00283658"/>
    <w:rsid w:val="00283FDA"/>
    <w:rsid w:val="00284204"/>
    <w:rsid w:val="00284223"/>
    <w:rsid w:val="00284E61"/>
    <w:rsid w:val="00285349"/>
    <w:rsid w:val="00285497"/>
    <w:rsid w:val="00285A3D"/>
    <w:rsid w:val="0028683E"/>
    <w:rsid w:val="00286B07"/>
    <w:rsid w:val="00291773"/>
    <w:rsid w:val="002935DC"/>
    <w:rsid w:val="00293F9B"/>
    <w:rsid w:val="00294573"/>
    <w:rsid w:val="00294BDE"/>
    <w:rsid w:val="00295250"/>
    <w:rsid w:val="0029676F"/>
    <w:rsid w:val="002A0897"/>
    <w:rsid w:val="002A0E70"/>
    <w:rsid w:val="002A10A5"/>
    <w:rsid w:val="002A1188"/>
    <w:rsid w:val="002A168C"/>
    <w:rsid w:val="002A1BFC"/>
    <w:rsid w:val="002A1F4F"/>
    <w:rsid w:val="002A2934"/>
    <w:rsid w:val="002A2D34"/>
    <w:rsid w:val="002A2F7D"/>
    <w:rsid w:val="002A3DC7"/>
    <w:rsid w:val="002A4DF3"/>
    <w:rsid w:val="002A4E1C"/>
    <w:rsid w:val="002A511E"/>
    <w:rsid w:val="002A5A7E"/>
    <w:rsid w:val="002A5C36"/>
    <w:rsid w:val="002A725C"/>
    <w:rsid w:val="002B00A9"/>
    <w:rsid w:val="002B21A5"/>
    <w:rsid w:val="002B2A63"/>
    <w:rsid w:val="002B2AC6"/>
    <w:rsid w:val="002B33FC"/>
    <w:rsid w:val="002B3A7A"/>
    <w:rsid w:val="002B44BC"/>
    <w:rsid w:val="002B49E2"/>
    <w:rsid w:val="002B59B3"/>
    <w:rsid w:val="002B61DB"/>
    <w:rsid w:val="002B6614"/>
    <w:rsid w:val="002B77AA"/>
    <w:rsid w:val="002B7B00"/>
    <w:rsid w:val="002B7C44"/>
    <w:rsid w:val="002B7C75"/>
    <w:rsid w:val="002C0729"/>
    <w:rsid w:val="002C10CB"/>
    <w:rsid w:val="002C173B"/>
    <w:rsid w:val="002C2B17"/>
    <w:rsid w:val="002C2BC8"/>
    <w:rsid w:val="002C2DC2"/>
    <w:rsid w:val="002C37D3"/>
    <w:rsid w:val="002C3B84"/>
    <w:rsid w:val="002C5080"/>
    <w:rsid w:val="002C5304"/>
    <w:rsid w:val="002C543F"/>
    <w:rsid w:val="002C5E2E"/>
    <w:rsid w:val="002C604F"/>
    <w:rsid w:val="002C6802"/>
    <w:rsid w:val="002C70D1"/>
    <w:rsid w:val="002D12C7"/>
    <w:rsid w:val="002D1A91"/>
    <w:rsid w:val="002D27C1"/>
    <w:rsid w:val="002D2C82"/>
    <w:rsid w:val="002D2F6F"/>
    <w:rsid w:val="002D35C9"/>
    <w:rsid w:val="002D3DD0"/>
    <w:rsid w:val="002D4B47"/>
    <w:rsid w:val="002D4E80"/>
    <w:rsid w:val="002D580C"/>
    <w:rsid w:val="002D5ED4"/>
    <w:rsid w:val="002D61CE"/>
    <w:rsid w:val="002D74DA"/>
    <w:rsid w:val="002E02F1"/>
    <w:rsid w:val="002E0D26"/>
    <w:rsid w:val="002E0DE0"/>
    <w:rsid w:val="002E18ED"/>
    <w:rsid w:val="002E1ADF"/>
    <w:rsid w:val="002E1F3A"/>
    <w:rsid w:val="002E21A4"/>
    <w:rsid w:val="002E298A"/>
    <w:rsid w:val="002E3AA1"/>
    <w:rsid w:val="002E471F"/>
    <w:rsid w:val="002E4F2C"/>
    <w:rsid w:val="002E6917"/>
    <w:rsid w:val="002E6ECF"/>
    <w:rsid w:val="002E7B5F"/>
    <w:rsid w:val="002F02B1"/>
    <w:rsid w:val="002F0EBA"/>
    <w:rsid w:val="002F10F9"/>
    <w:rsid w:val="002F21C2"/>
    <w:rsid w:val="002F3A9C"/>
    <w:rsid w:val="002F3F6A"/>
    <w:rsid w:val="002F4323"/>
    <w:rsid w:val="002F52DF"/>
    <w:rsid w:val="002F56D6"/>
    <w:rsid w:val="002F5EE3"/>
    <w:rsid w:val="002F60FC"/>
    <w:rsid w:val="002F689E"/>
    <w:rsid w:val="002F6C62"/>
    <w:rsid w:val="002F6E0C"/>
    <w:rsid w:val="002F73EC"/>
    <w:rsid w:val="002F7F00"/>
    <w:rsid w:val="003003E5"/>
    <w:rsid w:val="003004AB"/>
    <w:rsid w:val="00301426"/>
    <w:rsid w:val="0030168F"/>
    <w:rsid w:val="00301978"/>
    <w:rsid w:val="00301F15"/>
    <w:rsid w:val="00302F8E"/>
    <w:rsid w:val="00303244"/>
    <w:rsid w:val="003032B0"/>
    <w:rsid w:val="0030332C"/>
    <w:rsid w:val="0030335E"/>
    <w:rsid w:val="0030368F"/>
    <w:rsid w:val="003051C2"/>
    <w:rsid w:val="003053B2"/>
    <w:rsid w:val="00305DEA"/>
    <w:rsid w:val="00306ED8"/>
    <w:rsid w:val="003079BC"/>
    <w:rsid w:val="003101AB"/>
    <w:rsid w:val="00310275"/>
    <w:rsid w:val="00311AC8"/>
    <w:rsid w:val="00311BBB"/>
    <w:rsid w:val="00311CF9"/>
    <w:rsid w:val="00311D91"/>
    <w:rsid w:val="00311E55"/>
    <w:rsid w:val="00312296"/>
    <w:rsid w:val="00312B56"/>
    <w:rsid w:val="00313CEF"/>
    <w:rsid w:val="003145AA"/>
    <w:rsid w:val="00314F0E"/>
    <w:rsid w:val="00316277"/>
    <w:rsid w:val="00316497"/>
    <w:rsid w:val="0031684B"/>
    <w:rsid w:val="00316A58"/>
    <w:rsid w:val="00316E90"/>
    <w:rsid w:val="00316F2F"/>
    <w:rsid w:val="00316FD3"/>
    <w:rsid w:val="0031769E"/>
    <w:rsid w:val="00320359"/>
    <w:rsid w:val="00320750"/>
    <w:rsid w:val="00320E35"/>
    <w:rsid w:val="00321394"/>
    <w:rsid w:val="00321D8E"/>
    <w:rsid w:val="00322170"/>
    <w:rsid w:val="003235CA"/>
    <w:rsid w:val="00323912"/>
    <w:rsid w:val="00323A7D"/>
    <w:rsid w:val="0032419A"/>
    <w:rsid w:val="00324EB6"/>
    <w:rsid w:val="00324EDF"/>
    <w:rsid w:val="00324F18"/>
    <w:rsid w:val="00325423"/>
    <w:rsid w:val="00325928"/>
    <w:rsid w:val="00325B9C"/>
    <w:rsid w:val="00325BC1"/>
    <w:rsid w:val="003274CD"/>
    <w:rsid w:val="003279D5"/>
    <w:rsid w:val="0033038C"/>
    <w:rsid w:val="003316A0"/>
    <w:rsid w:val="00331D16"/>
    <w:rsid w:val="00332863"/>
    <w:rsid w:val="0033307E"/>
    <w:rsid w:val="003333DE"/>
    <w:rsid w:val="0033387B"/>
    <w:rsid w:val="00335109"/>
    <w:rsid w:val="00335149"/>
    <w:rsid w:val="0033684D"/>
    <w:rsid w:val="003371BB"/>
    <w:rsid w:val="003373A7"/>
    <w:rsid w:val="00337B42"/>
    <w:rsid w:val="003405EB"/>
    <w:rsid w:val="00340C58"/>
    <w:rsid w:val="00340F0A"/>
    <w:rsid w:val="00341B42"/>
    <w:rsid w:val="003420A0"/>
    <w:rsid w:val="00342F8D"/>
    <w:rsid w:val="00343250"/>
    <w:rsid w:val="0034348F"/>
    <w:rsid w:val="00344DBE"/>
    <w:rsid w:val="0034518C"/>
    <w:rsid w:val="00345618"/>
    <w:rsid w:val="00345C1C"/>
    <w:rsid w:val="00346131"/>
    <w:rsid w:val="00350A55"/>
    <w:rsid w:val="00350CA4"/>
    <w:rsid w:val="0035200E"/>
    <w:rsid w:val="00353E19"/>
    <w:rsid w:val="00354D13"/>
    <w:rsid w:val="00354F52"/>
    <w:rsid w:val="00355129"/>
    <w:rsid w:val="003553D1"/>
    <w:rsid w:val="00356653"/>
    <w:rsid w:val="0035743F"/>
    <w:rsid w:val="00357B51"/>
    <w:rsid w:val="00357BE2"/>
    <w:rsid w:val="00360A50"/>
    <w:rsid w:val="00360FA2"/>
    <w:rsid w:val="003614B6"/>
    <w:rsid w:val="0036170C"/>
    <w:rsid w:val="00362261"/>
    <w:rsid w:val="0036260F"/>
    <w:rsid w:val="00363181"/>
    <w:rsid w:val="00363C2C"/>
    <w:rsid w:val="00364165"/>
    <w:rsid w:val="00364A2A"/>
    <w:rsid w:val="00364DA9"/>
    <w:rsid w:val="003658EB"/>
    <w:rsid w:val="00366E0F"/>
    <w:rsid w:val="003671CC"/>
    <w:rsid w:val="00367730"/>
    <w:rsid w:val="00367ED2"/>
    <w:rsid w:val="00370060"/>
    <w:rsid w:val="003703E9"/>
    <w:rsid w:val="00371402"/>
    <w:rsid w:val="003718FD"/>
    <w:rsid w:val="00371E2D"/>
    <w:rsid w:val="00374465"/>
    <w:rsid w:val="0037563F"/>
    <w:rsid w:val="003759E6"/>
    <w:rsid w:val="00375CAA"/>
    <w:rsid w:val="00381A72"/>
    <w:rsid w:val="00381BC0"/>
    <w:rsid w:val="00381C6F"/>
    <w:rsid w:val="00381CD0"/>
    <w:rsid w:val="00381F6E"/>
    <w:rsid w:val="00382398"/>
    <w:rsid w:val="00382B88"/>
    <w:rsid w:val="003833C6"/>
    <w:rsid w:val="00383689"/>
    <w:rsid w:val="00383B9A"/>
    <w:rsid w:val="00384676"/>
    <w:rsid w:val="00385CC6"/>
    <w:rsid w:val="00385E23"/>
    <w:rsid w:val="003865E7"/>
    <w:rsid w:val="00386C76"/>
    <w:rsid w:val="00387794"/>
    <w:rsid w:val="00390857"/>
    <w:rsid w:val="00390AFB"/>
    <w:rsid w:val="003910D8"/>
    <w:rsid w:val="0039146B"/>
    <w:rsid w:val="003914F0"/>
    <w:rsid w:val="00392D2A"/>
    <w:rsid w:val="00392D70"/>
    <w:rsid w:val="00393B4D"/>
    <w:rsid w:val="003940C8"/>
    <w:rsid w:val="003958D5"/>
    <w:rsid w:val="003959F3"/>
    <w:rsid w:val="0039642D"/>
    <w:rsid w:val="0039725C"/>
    <w:rsid w:val="00397298"/>
    <w:rsid w:val="00397758"/>
    <w:rsid w:val="0039790B"/>
    <w:rsid w:val="00397E2E"/>
    <w:rsid w:val="003A06EC"/>
    <w:rsid w:val="003A1D17"/>
    <w:rsid w:val="003A28AF"/>
    <w:rsid w:val="003A2F86"/>
    <w:rsid w:val="003A3AB8"/>
    <w:rsid w:val="003A4BF3"/>
    <w:rsid w:val="003A55BC"/>
    <w:rsid w:val="003A566C"/>
    <w:rsid w:val="003A696D"/>
    <w:rsid w:val="003A6A8E"/>
    <w:rsid w:val="003A6E1C"/>
    <w:rsid w:val="003A6E74"/>
    <w:rsid w:val="003A75B5"/>
    <w:rsid w:val="003B0C14"/>
    <w:rsid w:val="003B2300"/>
    <w:rsid w:val="003B29C3"/>
    <w:rsid w:val="003B2DF2"/>
    <w:rsid w:val="003B3B4C"/>
    <w:rsid w:val="003B420D"/>
    <w:rsid w:val="003B45A6"/>
    <w:rsid w:val="003B59DF"/>
    <w:rsid w:val="003B6553"/>
    <w:rsid w:val="003B66AE"/>
    <w:rsid w:val="003B6C31"/>
    <w:rsid w:val="003B6FC3"/>
    <w:rsid w:val="003C14EE"/>
    <w:rsid w:val="003C2ADB"/>
    <w:rsid w:val="003C38DE"/>
    <w:rsid w:val="003C393F"/>
    <w:rsid w:val="003C3F97"/>
    <w:rsid w:val="003C442B"/>
    <w:rsid w:val="003C443A"/>
    <w:rsid w:val="003C4475"/>
    <w:rsid w:val="003C5C3D"/>
    <w:rsid w:val="003C64A8"/>
    <w:rsid w:val="003C67DB"/>
    <w:rsid w:val="003C6C16"/>
    <w:rsid w:val="003C6D31"/>
    <w:rsid w:val="003C7074"/>
    <w:rsid w:val="003C7686"/>
    <w:rsid w:val="003D000A"/>
    <w:rsid w:val="003D0624"/>
    <w:rsid w:val="003D2591"/>
    <w:rsid w:val="003D2B41"/>
    <w:rsid w:val="003D3C8E"/>
    <w:rsid w:val="003D42F9"/>
    <w:rsid w:val="003D4BB6"/>
    <w:rsid w:val="003D5BD1"/>
    <w:rsid w:val="003D5D9C"/>
    <w:rsid w:val="003D774D"/>
    <w:rsid w:val="003D794D"/>
    <w:rsid w:val="003D799E"/>
    <w:rsid w:val="003E06E6"/>
    <w:rsid w:val="003E0FF2"/>
    <w:rsid w:val="003E1884"/>
    <w:rsid w:val="003E1D73"/>
    <w:rsid w:val="003E1D94"/>
    <w:rsid w:val="003E22FF"/>
    <w:rsid w:val="003E26BB"/>
    <w:rsid w:val="003E3058"/>
    <w:rsid w:val="003E35B3"/>
    <w:rsid w:val="003E3797"/>
    <w:rsid w:val="003E3CCD"/>
    <w:rsid w:val="003E404B"/>
    <w:rsid w:val="003E51A7"/>
    <w:rsid w:val="003E6887"/>
    <w:rsid w:val="003E6ADC"/>
    <w:rsid w:val="003E7110"/>
    <w:rsid w:val="003E76A9"/>
    <w:rsid w:val="003F0747"/>
    <w:rsid w:val="003F0809"/>
    <w:rsid w:val="003F135A"/>
    <w:rsid w:val="003F1619"/>
    <w:rsid w:val="003F1AE5"/>
    <w:rsid w:val="003F1BE2"/>
    <w:rsid w:val="003F200D"/>
    <w:rsid w:val="003F22EC"/>
    <w:rsid w:val="003F4196"/>
    <w:rsid w:val="003F4A75"/>
    <w:rsid w:val="003F4E52"/>
    <w:rsid w:val="003F52F0"/>
    <w:rsid w:val="003F6A8C"/>
    <w:rsid w:val="003F7167"/>
    <w:rsid w:val="003F71F7"/>
    <w:rsid w:val="003F755C"/>
    <w:rsid w:val="003F7834"/>
    <w:rsid w:val="003F7EB9"/>
    <w:rsid w:val="00400525"/>
    <w:rsid w:val="00400C24"/>
    <w:rsid w:val="004021DB"/>
    <w:rsid w:val="00402D37"/>
    <w:rsid w:val="004031FE"/>
    <w:rsid w:val="00403FB4"/>
    <w:rsid w:val="00404855"/>
    <w:rsid w:val="00405105"/>
    <w:rsid w:val="00405C1E"/>
    <w:rsid w:val="004062F4"/>
    <w:rsid w:val="00406F01"/>
    <w:rsid w:val="00407048"/>
    <w:rsid w:val="004077D7"/>
    <w:rsid w:val="00407F78"/>
    <w:rsid w:val="00410CA6"/>
    <w:rsid w:val="00411480"/>
    <w:rsid w:val="0041164C"/>
    <w:rsid w:val="004119E3"/>
    <w:rsid w:val="0041232C"/>
    <w:rsid w:val="004123A6"/>
    <w:rsid w:val="00412AAF"/>
    <w:rsid w:val="00412AD5"/>
    <w:rsid w:val="00413997"/>
    <w:rsid w:val="00413B94"/>
    <w:rsid w:val="00413D26"/>
    <w:rsid w:val="00415094"/>
    <w:rsid w:val="00415EC1"/>
    <w:rsid w:val="00416527"/>
    <w:rsid w:val="00416B3E"/>
    <w:rsid w:val="00416D50"/>
    <w:rsid w:val="00416FD5"/>
    <w:rsid w:val="00417146"/>
    <w:rsid w:val="00417772"/>
    <w:rsid w:val="00417933"/>
    <w:rsid w:val="00417A9B"/>
    <w:rsid w:val="00417DE2"/>
    <w:rsid w:val="0042081A"/>
    <w:rsid w:val="00420E6A"/>
    <w:rsid w:val="00420F8F"/>
    <w:rsid w:val="0042339F"/>
    <w:rsid w:val="004238A3"/>
    <w:rsid w:val="00425A9E"/>
    <w:rsid w:val="00426A9C"/>
    <w:rsid w:val="00426D6B"/>
    <w:rsid w:val="00427CDF"/>
    <w:rsid w:val="004305D9"/>
    <w:rsid w:val="00430E9E"/>
    <w:rsid w:val="00431230"/>
    <w:rsid w:val="00431B06"/>
    <w:rsid w:val="00431C14"/>
    <w:rsid w:val="00431E6C"/>
    <w:rsid w:val="00433630"/>
    <w:rsid w:val="00433A27"/>
    <w:rsid w:val="00433A44"/>
    <w:rsid w:val="00433B9B"/>
    <w:rsid w:val="00433CE7"/>
    <w:rsid w:val="00434AB1"/>
    <w:rsid w:val="00434F3D"/>
    <w:rsid w:val="00434F4A"/>
    <w:rsid w:val="0043585F"/>
    <w:rsid w:val="00435A11"/>
    <w:rsid w:val="00435CDD"/>
    <w:rsid w:val="004363E4"/>
    <w:rsid w:val="00436C5E"/>
    <w:rsid w:val="00436D7B"/>
    <w:rsid w:val="00437900"/>
    <w:rsid w:val="00437B9F"/>
    <w:rsid w:val="004405BF"/>
    <w:rsid w:val="004406A5"/>
    <w:rsid w:val="004413BA"/>
    <w:rsid w:val="00442532"/>
    <w:rsid w:val="00442D83"/>
    <w:rsid w:val="00442F73"/>
    <w:rsid w:val="004435E3"/>
    <w:rsid w:val="00446936"/>
    <w:rsid w:val="00446973"/>
    <w:rsid w:val="00446A55"/>
    <w:rsid w:val="00447783"/>
    <w:rsid w:val="004479EE"/>
    <w:rsid w:val="00450DC1"/>
    <w:rsid w:val="00450FBE"/>
    <w:rsid w:val="0045184B"/>
    <w:rsid w:val="00451B92"/>
    <w:rsid w:val="00452667"/>
    <w:rsid w:val="00452738"/>
    <w:rsid w:val="0045324C"/>
    <w:rsid w:val="00455224"/>
    <w:rsid w:val="00456091"/>
    <w:rsid w:val="00460BFD"/>
    <w:rsid w:val="004642BB"/>
    <w:rsid w:val="0046439A"/>
    <w:rsid w:val="0046554D"/>
    <w:rsid w:val="00465FCB"/>
    <w:rsid w:val="00466321"/>
    <w:rsid w:val="0046755B"/>
    <w:rsid w:val="00467CC0"/>
    <w:rsid w:val="00470801"/>
    <w:rsid w:val="00471BE9"/>
    <w:rsid w:val="00472534"/>
    <w:rsid w:val="0047307E"/>
    <w:rsid w:val="0047334D"/>
    <w:rsid w:val="00473665"/>
    <w:rsid w:val="004737FB"/>
    <w:rsid w:val="0047408B"/>
    <w:rsid w:val="00474B48"/>
    <w:rsid w:val="004753A9"/>
    <w:rsid w:val="00475661"/>
    <w:rsid w:val="00475946"/>
    <w:rsid w:val="00476261"/>
    <w:rsid w:val="004765B3"/>
    <w:rsid w:val="00476829"/>
    <w:rsid w:val="00476BB1"/>
    <w:rsid w:val="00476CB0"/>
    <w:rsid w:val="00477688"/>
    <w:rsid w:val="0048029F"/>
    <w:rsid w:val="004802E3"/>
    <w:rsid w:val="00480507"/>
    <w:rsid w:val="004807AD"/>
    <w:rsid w:val="0048097B"/>
    <w:rsid w:val="00480BF1"/>
    <w:rsid w:val="00480E0F"/>
    <w:rsid w:val="00481F3A"/>
    <w:rsid w:val="00482F3F"/>
    <w:rsid w:val="004832EF"/>
    <w:rsid w:val="00484B9B"/>
    <w:rsid w:val="004855F6"/>
    <w:rsid w:val="0048661E"/>
    <w:rsid w:val="00486DB0"/>
    <w:rsid w:val="00486F43"/>
    <w:rsid w:val="00487B9C"/>
    <w:rsid w:val="004905D8"/>
    <w:rsid w:val="00490B97"/>
    <w:rsid w:val="0049143E"/>
    <w:rsid w:val="00491499"/>
    <w:rsid w:val="00491F61"/>
    <w:rsid w:val="00492192"/>
    <w:rsid w:val="004932DF"/>
    <w:rsid w:val="004933F4"/>
    <w:rsid w:val="00493897"/>
    <w:rsid w:val="00494563"/>
    <w:rsid w:val="00494670"/>
    <w:rsid w:val="00494702"/>
    <w:rsid w:val="00495F74"/>
    <w:rsid w:val="00496784"/>
    <w:rsid w:val="00496BB4"/>
    <w:rsid w:val="004A03D4"/>
    <w:rsid w:val="004A1238"/>
    <w:rsid w:val="004A1D16"/>
    <w:rsid w:val="004A2183"/>
    <w:rsid w:val="004A2A74"/>
    <w:rsid w:val="004A3106"/>
    <w:rsid w:val="004A3766"/>
    <w:rsid w:val="004A3823"/>
    <w:rsid w:val="004A3AF6"/>
    <w:rsid w:val="004A49FD"/>
    <w:rsid w:val="004A6EE8"/>
    <w:rsid w:val="004B0F9B"/>
    <w:rsid w:val="004B2C0F"/>
    <w:rsid w:val="004B3187"/>
    <w:rsid w:val="004B32A1"/>
    <w:rsid w:val="004B3530"/>
    <w:rsid w:val="004B40AE"/>
    <w:rsid w:val="004B40C1"/>
    <w:rsid w:val="004B4523"/>
    <w:rsid w:val="004B63AA"/>
    <w:rsid w:val="004B64E7"/>
    <w:rsid w:val="004B65A1"/>
    <w:rsid w:val="004B6803"/>
    <w:rsid w:val="004B6838"/>
    <w:rsid w:val="004B7C92"/>
    <w:rsid w:val="004C00D6"/>
    <w:rsid w:val="004C0360"/>
    <w:rsid w:val="004C04B5"/>
    <w:rsid w:val="004C0864"/>
    <w:rsid w:val="004C1286"/>
    <w:rsid w:val="004C16F9"/>
    <w:rsid w:val="004C16FF"/>
    <w:rsid w:val="004C2FAA"/>
    <w:rsid w:val="004C3BB1"/>
    <w:rsid w:val="004C5153"/>
    <w:rsid w:val="004C6097"/>
    <w:rsid w:val="004C60AE"/>
    <w:rsid w:val="004C7722"/>
    <w:rsid w:val="004C7EAA"/>
    <w:rsid w:val="004D17EA"/>
    <w:rsid w:val="004D23C1"/>
    <w:rsid w:val="004D2F33"/>
    <w:rsid w:val="004D3677"/>
    <w:rsid w:val="004D3880"/>
    <w:rsid w:val="004D62EF"/>
    <w:rsid w:val="004D759B"/>
    <w:rsid w:val="004D79BD"/>
    <w:rsid w:val="004D7A4C"/>
    <w:rsid w:val="004D7DBD"/>
    <w:rsid w:val="004E032B"/>
    <w:rsid w:val="004E1349"/>
    <w:rsid w:val="004E1515"/>
    <w:rsid w:val="004E1561"/>
    <w:rsid w:val="004E1A54"/>
    <w:rsid w:val="004E232B"/>
    <w:rsid w:val="004E24E1"/>
    <w:rsid w:val="004E2C0B"/>
    <w:rsid w:val="004E2C8E"/>
    <w:rsid w:val="004E2C92"/>
    <w:rsid w:val="004E2DB7"/>
    <w:rsid w:val="004E42E3"/>
    <w:rsid w:val="004E4399"/>
    <w:rsid w:val="004E4439"/>
    <w:rsid w:val="004E471A"/>
    <w:rsid w:val="004E4795"/>
    <w:rsid w:val="004E4C91"/>
    <w:rsid w:val="004E4CD3"/>
    <w:rsid w:val="004E57CC"/>
    <w:rsid w:val="004E5C0A"/>
    <w:rsid w:val="004E6279"/>
    <w:rsid w:val="004E630B"/>
    <w:rsid w:val="004E6946"/>
    <w:rsid w:val="004E6DDA"/>
    <w:rsid w:val="004E7FF2"/>
    <w:rsid w:val="004F0CBD"/>
    <w:rsid w:val="004F102A"/>
    <w:rsid w:val="004F11A3"/>
    <w:rsid w:val="004F13D2"/>
    <w:rsid w:val="004F1AD8"/>
    <w:rsid w:val="004F1E99"/>
    <w:rsid w:val="004F1F3D"/>
    <w:rsid w:val="004F3450"/>
    <w:rsid w:val="004F3EAA"/>
    <w:rsid w:val="004F4996"/>
    <w:rsid w:val="004F4CA0"/>
    <w:rsid w:val="004F5292"/>
    <w:rsid w:val="004F5EBC"/>
    <w:rsid w:val="004F609E"/>
    <w:rsid w:val="004F6210"/>
    <w:rsid w:val="004F75EB"/>
    <w:rsid w:val="004F7BFD"/>
    <w:rsid w:val="00500047"/>
    <w:rsid w:val="00500251"/>
    <w:rsid w:val="00500598"/>
    <w:rsid w:val="00500753"/>
    <w:rsid w:val="00500E66"/>
    <w:rsid w:val="00500E78"/>
    <w:rsid w:val="0050149A"/>
    <w:rsid w:val="00502956"/>
    <w:rsid w:val="0050297F"/>
    <w:rsid w:val="00503260"/>
    <w:rsid w:val="005039CB"/>
    <w:rsid w:val="00503E7E"/>
    <w:rsid w:val="0050450E"/>
    <w:rsid w:val="00504BB4"/>
    <w:rsid w:val="00504DCF"/>
    <w:rsid w:val="0050506C"/>
    <w:rsid w:val="0050558F"/>
    <w:rsid w:val="00505FCE"/>
    <w:rsid w:val="00506286"/>
    <w:rsid w:val="00506AC2"/>
    <w:rsid w:val="0050776B"/>
    <w:rsid w:val="0050780C"/>
    <w:rsid w:val="00510813"/>
    <w:rsid w:val="00510B66"/>
    <w:rsid w:val="00511597"/>
    <w:rsid w:val="005115D4"/>
    <w:rsid w:val="005116E3"/>
    <w:rsid w:val="00511990"/>
    <w:rsid w:val="00511DE0"/>
    <w:rsid w:val="00512E67"/>
    <w:rsid w:val="00513AAE"/>
    <w:rsid w:val="00513BA0"/>
    <w:rsid w:val="005140FB"/>
    <w:rsid w:val="005141C3"/>
    <w:rsid w:val="00514870"/>
    <w:rsid w:val="00514B9B"/>
    <w:rsid w:val="00515454"/>
    <w:rsid w:val="00515786"/>
    <w:rsid w:val="00515BCF"/>
    <w:rsid w:val="0051695D"/>
    <w:rsid w:val="00517F02"/>
    <w:rsid w:val="00520581"/>
    <w:rsid w:val="005205C4"/>
    <w:rsid w:val="0052188B"/>
    <w:rsid w:val="00522F0A"/>
    <w:rsid w:val="0052372A"/>
    <w:rsid w:val="005241A5"/>
    <w:rsid w:val="00524303"/>
    <w:rsid w:val="00524C7C"/>
    <w:rsid w:val="005258A2"/>
    <w:rsid w:val="005264A6"/>
    <w:rsid w:val="0052693B"/>
    <w:rsid w:val="00526A04"/>
    <w:rsid w:val="00526CD4"/>
    <w:rsid w:val="00527813"/>
    <w:rsid w:val="00527A1B"/>
    <w:rsid w:val="00527F01"/>
    <w:rsid w:val="0053025C"/>
    <w:rsid w:val="0053028F"/>
    <w:rsid w:val="0053123D"/>
    <w:rsid w:val="005317A7"/>
    <w:rsid w:val="0053226F"/>
    <w:rsid w:val="0053248F"/>
    <w:rsid w:val="005329A5"/>
    <w:rsid w:val="00533246"/>
    <w:rsid w:val="00534342"/>
    <w:rsid w:val="00534800"/>
    <w:rsid w:val="00535D2F"/>
    <w:rsid w:val="00536770"/>
    <w:rsid w:val="0054006E"/>
    <w:rsid w:val="00540164"/>
    <w:rsid w:val="005401AE"/>
    <w:rsid w:val="00542619"/>
    <w:rsid w:val="00542E07"/>
    <w:rsid w:val="00543019"/>
    <w:rsid w:val="00543A4D"/>
    <w:rsid w:val="00543F9F"/>
    <w:rsid w:val="00544591"/>
    <w:rsid w:val="0054462F"/>
    <w:rsid w:val="00544F7B"/>
    <w:rsid w:val="00545424"/>
    <w:rsid w:val="00545655"/>
    <w:rsid w:val="005458F8"/>
    <w:rsid w:val="00546F40"/>
    <w:rsid w:val="005506AE"/>
    <w:rsid w:val="00550EAB"/>
    <w:rsid w:val="005510D4"/>
    <w:rsid w:val="00551B6F"/>
    <w:rsid w:val="00552962"/>
    <w:rsid w:val="00552DDD"/>
    <w:rsid w:val="00552DE3"/>
    <w:rsid w:val="005541BC"/>
    <w:rsid w:val="00554A7B"/>
    <w:rsid w:val="00555324"/>
    <w:rsid w:val="00555463"/>
    <w:rsid w:val="005555B6"/>
    <w:rsid w:val="0055572C"/>
    <w:rsid w:val="00555A44"/>
    <w:rsid w:val="00557AC1"/>
    <w:rsid w:val="00560749"/>
    <w:rsid w:val="0056106A"/>
    <w:rsid w:val="00561652"/>
    <w:rsid w:val="0056238D"/>
    <w:rsid w:val="00562D95"/>
    <w:rsid w:val="005635A4"/>
    <w:rsid w:val="00563658"/>
    <w:rsid w:val="0056366D"/>
    <w:rsid w:val="00563E80"/>
    <w:rsid w:val="00564A3A"/>
    <w:rsid w:val="00565707"/>
    <w:rsid w:val="00565774"/>
    <w:rsid w:val="00565CB0"/>
    <w:rsid w:val="00565DC4"/>
    <w:rsid w:val="005661F0"/>
    <w:rsid w:val="00567162"/>
    <w:rsid w:val="00567BFB"/>
    <w:rsid w:val="005708D8"/>
    <w:rsid w:val="00571393"/>
    <w:rsid w:val="0057198E"/>
    <w:rsid w:val="005720AE"/>
    <w:rsid w:val="005725CC"/>
    <w:rsid w:val="005727DC"/>
    <w:rsid w:val="00572D0C"/>
    <w:rsid w:val="00572DAE"/>
    <w:rsid w:val="00573626"/>
    <w:rsid w:val="00573E2C"/>
    <w:rsid w:val="00574530"/>
    <w:rsid w:val="005745F9"/>
    <w:rsid w:val="00574BBD"/>
    <w:rsid w:val="00575017"/>
    <w:rsid w:val="00577246"/>
    <w:rsid w:val="00582EF5"/>
    <w:rsid w:val="00583C82"/>
    <w:rsid w:val="00585656"/>
    <w:rsid w:val="0058582A"/>
    <w:rsid w:val="00586AB6"/>
    <w:rsid w:val="00587464"/>
    <w:rsid w:val="00587607"/>
    <w:rsid w:val="005901AB"/>
    <w:rsid w:val="005906A5"/>
    <w:rsid w:val="00591106"/>
    <w:rsid w:val="00591360"/>
    <w:rsid w:val="005913B5"/>
    <w:rsid w:val="005916A5"/>
    <w:rsid w:val="005920F3"/>
    <w:rsid w:val="005936ED"/>
    <w:rsid w:val="005937A2"/>
    <w:rsid w:val="005947DD"/>
    <w:rsid w:val="00594D77"/>
    <w:rsid w:val="005956C1"/>
    <w:rsid w:val="005960D5"/>
    <w:rsid w:val="00596403"/>
    <w:rsid w:val="00596946"/>
    <w:rsid w:val="005969E4"/>
    <w:rsid w:val="00596CD8"/>
    <w:rsid w:val="00596F24"/>
    <w:rsid w:val="00597027"/>
    <w:rsid w:val="005A013E"/>
    <w:rsid w:val="005A029F"/>
    <w:rsid w:val="005A06B7"/>
    <w:rsid w:val="005A0744"/>
    <w:rsid w:val="005A07BC"/>
    <w:rsid w:val="005A0B1B"/>
    <w:rsid w:val="005A1759"/>
    <w:rsid w:val="005A19C1"/>
    <w:rsid w:val="005A2622"/>
    <w:rsid w:val="005A2BA6"/>
    <w:rsid w:val="005A2E57"/>
    <w:rsid w:val="005A354D"/>
    <w:rsid w:val="005A3A7B"/>
    <w:rsid w:val="005A3E5F"/>
    <w:rsid w:val="005A42BA"/>
    <w:rsid w:val="005A4FED"/>
    <w:rsid w:val="005A6225"/>
    <w:rsid w:val="005A6263"/>
    <w:rsid w:val="005A6794"/>
    <w:rsid w:val="005A68A7"/>
    <w:rsid w:val="005A69EF"/>
    <w:rsid w:val="005A6D68"/>
    <w:rsid w:val="005A6D99"/>
    <w:rsid w:val="005A705D"/>
    <w:rsid w:val="005A7660"/>
    <w:rsid w:val="005A78B6"/>
    <w:rsid w:val="005B00E1"/>
    <w:rsid w:val="005B2789"/>
    <w:rsid w:val="005B334C"/>
    <w:rsid w:val="005B37D0"/>
    <w:rsid w:val="005B3F94"/>
    <w:rsid w:val="005B764A"/>
    <w:rsid w:val="005B7C31"/>
    <w:rsid w:val="005B7DAC"/>
    <w:rsid w:val="005C07A0"/>
    <w:rsid w:val="005C085D"/>
    <w:rsid w:val="005C208A"/>
    <w:rsid w:val="005C358C"/>
    <w:rsid w:val="005C366D"/>
    <w:rsid w:val="005C4966"/>
    <w:rsid w:val="005C6100"/>
    <w:rsid w:val="005C6CDE"/>
    <w:rsid w:val="005C6F41"/>
    <w:rsid w:val="005C72F2"/>
    <w:rsid w:val="005C7483"/>
    <w:rsid w:val="005C7C02"/>
    <w:rsid w:val="005D07E9"/>
    <w:rsid w:val="005D0890"/>
    <w:rsid w:val="005D0E71"/>
    <w:rsid w:val="005D1274"/>
    <w:rsid w:val="005D132F"/>
    <w:rsid w:val="005D2515"/>
    <w:rsid w:val="005D2F84"/>
    <w:rsid w:val="005D36AB"/>
    <w:rsid w:val="005D3A97"/>
    <w:rsid w:val="005D44D0"/>
    <w:rsid w:val="005D5EF0"/>
    <w:rsid w:val="005D6085"/>
    <w:rsid w:val="005D6C5F"/>
    <w:rsid w:val="005D7658"/>
    <w:rsid w:val="005D779D"/>
    <w:rsid w:val="005D7EBC"/>
    <w:rsid w:val="005E10AD"/>
    <w:rsid w:val="005E1146"/>
    <w:rsid w:val="005E12BC"/>
    <w:rsid w:val="005E2FEC"/>
    <w:rsid w:val="005E38AF"/>
    <w:rsid w:val="005E4CD6"/>
    <w:rsid w:val="005E630C"/>
    <w:rsid w:val="005E6DC9"/>
    <w:rsid w:val="005E6FC8"/>
    <w:rsid w:val="005F0B4D"/>
    <w:rsid w:val="005F16BF"/>
    <w:rsid w:val="005F2437"/>
    <w:rsid w:val="005F4232"/>
    <w:rsid w:val="005F42FD"/>
    <w:rsid w:val="005F4DB5"/>
    <w:rsid w:val="005F5C7E"/>
    <w:rsid w:val="005F608F"/>
    <w:rsid w:val="005F7312"/>
    <w:rsid w:val="00600647"/>
    <w:rsid w:val="00600D51"/>
    <w:rsid w:val="0060324C"/>
    <w:rsid w:val="00603715"/>
    <w:rsid w:val="00603B1D"/>
    <w:rsid w:val="006058B3"/>
    <w:rsid w:val="00606542"/>
    <w:rsid w:val="00607C98"/>
    <w:rsid w:val="006113C9"/>
    <w:rsid w:val="00611431"/>
    <w:rsid w:val="00611CB3"/>
    <w:rsid w:val="006126E0"/>
    <w:rsid w:val="00613B40"/>
    <w:rsid w:val="00613E7F"/>
    <w:rsid w:val="00615E7F"/>
    <w:rsid w:val="00616016"/>
    <w:rsid w:val="0061651B"/>
    <w:rsid w:val="00617202"/>
    <w:rsid w:val="006177FE"/>
    <w:rsid w:val="00617940"/>
    <w:rsid w:val="0061797E"/>
    <w:rsid w:val="00617CC3"/>
    <w:rsid w:val="00620AEE"/>
    <w:rsid w:val="00621DA8"/>
    <w:rsid w:val="00621E45"/>
    <w:rsid w:val="00621F9B"/>
    <w:rsid w:val="0062253C"/>
    <w:rsid w:val="00623199"/>
    <w:rsid w:val="0062332F"/>
    <w:rsid w:val="00623FB9"/>
    <w:rsid w:val="006253D7"/>
    <w:rsid w:val="0062581E"/>
    <w:rsid w:val="00625E23"/>
    <w:rsid w:val="00626632"/>
    <w:rsid w:val="00626E87"/>
    <w:rsid w:val="006271AF"/>
    <w:rsid w:val="00627A04"/>
    <w:rsid w:val="00630995"/>
    <w:rsid w:val="00630CEF"/>
    <w:rsid w:val="00630E23"/>
    <w:rsid w:val="00631C4E"/>
    <w:rsid w:val="00633EBC"/>
    <w:rsid w:val="00633F60"/>
    <w:rsid w:val="006343AC"/>
    <w:rsid w:val="00635504"/>
    <w:rsid w:val="0063577A"/>
    <w:rsid w:val="006361C2"/>
    <w:rsid w:val="00636DC2"/>
    <w:rsid w:val="00637016"/>
    <w:rsid w:val="006370BB"/>
    <w:rsid w:val="006376A9"/>
    <w:rsid w:val="006377A6"/>
    <w:rsid w:val="00637A3D"/>
    <w:rsid w:val="006409DD"/>
    <w:rsid w:val="00640A1E"/>
    <w:rsid w:val="00640BE6"/>
    <w:rsid w:val="006411EF"/>
    <w:rsid w:val="00642D4E"/>
    <w:rsid w:val="00642D9D"/>
    <w:rsid w:val="0064351B"/>
    <w:rsid w:val="00646165"/>
    <w:rsid w:val="00647061"/>
    <w:rsid w:val="006479CF"/>
    <w:rsid w:val="00647F0F"/>
    <w:rsid w:val="00650AFC"/>
    <w:rsid w:val="00652E16"/>
    <w:rsid w:val="00653255"/>
    <w:rsid w:val="00653323"/>
    <w:rsid w:val="0065399D"/>
    <w:rsid w:val="006539D9"/>
    <w:rsid w:val="00654056"/>
    <w:rsid w:val="0065494B"/>
    <w:rsid w:val="006555A9"/>
    <w:rsid w:val="00655EC0"/>
    <w:rsid w:val="006561F2"/>
    <w:rsid w:val="00660111"/>
    <w:rsid w:val="00661648"/>
    <w:rsid w:val="0066167C"/>
    <w:rsid w:val="006616D0"/>
    <w:rsid w:val="006623E1"/>
    <w:rsid w:val="00664157"/>
    <w:rsid w:val="006645C5"/>
    <w:rsid w:val="00664C8C"/>
    <w:rsid w:val="00664EE0"/>
    <w:rsid w:val="00664F49"/>
    <w:rsid w:val="00665ABD"/>
    <w:rsid w:val="00666B74"/>
    <w:rsid w:val="00667463"/>
    <w:rsid w:val="006679D3"/>
    <w:rsid w:val="0067142C"/>
    <w:rsid w:val="0067246D"/>
    <w:rsid w:val="0067269A"/>
    <w:rsid w:val="006727EC"/>
    <w:rsid w:val="00672CEA"/>
    <w:rsid w:val="006733BD"/>
    <w:rsid w:val="006747F4"/>
    <w:rsid w:val="006748B8"/>
    <w:rsid w:val="00676FE6"/>
    <w:rsid w:val="006775C3"/>
    <w:rsid w:val="006805FA"/>
    <w:rsid w:val="006805FB"/>
    <w:rsid w:val="0068209D"/>
    <w:rsid w:val="0068234E"/>
    <w:rsid w:val="0068275F"/>
    <w:rsid w:val="00682B69"/>
    <w:rsid w:val="006835DE"/>
    <w:rsid w:val="006839D9"/>
    <w:rsid w:val="00683C36"/>
    <w:rsid w:val="00683D93"/>
    <w:rsid w:val="006846F1"/>
    <w:rsid w:val="00684E5C"/>
    <w:rsid w:val="00685934"/>
    <w:rsid w:val="006876FC"/>
    <w:rsid w:val="0069062C"/>
    <w:rsid w:val="00690862"/>
    <w:rsid w:val="006909F3"/>
    <w:rsid w:val="00690C66"/>
    <w:rsid w:val="00691286"/>
    <w:rsid w:val="006917E0"/>
    <w:rsid w:val="0069290A"/>
    <w:rsid w:val="00694ABF"/>
    <w:rsid w:val="00694F3C"/>
    <w:rsid w:val="006965DA"/>
    <w:rsid w:val="00696CB8"/>
    <w:rsid w:val="0069719C"/>
    <w:rsid w:val="0069775A"/>
    <w:rsid w:val="00697813"/>
    <w:rsid w:val="006A0977"/>
    <w:rsid w:val="006A0B26"/>
    <w:rsid w:val="006A0DC7"/>
    <w:rsid w:val="006A0E28"/>
    <w:rsid w:val="006A108E"/>
    <w:rsid w:val="006A1E52"/>
    <w:rsid w:val="006A3634"/>
    <w:rsid w:val="006A39FE"/>
    <w:rsid w:val="006A3DB6"/>
    <w:rsid w:val="006A3EE8"/>
    <w:rsid w:val="006A40A7"/>
    <w:rsid w:val="006A4296"/>
    <w:rsid w:val="006A4446"/>
    <w:rsid w:val="006A44D5"/>
    <w:rsid w:val="006A4516"/>
    <w:rsid w:val="006A5440"/>
    <w:rsid w:val="006A5471"/>
    <w:rsid w:val="006A6255"/>
    <w:rsid w:val="006A72BF"/>
    <w:rsid w:val="006B03F2"/>
    <w:rsid w:val="006B0714"/>
    <w:rsid w:val="006B1A7D"/>
    <w:rsid w:val="006B1A98"/>
    <w:rsid w:val="006B22B6"/>
    <w:rsid w:val="006B2D16"/>
    <w:rsid w:val="006B3406"/>
    <w:rsid w:val="006B37DC"/>
    <w:rsid w:val="006B37F9"/>
    <w:rsid w:val="006B3ABF"/>
    <w:rsid w:val="006B3B63"/>
    <w:rsid w:val="006B3CE8"/>
    <w:rsid w:val="006B41C8"/>
    <w:rsid w:val="006B4F68"/>
    <w:rsid w:val="006B5126"/>
    <w:rsid w:val="006B5318"/>
    <w:rsid w:val="006B56AE"/>
    <w:rsid w:val="006B58E9"/>
    <w:rsid w:val="006B5A2F"/>
    <w:rsid w:val="006B72C7"/>
    <w:rsid w:val="006C0592"/>
    <w:rsid w:val="006C0A28"/>
    <w:rsid w:val="006C0C1B"/>
    <w:rsid w:val="006C152B"/>
    <w:rsid w:val="006C163C"/>
    <w:rsid w:val="006C1679"/>
    <w:rsid w:val="006C1C29"/>
    <w:rsid w:val="006C1DC7"/>
    <w:rsid w:val="006C272E"/>
    <w:rsid w:val="006C2D63"/>
    <w:rsid w:val="006C364A"/>
    <w:rsid w:val="006C4647"/>
    <w:rsid w:val="006C49F8"/>
    <w:rsid w:val="006C5479"/>
    <w:rsid w:val="006C624D"/>
    <w:rsid w:val="006C649A"/>
    <w:rsid w:val="006C7314"/>
    <w:rsid w:val="006C7356"/>
    <w:rsid w:val="006C74F9"/>
    <w:rsid w:val="006C75CA"/>
    <w:rsid w:val="006D0C36"/>
    <w:rsid w:val="006D0C93"/>
    <w:rsid w:val="006D13B5"/>
    <w:rsid w:val="006D26DA"/>
    <w:rsid w:val="006D4185"/>
    <w:rsid w:val="006D454F"/>
    <w:rsid w:val="006D476F"/>
    <w:rsid w:val="006D4FCA"/>
    <w:rsid w:val="006D551F"/>
    <w:rsid w:val="006D5A13"/>
    <w:rsid w:val="006D5F47"/>
    <w:rsid w:val="006D66EB"/>
    <w:rsid w:val="006D79FF"/>
    <w:rsid w:val="006E0239"/>
    <w:rsid w:val="006E073C"/>
    <w:rsid w:val="006E096E"/>
    <w:rsid w:val="006E0992"/>
    <w:rsid w:val="006E0C23"/>
    <w:rsid w:val="006E12FF"/>
    <w:rsid w:val="006E1351"/>
    <w:rsid w:val="006E23E9"/>
    <w:rsid w:val="006E2528"/>
    <w:rsid w:val="006E371A"/>
    <w:rsid w:val="006E3869"/>
    <w:rsid w:val="006E607E"/>
    <w:rsid w:val="006E7BFF"/>
    <w:rsid w:val="006E7F22"/>
    <w:rsid w:val="006F05E9"/>
    <w:rsid w:val="006F18BE"/>
    <w:rsid w:val="006F1D46"/>
    <w:rsid w:val="006F1F8C"/>
    <w:rsid w:val="006F22B2"/>
    <w:rsid w:val="006F2B07"/>
    <w:rsid w:val="006F3BE8"/>
    <w:rsid w:val="006F3BF3"/>
    <w:rsid w:val="006F4B9F"/>
    <w:rsid w:val="006F4FAA"/>
    <w:rsid w:val="006F54F2"/>
    <w:rsid w:val="006F5722"/>
    <w:rsid w:val="006F5A2D"/>
    <w:rsid w:val="006F5FCC"/>
    <w:rsid w:val="006F68F8"/>
    <w:rsid w:val="006F71AE"/>
    <w:rsid w:val="006F7DDB"/>
    <w:rsid w:val="007006C5"/>
    <w:rsid w:val="007009BC"/>
    <w:rsid w:val="00702CD0"/>
    <w:rsid w:val="0070367B"/>
    <w:rsid w:val="007038C3"/>
    <w:rsid w:val="00703995"/>
    <w:rsid w:val="00704A13"/>
    <w:rsid w:val="00705168"/>
    <w:rsid w:val="00706C5D"/>
    <w:rsid w:val="007071C2"/>
    <w:rsid w:val="00707A49"/>
    <w:rsid w:val="00707EE5"/>
    <w:rsid w:val="007102CB"/>
    <w:rsid w:val="0071077E"/>
    <w:rsid w:val="007112FD"/>
    <w:rsid w:val="007126B0"/>
    <w:rsid w:val="007126C2"/>
    <w:rsid w:val="00713002"/>
    <w:rsid w:val="00713598"/>
    <w:rsid w:val="00713D0F"/>
    <w:rsid w:val="00714E30"/>
    <w:rsid w:val="00716A26"/>
    <w:rsid w:val="00717550"/>
    <w:rsid w:val="00717CD5"/>
    <w:rsid w:val="00717E89"/>
    <w:rsid w:val="00720540"/>
    <w:rsid w:val="00721511"/>
    <w:rsid w:val="00721D64"/>
    <w:rsid w:val="00723F55"/>
    <w:rsid w:val="007254BD"/>
    <w:rsid w:val="007301A6"/>
    <w:rsid w:val="0073093B"/>
    <w:rsid w:val="00730976"/>
    <w:rsid w:val="00730C8A"/>
    <w:rsid w:val="00730E15"/>
    <w:rsid w:val="00732373"/>
    <w:rsid w:val="0073252B"/>
    <w:rsid w:val="00732922"/>
    <w:rsid w:val="0073338A"/>
    <w:rsid w:val="0073346D"/>
    <w:rsid w:val="0073483A"/>
    <w:rsid w:val="00734C1C"/>
    <w:rsid w:val="00735015"/>
    <w:rsid w:val="007359A8"/>
    <w:rsid w:val="00736ACA"/>
    <w:rsid w:val="0074044D"/>
    <w:rsid w:val="007410B7"/>
    <w:rsid w:val="00741144"/>
    <w:rsid w:val="00741603"/>
    <w:rsid w:val="0074220B"/>
    <w:rsid w:val="007433E6"/>
    <w:rsid w:val="00743409"/>
    <w:rsid w:val="00745BD0"/>
    <w:rsid w:val="00746964"/>
    <w:rsid w:val="00746DE1"/>
    <w:rsid w:val="00747833"/>
    <w:rsid w:val="00747DC5"/>
    <w:rsid w:val="0075009B"/>
    <w:rsid w:val="007500B7"/>
    <w:rsid w:val="0075162E"/>
    <w:rsid w:val="00751D62"/>
    <w:rsid w:val="00752FAB"/>
    <w:rsid w:val="00754034"/>
    <w:rsid w:val="007542A3"/>
    <w:rsid w:val="0075472E"/>
    <w:rsid w:val="0075645C"/>
    <w:rsid w:val="00756556"/>
    <w:rsid w:val="0075686A"/>
    <w:rsid w:val="00756A43"/>
    <w:rsid w:val="00756B46"/>
    <w:rsid w:val="00756B6B"/>
    <w:rsid w:val="007575B1"/>
    <w:rsid w:val="007604F6"/>
    <w:rsid w:val="00760D24"/>
    <w:rsid w:val="007618C4"/>
    <w:rsid w:val="007630B3"/>
    <w:rsid w:val="007631B5"/>
    <w:rsid w:val="00763BFA"/>
    <w:rsid w:val="00763F3B"/>
    <w:rsid w:val="0076528B"/>
    <w:rsid w:val="00765C4A"/>
    <w:rsid w:val="0076621E"/>
    <w:rsid w:val="007666CF"/>
    <w:rsid w:val="00766758"/>
    <w:rsid w:val="00766759"/>
    <w:rsid w:val="0076693A"/>
    <w:rsid w:val="007673CC"/>
    <w:rsid w:val="00767980"/>
    <w:rsid w:val="00770B19"/>
    <w:rsid w:val="00771173"/>
    <w:rsid w:val="0077462A"/>
    <w:rsid w:val="0077463F"/>
    <w:rsid w:val="00774C2D"/>
    <w:rsid w:val="007759A2"/>
    <w:rsid w:val="0077618F"/>
    <w:rsid w:val="00776200"/>
    <w:rsid w:val="00776F76"/>
    <w:rsid w:val="00781369"/>
    <w:rsid w:val="00782C3B"/>
    <w:rsid w:val="00782F0D"/>
    <w:rsid w:val="00783293"/>
    <w:rsid w:val="007836D7"/>
    <w:rsid w:val="007836EA"/>
    <w:rsid w:val="007837A8"/>
    <w:rsid w:val="00784917"/>
    <w:rsid w:val="00784CDA"/>
    <w:rsid w:val="00784E96"/>
    <w:rsid w:val="00785A00"/>
    <w:rsid w:val="00787788"/>
    <w:rsid w:val="00790408"/>
    <w:rsid w:val="00790470"/>
    <w:rsid w:val="007906C4"/>
    <w:rsid w:val="00790B8E"/>
    <w:rsid w:val="00791826"/>
    <w:rsid w:val="00791ECF"/>
    <w:rsid w:val="007927ED"/>
    <w:rsid w:val="007932AB"/>
    <w:rsid w:val="00793734"/>
    <w:rsid w:val="0079395A"/>
    <w:rsid w:val="00793CC7"/>
    <w:rsid w:val="007940EA"/>
    <w:rsid w:val="00794ABB"/>
    <w:rsid w:val="00794F98"/>
    <w:rsid w:val="007955D2"/>
    <w:rsid w:val="007962EF"/>
    <w:rsid w:val="007967E8"/>
    <w:rsid w:val="00796D8B"/>
    <w:rsid w:val="007974CD"/>
    <w:rsid w:val="007A0937"/>
    <w:rsid w:val="007A0CF5"/>
    <w:rsid w:val="007A2170"/>
    <w:rsid w:val="007A22BF"/>
    <w:rsid w:val="007A275B"/>
    <w:rsid w:val="007A2E42"/>
    <w:rsid w:val="007A3323"/>
    <w:rsid w:val="007A4EC9"/>
    <w:rsid w:val="007A5423"/>
    <w:rsid w:val="007A5459"/>
    <w:rsid w:val="007A62BF"/>
    <w:rsid w:val="007A6ECB"/>
    <w:rsid w:val="007A746E"/>
    <w:rsid w:val="007A7764"/>
    <w:rsid w:val="007B0D52"/>
    <w:rsid w:val="007B1DCF"/>
    <w:rsid w:val="007B1E18"/>
    <w:rsid w:val="007B2826"/>
    <w:rsid w:val="007B3B5C"/>
    <w:rsid w:val="007B3E7E"/>
    <w:rsid w:val="007B53AB"/>
    <w:rsid w:val="007B6236"/>
    <w:rsid w:val="007B72B8"/>
    <w:rsid w:val="007B7A58"/>
    <w:rsid w:val="007C0B3D"/>
    <w:rsid w:val="007C118E"/>
    <w:rsid w:val="007C21B5"/>
    <w:rsid w:val="007C2423"/>
    <w:rsid w:val="007C25F1"/>
    <w:rsid w:val="007C2623"/>
    <w:rsid w:val="007C45C4"/>
    <w:rsid w:val="007C4942"/>
    <w:rsid w:val="007C4AD8"/>
    <w:rsid w:val="007C50CC"/>
    <w:rsid w:val="007C5570"/>
    <w:rsid w:val="007C5B1D"/>
    <w:rsid w:val="007C6F1B"/>
    <w:rsid w:val="007D1806"/>
    <w:rsid w:val="007D1CF0"/>
    <w:rsid w:val="007D1DDF"/>
    <w:rsid w:val="007D4541"/>
    <w:rsid w:val="007D4E49"/>
    <w:rsid w:val="007D5189"/>
    <w:rsid w:val="007D5746"/>
    <w:rsid w:val="007D5FD2"/>
    <w:rsid w:val="007D6775"/>
    <w:rsid w:val="007D6886"/>
    <w:rsid w:val="007D6F58"/>
    <w:rsid w:val="007D6FE0"/>
    <w:rsid w:val="007D71B1"/>
    <w:rsid w:val="007D7CA6"/>
    <w:rsid w:val="007E1541"/>
    <w:rsid w:val="007E17D8"/>
    <w:rsid w:val="007E2042"/>
    <w:rsid w:val="007E28F7"/>
    <w:rsid w:val="007E2D86"/>
    <w:rsid w:val="007E32D3"/>
    <w:rsid w:val="007E3924"/>
    <w:rsid w:val="007E4952"/>
    <w:rsid w:val="007E4BD2"/>
    <w:rsid w:val="007E4C74"/>
    <w:rsid w:val="007E5466"/>
    <w:rsid w:val="007E6142"/>
    <w:rsid w:val="007E61AE"/>
    <w:rsid w:val="007E647E"/>
    <w:rsid w:val="007E79C2"/>
    <w:rsid w:val="007F12BB"/>
    <w:rsid w:val="007F1C39"/>
    <w:rsid w:val="007F2323"/>
    <w:rsid w:val="007F34D3"/>
    <w:rsid w:val="007F371B"/>
    <w:rsid w:val="007F4536"/>
    <w:rsid w:val="007F4D24"/>
    <w:rsid w:val="007F4D74"/>
    <w:rsid w:val="007F54AD"/>
    <w:rsid w:val="007F57BF"/>
    <w:rsid w:val="007F6228"/>
    <w:rsid w:val="007F659F"/>
    <w:rsid w:val="007F6BE5"/>
    <w:rsid w:val="007F6FA6"/>
    <w:rsid w:val="007F751F"/>
    <w:rsid w:val="00800AFF"/>
    <w:rsid w:val="00800E47"/>
    <w:rsid w:val="00801393"/>
    <w:rsid w:val="008013AD"/>
    <w:rsid w:val="00802A94"/>
    <w:rsid w:val="00802C36"/>
    <w:rsid w:val="00802F88"/>
    <w:rsid w:val="00804075"/>
    <w:rsid w:val="008045D6"/>
    <w:rsid w:val="00810859"/>
    <w:rsid w:val="008119FB"/>
    <w:rsid w:val="0081258A"/>
    <w:rsid w:val="0081293E"/>
    <w:rsid w:val="00812E9E"/>
    <w:rsid w:val="00813533"/>
    <w:rsid w:val="00813ABB"/>
    <w:rsid w:val="00813BA4"/>
    <w:rsid w:val="00814120"/>
    <w:rsid w:val="0081499B"/>
    <w:rsid w:val="00815283"/>
    <w:rsid w:val="00815372"/>
    <w:rsid w:val="00815465"/>
    <w:rsid w:val="0081588C"/>
    <w:rsid w:val="0081592A"/>
    <w:rsid w:val="00817856"/>
    <w:rsid w:val="00817E9A"/>
    <w:rsid w:val="008206A8"/>
    <w:rsid w:val="00820706"/>
    <w:rsid w:val="00821660"/>
    <w:rsid w:val="00821DD6"/>
    <w:rsid w:val="00821FE4"/>
    <w:rsid w:val="00822ADC"/>
    <w:rsid w:val="008242ED"/>
    <w:rsid w:val="00826F16"/>
    <w:rsid w:val="008277B5"/>
    <w:rsid w:val="0083050C"/>
    <w:rsid w:val="008306BD"/>
    <w:rsid w:val="00830BB6"/>
    <w:rsid w:val="0083145E"/>
    <w:rsid w:val="00831A80"/>
    <w:rsid w:val="0083231D"/>
    <w:rsid w:val="0083283B"/>
    <w:rsid w:val="00833314"/>
    <w:rsid w:val="00833743"/>
    <w:rsid w:val="008340A4"/>
    <w:rsid w:val="00834A15"/>
    <w:rsid w:val="00835693"/>
    <w:rsid w:val="00835C5E"/>
    <w:rsid w:val="00837D51"/>
    <w:rsid w:val="00840570"/>
    <w:rsid w:val="00840DFD"/>
    <w:rsid w:val="00841425"/>
    <w:rsid w:val="008416A3"/>
    <w:rsid w:val="0084350A"/>
    <w:rsid w:val="008436F4"/>
    <w:rsid w:val="00844D7D"/>
    <w:rsid w:val="00845290"/>
    <w:rsid w:val="00845AF0"/>
    <w:rsid w:val="00845CA6"/>
    <w:rsid w:val="00846D26"/>
    <w:rsid w:val="0084732A"/>
    <w:rsid w:val="0084776F"/>
    <w:rsid w:val="008479E4"/>
    <w:rsid w:val="00851047"/>
    <w:rsid w:val="00851171"/>
    <w:rsid w:val="00851869"/>
    <w:rsid w:val="00853173"/>
    <w:rsid w:val="008540A9"/>
    <w:rsid w:val="008548E5"/>
    <w:rsid w:val="00854928"/>
    <w:rsid w:val="008551A1"/>
    <w:rsid w:val="008554E4"/>
    <w:rsid w:val="00855D19"/>
    <w:rsid w:val="00856200"/>
    <w:rsid w:val="00856772"/>
    <w:rsid w:val="008601FA"/>
    <w:rsid w:val="00860EF6"/>
    <w:rsid w:val="00862E7B"/>
    <w:rsid w:val="00863705"/>
    <w:rsid w:val="00863A1A"/>
    <w:rsid w:val="00863F98"/>
    <w:rsid w:val="008657C4"/>
    <w:rsid w:val="00865865"/>
    <w:rsid w:val="00865898"/>
    <w:rsid w:val="00865A1D"/>
    <w:rsid w:val="00865A7C"/>
    <w:rsid w:val="00865C03"/>
    <w:rsid w:val="00865F48"/>
    <w:rsid w:val="00867356"/>
    <w:rsid w:val="00867594"/>
    <w:rsid w:val="008676E3"/>
    <w:rsid w:val="00870153"/>
    <w:rsid w:val="0087079F"/>
    <w:rsid w:val="0087135F"/>
    <w:rsid w:val="00871671"/>
    <w:rsid w:val="00872D94"/>
    <w:rsid w:val="00873D7E"/>
    <w:rsid w:val="00873EDF"/>
    <w:rsid w:val="00875112"/>
    <w:rsid w:val="00875413"/>
    <w:rsid w:val="008756EC"/>
    <w:rsid w:val="00875856"/>
    <w:rsid w:val="0087588F"/>
    <w:rsid w:val="00875937"/>
    <w:rsid w:val="0087593A"/>
    <w:rsid w:val="00876977"/>
    <w:rsid w:val="008800A4"/>
    <w:rsid w:val="00880364"/>
    <w:rsid w:val="0088153D"/>
    <w:rsid w:val="00881B91"/>
    <w:rsid w:val="00882AC5"/>
    <w:rsid w:val="00883441"/>
    <w:rsid w:val="0088352C"/>
    <w:rsid w:val="00883C50"/>
    <w:rsid w:val="0088427A"/>
    <w:rsid w:val="00884797"/>
    <w:rsid w:val="00884D51"/>
    <w:rsid w:val="0088597B"/>
    <w:rsid w:val="008876AB"/>
    <w:rsid w:val="00887DED"/>
    <w:rsid w:val="0089030B"/>
    <w:rsid w:val="0089087E"/>
    <w:rsid w:val="00890928"/>
    <w:rsid w:val="00890B10"/>
    <w:rsid w:val="00891546"/>
    <w:rsid w:val="00891592"/>
    <w:rsid w:val="00891E9E"/>
    <w:rsid w:val="0089283E"/>
    <w:rsid w:val="008945AD"/>
    <w:rsid w:val="008950A5"/>
    <w:rsid w:val="008968DE"/>
    <w:rsid w:val="00896A95"/>
    <w:rsid w:val="00896D07"/>
    <w:rsid w:val="0089773C"/>
    <w:rsid w:val="0089794C"/>
    <w:rsid w:val="00897B6F"/>
    <w:rsid w:val="00897C03"/>
    <w:rsid w:val="00897CB7"/>
    <w:rsid w:val="00897FA5"/>
    <w:rsid w:val="008A0301"/>
    <w:rsid w:val="008A0F31"/>
    <w:rsid w:val="008A12DB"/>
    <w:rsid w:val="008A1B8D"/>
    <w:rsid w:val="008A2530"/>
    <w:rsid w:val="008A2DFE"/>
    <w:rsid w:val="008A2F68"/>
    <w:rsid w:val="008A383E"/>
    <w:rsid w:val="008A3ED2"/>
    <w:rsid w:val="008A50AC"/>
    <w:rsid w:val="008A540A"/>
    <w:rsid w:val="008A5C67"/>
    <w:rsid w:val="008A62AB"/>
    <w:rsid w:val="008A69EF"/>
    <w:rsid w:val="008A6CB9"/>
    <w:rsid w:val="008A7265"/>
    <w:rsid w:val="008A79A0"/>
    <w:rsid w:val="008A7F6B"/>
    <w:rsid w:val="008B0374"/>
    <w:rsid w:val="008B1530"/>
    <w:rsid w:val="008B18B7"/>
    <w:rsid w:val="008B20FC"/>
    <w:rsid w:val="008B2A74"/>
    <w:rsid w:val="008B2E2D"/>
    <w:rsid w:val="008B351E"/>
    <w:rsid w:val="008B389D"/>
    <w:rsid w:val="008B4FA6"/>
    <w:rsid w:val="008B5282"/>
    <w:rsid w:val="008B5442"/>
    <w:rsid w:val="008B5A88"/>
    <w:rsid w:val="008B5B5E"/>
    <w:rsid w:val="008B6527"/>
    <w:rsid w:val="008B653E"/>
    <w:rsid w:val="008B687E"/>
    <w:rsid w:val="008B7572"/>
    <w:rsid w:val="008B7A52"/>
    <w:rsid w:val="008B7C17"/>
    <w:rsid w:val="008B7FE7"/>
    <w:rsid w:val="008C02B7"/>
    <w:rsid w:val="008C05CE"/>
    <w:rsid w:val="008C07A6"/>
    <w:rsid w:val="008C1268"/>
    <w:rsid w:val="008C13A1"/>
    <w:rsid w:val="008C159D"/>
    <w:rsid w:val="008C1999"/>
    <w:rsid w:val="008C2D01"/>
    <w:rsid w:val="008C40E6"/>
    <w:rsid w:val="008C5894"/>
    <w:rsid w:val="008C6095"/>
    <w:rsid w:val="008C7717"/>
    <w:rsid w:val="008D0F7A"/>
    <w:rsid w:val="008D0F7D"/>
    <w:rsid w:val="008D1530"/>
    <w:rsid w:val="008D35B5"/>
    <w:rsid w:val="008D3B58"/>
    <w:rsid w:val="008D5AF1"/>
    <w:rsid w:val="008D68E4"/>
    <w:rsid w:val="008D7D5B"/>
    <w:rsid w:val="008D7FDA"/>
    <w:rsid w:val="008E00D4"/>
    <w:rsid w:val="008E0506"/>
    <w:rsid w:val="008E0931"/>
    <w:rsid w:val="008E0A8F"/>
    <w:rsid w:val="008E0BB2"/>
    <w:rsid w:val="008E0BC1"/>
    <w:rsid w:val="008E0C6E"/>
    <w:rsid w:val="008E0CFF"/>
    <w:rsid w:val="008E0FC1"/>
    <w:rsid w:val="008E1166"/>
    <w:rsid w:val="008E30C0"/>
    <w:rsid w:val="008E349F"/>
    <w:rsid w:val="008E372B"/>
    <w:rsid w:val="008E4F54"/>
    <w:rsid w:val="008E51C0"/>
    <w:rsid w:val="008E529C"/>
    <w:rsid w:val="008E5B04"/>
    <w:rsid w:val="008E5D6B"/>
    <w:rsid w:val="008E6FF3"/>
    <w:rsid w:val="008E76F0"/>
    <w:rsid w:val="008E7D6D"/>
    <w:rsid w:val="008F153D"/>
    <w:rsid w:val="008F15FE"/>
    <w:rsid w:val="008F1B23"/>
    <w:rsid w:val="008F1F1F"/>
    <w:rsid w:val="008F28C5"/>
    <w:rsid w:val="008F2D29"/>
    <w:rsid w:val="008F3E68"/>
    <w:rsid w:val="008F42E9"/>
    <w:rsid w:val="008F4740"/>
    <w:rsid w:val="008F4D36"/>
    <w:rsid w:val="008F5187"/>
    <w:rsid w:val="008F5509"/>
    <w:rsid w:val="008F58C2"/>
    <w:rsid w:val="008F60D8"/>
    <w:rsid w:val="008F6F6D"/>
    <w:rsid w:val="008F73BD"/>
    <w:rsid w:val="008F7CBD"/>
    <w:rsid w:val="009000DA"/>
    <w:rsid w:val="00900EF4"/>
    <w:rsid w:val="009011E2"/>
    <w:rsid w:val="00901A2C"/>
    <w:rsid w:val="00901B2D"/>
    <w:rsid w:val="00901B90"/>
    <w:rsid w:val="00902692"/>
    <w:rsid w:val="00902727"/>
    <w:rsid w:val="009029BE"/>
    <w:rsid w:val="0090312B"/>
    <w:rsid w:val="009045B0"/>
    <w:rsid w:val="009053BD"/>
    <w:rsid w:val="00905610"/>
    <w:rsid w:val="00910685"/>
    <w:rsid w:val="009109B1"/>
    <w:rsid w:val="009119B3"/>
    <w:rsid w:val="00911E9F"/>
    <w:rsid w:val="00912337"/>
    <w:rsid w:val="00912A47"/>
    <w:rsid w:val="00912A61"/>
    <w:rsid w:val="00913189"/>
    <w:rsid w:val="00913EDA"/>
    <w:rsid w:val="00914E2E"/>
    <w:rsid w:val="009159B5"/>
    <w:rsid w:val="00916AB4"/>
    <w:rsid w:val="00916DEB"/>
    <w:rsid w:val="0091736D"/>
    <w:rsid w:val="0091793F"/>
    <w:rsid w:val="00917D25"/>
    <w:rsid w:val="00917D64"/>
    <w:rsid w:val="00917F0D"/>
    <w:rsid w:val="00920D32"/>
    <w:rsid w:val="00920DF5"/>
    <w:rsid w:val="0092180F"/>
    <w:rsid w:val="00921CCB"/>
    <w:rsid w:val="0092317F"/>
    <w:rsid w:val="00923C57"/>
    <w:rsid w:val="0092704F"/>
    <w:rsid w:val="00927457"/>
    <w:rsid w:val="00927AAD"/>
    <w:rsid w:val="0093037A"/>
    <w:rsid w:val="00930471"/>
    <w:rsid w:val="009319F4"/>
    <w:rsid w:val="00933056"/>
    <w:rsid w:val="00933119"/>
    <w:rsid w:val="00933CE1"/>
    <w:rsid w:val="009344A2"/>
    <w:rsid w:val="00934887"/>
    <w:rsid w:val="00934EAE"/>
    <w:rsid w:val="00935824"/>
    <w:rsid w:val="00935B4B"/>
    <w:rsid w:val="00935BCB"/>
    <w:rsid w:val="00936572"/>
    <w:rsid w:val="00936654"/>
    <w:rsid w:val="00940B26"/>
    <w:rsid w:val="009412DA"/>
    <w:rsid w:val="009413E5"/>
    <w:rsid w:val="00941548"/>
    <w:rsid w:val="0094154D"/>
    <w:rsid w:val="0094264B"/>
    <w:rsid w:val="00942817"/>
    <w:rsid w:val="00943073"/>
    <w:rsid w:val="0094333B"/>
    <w:rsid w:val="00943956"/>
    <w:rsid w:val="009445A0"/>
    <w:rsid w:val="00944B01"/>
    <w:rsid w:val="00946E80"/>
    <w:rsid w:val="009474B0"/>
    <w:rsid w:val="0095155F"/>
    <w:rsid w:val="009519F0"/>
    <w:rsid w:val="00951E1F"/>
    <w:rsid w:val="00952764"/>
    <w:rsid w:val="00953207"/>
    <w:rsid w:val="00953875"/>
    <w:rsid w:val="00954429"/>
    <w:rsid w:val="00954CB8"/>
    <w:rsid w:val="00955A30"/>
    <w:rsid w:val="00955FD1"/>
    <w:rsid w:val="009563CE"/>
    <w:rsid w:val="0096185F"/>
    <w:rsid w:val="00962067"/>
    <w:rsid w:val="0096272C"/>
    <w:rsid w:val="00963086"/>
    <w:rsid w:val="0096390A"/>
    <w:rsid w:val="00963910"/>
    <w:rsid w:val="0096453F"/>
    <w:rsid w:val="00964540"/>
    <w:rsid w:val="00964DF8"/>
    <w:rsid w:val="00964F0D"/>
    <w:rsid w:val="009652A3"/>
    <w:rsid w:val="00965DD1"/>
    <w:rsid w:val="0096635B"/>
    <w:rsid w:val="009666E9"/>
    <w:rsid w:val="00970EA2"/>
    <w:rsid w:val="00971172"/>
    <w:rsid w:val="009720C2"/>
    <w:rsid w:val="009727C0"/>
    <w:rsid w:val="00972AFC"/>
    <w:rsid w:val="0097343B"/>
    <w:rsid w:val="00973ACC"/>
    <w:rsid w:val="00973D64"/>
    <w:rsid w:val="00976328"/>
    <w:rsid w:val="0097680D"/>
    <w:rsid w:val="0097690B"/>
    <w:rsid w:val="00976E37"/>
    <w:rsid w:val="00977ABB"/>
    <w:rsid w:val="00977B97"/>
    <w:rsid w:val="00977C1B"/>
    <w:rsid w:val="00980D98"/>
    <w:rsid w:val="00980FA9"/>
    <w:rsid w:val="0098122F"/>
    <w:rsid w:val="00982438"/>
    <w:rsid w:val="00982BC3"/>
    <w:rsid w:val="00983342"/>
    <w:rsid w:val="00983954"/>
    <w:rsid w:val="0098404C"/>
    <w:rsid w:val="00984E68"/>
    <w:rsid w:val="00984FDA"/>
    <w:rsid w:val="00985283"/>
    <w:rsid w:val="009856A6"/>
    <w:rsid w:val="00986761"/>
    <w:rsid w:val="00990167"/>
    <w:rsid w:val="0099058A"/>
    <w:rsid w:val="009905F9"/>
    <w:rsid w:val="00990D91"/>
    <w:rsid w:val="00991607"/>
    <w:rsid w:val="00991648"/>
    <w:rsid w:val="009916D4"/>
    <w:rsid w:val="00991A11"/>
    <w:rsid w:val="009923F6"/>
    <w:rsid w:val="00992C43"/>
    <w:rsid w:val="00992CF6"/>
    <w:rsid w:val="00993435"/>
    <w:rsid w:val="00993493"/>
    <w:rsid w:val="009938BF"/>
    <w:rsid w:val="00993E9B"/>
    <w:rsid w:val="00994625"/>
    <w:rsid w:val="0099498B"/>
    <w:rsid w:val="00994FA8"/>
    <w:rsid w:val="009950E6"/>
    <w:rsid w:val="00995992"/>
    <w:rsid w:val="00996210"/>
    <w:rsid w:val="00996DC8"/>
    <w:rsid w:val="00997471"/>
    <w:rsid w:val="009A03E5"/>
    <w:rsid w:val="009A081B"/>
    <w:rsid w:val="009A0A69"/>
    <w:rsid w:val="009A0F3B"/>
    <w:rsid w:val="009A1BB4"/>
    <w:rsid w:val="009A1DA0"/>
    <w:rsid w:val="009A25C2"/>
    <w:rsid w:val="009A2628"/>
    <w:rsid w:val="009A2858"/>
    <w:rsid w:val="009A30B3"/>
    <w:rsid w:val="009A3200"/>
    <w:rsid w:val="009A36F5"/>
    <w:rsid w:val="009A38AD"/>
    <w:rsid w:val="009A422B"/>
    <w:rsid w:val="009A49EB"/>
    <w:rsid w:val="009A4E01"/>
    <w:rsid w:val="009A53A4"/>
    <w:rsid w:val="009A5787"/>
    <w:rsid w:val="009A622E"/>
    <w:rsid w:val="009A6944"/>
    <w:rsid w:val="009A6C4D"/>
    <w:rsid w:val="009A6CA8"/>
    <w:rsid w:val="009A6CE9"/>
    <w:rsid w:val="009A733B"/>
    <w:rsid w:val="009A7520"/>
    <w:rsid w:val="009A7AE5"/>
    <w:rsid w:val="009B0075"/>
    <w:rsid w:val="009B040A"/>
    <w:rsid w:val="009B055E"/>
    <w:rsid w:val="009B0897"/>
    <w:rsid w:val="009B0BA8"/>
    <w:rsid w:val="009B19F6"/>
    <w:rsid w:val="009B1BCD"/>
    <w:rsid w:val="009B1D51"/>
    <w:rsid w:val="009B2261"/>
    <w:rsid w:val="009B2E1F"/>
    <w:rsid w:val="009B2E63"/>
    <w:rsid w:val="009B33CB"/>
    <w:rsid w:val="009B5B6E"/>
    <w:rsid w:val="009B658C"/>
    <w:rsid w:val="009B7954"/>
    <w:rsid w:val="009B7BD9"/>
    <w:rsid w:val="009B7BFD"/>
    <w:rsid w:val="009C0903"/>
    <w:rsid w:val="009C0EFA"/>
    <w:rsid w:val="009C132E"/>
    <w:rsid w:val="009C15DB"/>
    <w:rsid w:val="009C3E1E"/>
    <w:rsid w:val="009C567B"/>
    <w:rsid w:val="009C5C76"/>
    <w:rsid w:val="009C605E"/>
    <w:rsid w:val="009C65F6"/>
    <w:rsid w:val="009C6F0E"/>
    <w:rsid w:val="009C6F21"/>
    <w:rsid w:val="009C72A8"/>
    <w:rsid w:val="009C748F"/>
    <w:rsid w:val="009C76EB"/>
    <w:rsid w:val="009C7DD5"/>
    <w:rsid w:val="009D07C3"/>
    <w:rsid w:val="009D148C"/>
    <w:rsid w:val="009D1B37"/>
    <w:rsid w:val="009D1D9B"/>
    <w:rsid w:val="009D239D"/>
    <w:rsid w:val="009D2449"/>
    <w:rsid w:val="009D2B54"/>
    <w:rsid w:val="009D2D11"/>
    <w:rsid w:val="009D35D4"/>
    <w:rsid w:val="009D41AD"/>
    <w:rsid w:val="009D4627"/>
    <w:rsid w:val="009D5FA2"/>
    <w:rsid w:val="009D6887"/>
    <w:rsid w:val="009D736E"/>
    <w:rsid w:val="009D75CE"/>
    <w:rsid w:val="009E227D"/>
    <w:rsid w:val="009E260F"/>
    <w:rsid w:val="009E3AEA"/>
    <w:rsid w:val="009E3BB9"/>
    <w:rsid w:val="009E4006"/>
    <w:rsid w:val="009E4813"/>
    <w:rsid w:val="009E48C6"/>
    <w:rsid w:val="009E4B30"/>
    <w:rsid w:val="009E5019"/>
    <w:rsid w:val="009E5743"/>
    <w:rsid w:val="009E5DA8"/>
    <w:rsid w:val="009E61C2"/>
    <w:rsid w:val="009E6747"/>
    <w:rsid w:val="009E6D59"/>
    <w:rsid w:val="009E7024"/>
    <w:rsid w:val="009F05FB"/>
    <w:rsid w:val="009F062A"/>
    <w:rsid w:val="009F06D5"/>
    <w:rsid w:val="009F14AB"/>
    <w:rsid w:val="009F2F2F"/>
    <w:rsid w:val="009F332E"/>
    <w:rsid w:val="009F3581"/>
    <w:rsid w:val="009F3E75"/>
    <w:rsid w:val="009F4F86"/>
    <w:rsid w:val="009F4FD5"/>
    <w:rsid w:val="009F5402"/>
    <w:rsid w:val="009F6486"/>
    <w:rsid w:val="009F6778"/>
    <w:rsid w:val="009F799B"/>
    <w:rsid w:val="009F7EA3"/>
    <w:rsid w:val="009F7F5E"/>
    <w:rsid w:val="00A00B36"/>
    <w:rsid w:val="00A029EB"/>
    <w:rsid w:val="00A02BE0"/>
    <w:rsid w:val="00A04F1B"/>
    <w:rsid w:val="00A0501B"/>
    <w:rsid w:val="00A1008D"/>
    <w:rsid w:val="00A106C8"/>
    <w:rsid w:val="00A107F5"/>
    <w:rsid w:val="00A111B7"/>
    <w:rsid w:val="00A112DB"/>
    <w:rsid w:val="00A12F94"/>
    <w:rsid w:val="00A1369D"/>
    <w:rsid w:val="00A13888"/>
    <w:rsid w:val="00A13AEB"/>
    <w:rsid w:val="00A14117"/>
    <w:rsid w:val="00A146A3"/>
    <w:rsid w:val="00A14947"/>
    <w:rsid w:val="00A14D21"/>
    <w:rsid w:val="00A154D9"/>
    <w:rsid w:val="00A16256"/>
    <w:rsid w:val="00A170BC"/>
    <w:rsid w:val="00A20315"/>
    <w:rsid w:val="00A205F7"/>
    <w:rsid w:val="00A20881"/>
    <w:rsid w:val="00A20F91"/>
    <w:rsid w:val="00A210A8"/>
    <w:rsid w:val="00A2171B"/>
    <w:rsid w:val="00A21D8A"/>
    <w:rsid w:val="00A21E70"/>
    <w:rsid w:val="00A22C59"/>
    <w:rsid w:val="00A247A3"/>
    <w:rsid w:val="00A24ACF"/>
    <w:rsid w:val="00A254FF"/>
    <w:rsid w:val="00A262BA"/>
    <w:rsid w:val="00A26B7A"/>
    <w:rsid w:val="00A276A9"/>
    <w:rsid w:val="00A27A85"/>
    <w:rsid w:val="00A30765"/>
    <w:rsid w:val="00A30E53"/>
    <w:rsid w:val="00A31412"/>
    <w:rsid w:val="00A31728"/>
    <w:rsid w:val="00A321C7"/>
    <w:rsid w:val="00A32449"/>
    <w:rsid w:val="00A32A83"/>
    <w:rsid w:val="00A331E1"/>
    <w:rsid w:val="00A3331E"/>
    <w:rsid w:val="00A337C1"/>
    <w:rsid w:val="00A356A2"/>
    <w:rsid w:val="00A359AD"/>
    <w:rsid w:val="00A35B7E"/>
    <w:rsid w:val="00A360B3"/>
    <w:rsid w:val="00A3610E"/>
    <w:rsid w:val="00A368DB"/>
    <w:rsid w:val="00A370E2"/>
    <w:rsid w:val="00A377B4"/>
    <w:rsid w:val="00A40CFF"/>
    <w:rsid w:val="00A423AA"/>
    <w:rsid w:val="00A428B7"/>
    <w:rsid w:val="00A42A83"/>
    <w:rsid w:val="00A43BA8"/>
    <w:rsid w:val="00A4413D"/>
    <w:rsid w:val="00A4445D"/>
    <w:rsid w:val="00A44E08"/>
    <w:rsid w:val="00A45E73"/>
    <w:rsid w:val="00A46F71"/>
    <w:rsid w:val="00A475E3"/>
    <w:rsid w:val="00A501F5"/>
    <w:rsid w:val="00A51B10"/>
    <w:rsid w:val="00A51BAC"/>
    <w:rsid w:val="00A51FD7"/>
    <w:rsid w:val="00A52435"/>
    <w:rsid w:val="00A52728"/>
    <w:rsid w:val="00A53EC6"/>
    <w:rsid w:val="00A53FC4"/>
    <w:rsid w:val="00A55C0F"/>
    <w:rsid w:val="00A562A2"/>
    <w:rsid w:val="00A57075"/>
    <w:rsid w:val="00A5739A"/>
    <w:rsid w:val="00A57A6D"/>
    <w:rsid w:val="00A605B4"/>
    <w:rsid w:val="00A60B48"/>
    <w:rsid w:val="00A60C05"/>
    <w:rsid w:val="00A6111E"/>
    <w:rsid w:val="00A62122"/>
    <w:rsid w:val="00A62293"/>
    <w:rsid w:val="00A6235E"/>
    <w:rsid w:val="00A62839"/>
    <w:rsid w:val="00A63B04"/>
    <w:rsid w:val="00A657C4"/>
    <w:rsid w:val="00A65EB1"/>
    <w:rsid w:val="00A6718F"/>
    <w:rsid w:val="00A702D2"/>
    <w:rsid w:val="00A70ABA"/>
    <w:rsid w:val="00A72101"/>
    <w:rsid w:val="00A745C3"/>
    <w:rsid w:val="00A74B8A"/>
    <w:rsid w:val="00A751E5"/>
    <w:rsid w:val="00A77E7C"/>
    <w:rsid w:val="00A8009A"/>
    <w:rsid w:val="00A800BB"/>
    <w:rsid w:val="00A80329"/>
    <w:rsid w:val="00A803F8"/>
    <w:rsid w:val="00A8470A"/>
    <w:rsid w:val="00A86C55"/>
    <w:rsid w:val="00A8713F"/>
    <w:rsid w:val="00A8792C"/>
    <w:rsid w:val="00A87BC1"/>
    <w:rsid w:val="00A87EAE"/>
    <w:rsid w:val="00A905F0"/>
    <w:rsid w:val="00A909E8"/>
    <w:rsid w:val="00A90BA1"/>
    <w:rsid w:val="00A917A4"/>
    <w:rsid w:val="00A924E6"/>
    <w:rsid w:val="00A93E62"/>
    <w:rsid w:val="00A943F0"/>
    <w:rsid w:val="00A94646"/>
    <w:rsid w:val="00A94A0E"/>
    <w:rsid w:val="00A94A4E"/>
    <w:rsid w:val="00A959E3"/>
    <w:rsid w:val="00A9659C"/>
    <w:rsid w:val="00A96BF9"/>
    <w:rsid w:val="00A97621"/>
    <w:rsid w:val="00A97A9A"/>
    <w:rsid w:val="00A97E53"/>
    <w:rsid w:val="00AA0671"/>
    <w:rsid w:val="00AA0AC4"/>
    <w:rsid w:val="00AA0D75"/>
    <w:rsid w:val="00AA2531"/>
    <w:rsid w:val="00AA2812"/>
    <w:rsid w:val="00AA28BF"/>
    <w:rsid w:val="00AA2F33"/>
    <w:rsid w:val="00AA3184"/>
    <w:rsid w:val="00AA32AB"/>
    <w:rsid w:val="00AA3B7F"/>
    <w:rsid w:val="00AA42D1"/>
    <w:rsid w:val="00AA43B1"/>
    <w:rsid w:val="00AA56C5"/>
    <w:rsid w:val="00AA6094"/>
    <w:rsid w:val="00AA6DAF"/>
    <w:rsid w:val="00AA71D2"/>
    <w:rsid w:val="00AB01BB"/>
    <w:rsid w:val="00AB01BF"/>
    <w:rsid w:val="00AB02CD"/>
    <w:rsid w:val="00AB0305"/>
    <w:rsid w:val="00AB0D02"/>
    <w:rsid w:val="00AB1774"/>
    <w:rsid w:val="00AB1891"/>
    <w:rsid w:val="00AB18F5"/>
    <w:rsid w:val="00AB193D"/>
    <w:rsid w:val="00AB1E09"/>
    <w:rsid w:val="00AB29FF"/>
    <w:rsid w:val="00AB2B15"/>
    <w:rsid w:val="00AB2E0B"/>
    <w:rsid w:val="00AB52FE"/>
    <w:rsid w:val="00AB5330"/>
    <w:rsid w:val="00AB5528"/>
    <w:rsid w:val="00AB5B77"/>
    <w:rsid w:val="00AB5FA8"/>
    <w:rsid w:val="00AB64A8"/>
    <w:rsid w:val="00AB6C34"/>
    <w:rsid w:val="00AB7747"/>
    <w:rsid w:val="00AC0C28"/>
    <w:rsid w:val="00AC14CE"/>
    <w:rsid w:val="00AC201A"/>
    <w:rsid w:val="00AC2387"/>
    <w:rsid w:val="00AC2A56"/>
    <w:rsid w:val="00AC318B"/>
    <w:rsid w:val="00AC3A44"/>
    <w:rsid w:val="00AC3BAA"/>
    <w:rsid w:val="00AC47A0"/>
    <w:rsid w:val="00AC4B24"/>
    <w:rsid w:val="00AC5435"/>
    <w:rsid w:val="00AC5700"/>
    <w:rsid w:val="00AC5F79"/>
    <w:rsid w:val="00AC65B7"/>
    <w:rsid w:val="00AC702F"/>
    <w:rsid w:val="00AC70FA"/>
    <w:rsid w:val="00AC7FB0"/>
    <w:rsid w:val="00AD03DC"/>
    <w:rsid w:val="00AD055E"/>
    <w:rsid w:val="00AD0B60"/>
    <w:rsid w:val="00AD0C2E"/>
    <w:rsid w:val="00AD1138"/>
    <w:rsid w:val="00AD1C8A"/>
    <w:rsid w:val="00AD24C1"/>
    <w:rsid w:val="00AD2C5F"/>
    <w:rsid w:val="00AD2F9F"/>
    <w:rsid w:val="00AD3FEB"/>
    <w:rsid w:val="00AD4230"/>
    <w:rsid w:val="00AD47A7"/>
    <w:rsid w:val="00AD4B45"/>
    <w:rsid w:val="00AD5C64"/>
    <w:rsid w:val="00AD5F90"/>
    <w:rsid w:val="00AD5FDA"/>
    <w:rsid w:val="00AD6EF8"/>
    <w:rsid w:val="00AE064F"/>
    <w:rsid w:val="00AE089A"/>
    <w:rsid w:val="00AE0C30"/>
    <w:rsid w:val="00AE1826"/>
    <w:rsid w:val="00AE1A81"/>
    <w:rsid w:val="00AE3050"/>
    <w:rsid w:val="00AE4CB6"/>
    <w:rsid w:val="00AE604F"/>
    <w:rsid w:val="00AE6393"/>
    <w:rsid w:val="00AE6769"/>
    <w:rsid w:val="00AE76C5"/>
    <w:rsid w:val="00AF02EC"/>
    <w:rsid w:val="00AF058C"/>
    <w:rsid w:val="00AF0CBF"/>
    <w:rsid w:val="00AF120E"/>
    <w:rsid w:val="00AF12AE"/>
    <w:rsid w:val="00AF20D1"/>
    <w:rsid w:val="00AF257F"/>
    <w:rsid w:val="00AF2E63"/>
    <w:rsid w:val="00AF2F6C"/>
    <w:rsid w:val="00AF3184"/>
    <w:rsid w:val="00AF33CF"/>
    <w:rsid w:val="00AF4B0E"/>
    <w:rsid w:val="00AF4D50"/>
    <w:rsid w:val="00AF6179"/>
    <w:rsid w:val="00AF66D8"/>
    <w:rsid w:val="00AF6DCC"/>
    <w:rsid w:val="00AF72C4"/>
    <w:rsid w:val="00AF79A6"/>
    <w:rsid w:val="00AF7DE1"/>
    <w:rsid w:val="00AF7FFA"/>
    <w:rsid w:val="00B005DB"/>
    <w:rsid w:val="00B01417"/>
    <w:rsid w:val="00B018A3"/>
    <w:rsid w:val="00B0207F"/>
    <w:rsid w:val="00B02954"/>
    <w:rsid w:val="00B02AEF"/>
    <w:rsid w:val="00B04F27"/>
    <w:rsid w:val="00B04F61"/>
    <w:rsid w:val="00B051F2"/>
    <w:rsid w:val="00B058F8"/>
    <w:rsid w:val="00B05C80"/>
    <w:rsid w:val="00B060F4"/>
    <w:rsid w:val="00B069AC"/>
    <w:rsid w:val="00B06DA2"/>
    <w:rsid w:val="00B074C9"/>
    <w:rsid w:val="00B07967"/>
    <w:rsid w:val="00B12900"/>
    <w:rsid w:val="00B1295A"/>
    <w:rsid w:val="00B13EA7"/>
    <w:rsid w:val="00B146C8"/>
    <w:rsid w:val="00B14722"/>
    <w:rsid w:val="00B15822"/>
    <w:rsid w:val="00B1748A"/>
    <w:rsid w:val="00B17BCD"/>
    <w:rsid w:val="00B20A27"/>
    <w:rsid w:val="00B20A45"/>
    <w:rsid w:val="00B20B95"/>
    <w:rsid w:val="00B2194D"/>
    <w:rsid w:val="00B21EEE"/>
    <w:rsid w:val="00B21F4F"/>
    <w:rsid w:val="00B22C5C"/>
    <w:rsid w:val="00B23DA2"/>
    <w:rsid w:val="00B243C1"/>
    <w:rsid w:val="00B24F30"/>
    <w:rsid w:val="00B25AB6"/>
    <w:rsid w:val="00B25E63"/>
    <w:rsid w:val="00B26292"/>
    <w:rsid w:val="00B26EEC"/>
    <w:rsid w:val="00B27815"/>
    <w:rsid w:val="00B31ABF"/>
    <w:rsid w:val="00B31DF8"/>
    <w:rsid w:val="00B31ED9"/>
    <w:rsid w:val="00B32AA4"/>
    <w:rsid w:val="00B33049"/>
    <w:rsid w:val="00B33080"/>
    <w:rsid w:val="00B33AF9"/>
    <w:rsid w:val="00B33BE3"/>
    <w:rsid w:val="00B33E50"/>
    <w:rsid w:val="00B34EE3"/>
    <w:rsid w:val="00B35448"/>
    <w:rsid w:val="00B35A18"/>
    <w:rsid w:val="00B36FD8"/>
    <w:rsid w:val="00B37F3E"/>
    <w:rsid w:val="00B40843"/>
    <w:rsid w:val="00B41D06"/>
    <w:rsid w:val="00B43221"/>
    <w:rsid w:val="00B43354"/>
    <w:rsid w:val="00B43756"/>
    <w:rsid w:val="00B43BFC"/>
    <w:rsid w:val="00B44A58"/>
    <w:rsid w:val="00B44F97"/>
    <w:rsid w:val="00B45195"/>
    <w:rsid w:val="00B4533E"/>
    <w:rsid w:val="00B455F5"/>
    <w:rsid w:val="00B4573B"/>
    <w:rsid w:val="00B4596B"/>
    <w:rsid w:val="00B45E35"/>
    <w:rsid w:val="00B47627"/>
    <w:rsid w:val="00B476E2"/>
    <w:rsid w:val="00B476EA"/>
    <w:rsid w:val="00B47CD9"/>
    <w:rsid w:val="00B50130"/>
    <w:rsid w:val="00B51B09"/>
    <w:rsid w:val="00B52902"/>
    <w:rsid w:val="00B52E53"/>
    <w:rsid w:val="00B53B5D"/>
    <w:rsid w:val="00B5415E"/>
    <w:rsid w:val="00B55FB5"/>
    <w:rsid w:val="00B56E2E"/>
    <w:rsid w:val="00B6055E"/>
    <w:rsid w:val="00B60863"/>
    <w:rsid w:val="00B617F0"/>
    <w:rsid w:val="00B61EDF"/>
    <w:rsid w:val="00B6317D"/>
    <w:rsid w:val="00B65591"/>
    <w:rsid w:val="00B663FA"/>
    <w:rsid w:val="00B66836"/>
    <w:rsid w:val="00B669F9"/>
    <w:rsid w:val="00B672E4"/>
    <w:rsid w:val="00B67CE7"/>
    <w:rsid w:val="00B67E2C"/>
    <w:rsid w:val="00B70D52"/>
    <w:rsid w:val="00B7181A"/>
    <w:rsid w:val="00B7182C"/>
    <w:rsid w:val="00B7255B"/>
    <w:rsid w:val="00B7358E"/>
    <w:rsid w:val="00B744C4"/>
    <w:rsid w:val="00B7585A"/>
    <w:rsid w:val="00B76074"/>
    <w:rsid w:val="00B76C43"/>
    <w:rsid w:val="00B76D6C"/>
    <w:rsid w:val="00B7709B"/>
    <w:rsid w:val="00B7723F"/>
    <w:rsid w:val="00B772D9"/>
    <w:rsid w:val="00B7761A"/>
    <w:rsid w:val="00B776C0"/>
    <w:rsid w:val="00B80534"/>
    <w:rsid w:val="00B8053A"/>
    <w:rsid w:val="00B810E4"/>
    <w:rsid w:val="00B815DA"/>
    <w:rsid w:val="00B81A38"/>
    <w:rsid w:val="00B81FD6"/>
    <w:rsid w:val="00B820E1"/>
    <w:rsid w:val="00B82572"/>
    <w:rsid w:val="00B825A2"/>
    <w:rsid w:val="00B82B39"/>
    <w:rsid w:val="00B8347B"/>
    <w:rsid w:val="00B842C7"/>
    <w:rsid w:val="00B8433C"/>
    <w:rsid w:val="00B844A9"/>
    <w:rsid w:val="00B84887"/>
    <w:rsid w:val="00B84F2F"/>
    <w:rsid w:val="00B850C2"/>
    <w:rsid w:val="00B85B4B"/>
    <w:rsid w:val="00B863F0"/>
    <w:rsid w:val="00B86772"/>
    <w:rsid w:val="00B86BAC"/>
    <w:rsid w:val="00B87491"/>
    <w:rsid w:val="00B8750D"/>
    <w:rsid w:val="00B87596"/>
    <w:rsid w:val="00B87B97"/>
    <w:rsid w:val="00B90EA7"/>
    <w:rsid w:val="00B92232"/>
    <w:rsid w:val="00B922C2"/>
    <w:rsid w:val="00B92E38"/>
    <w:rsid w:val="00B93237"/>
    <w:rsid w:val="00B9378E"/>
    <w:rsid w:val="00B93A33"/>
    <w:rsid w:val="00B95F1C"/>
    <w:rsid w:val="00B97400"/>
    <w:rsid w:val="00B97C6F"/>
    <w:rsid w:val="00BA03A5"/>
    <w:rsid w:val="00BA09C9"/>
    <w:rsid w:val="00BA0E95"/>
    <w:rsid w:val="00BA12C6"/>
    <w:rsid w:val="00BA1CF3"/>
    <w:rsid w:val="00BA29C4"/>
    <w:rsid w:val="00BA29E9"/>
    <w:rsid w:val="00BA624E"/>
    <w:rsid w:val="00BA63D2"/>
    <w:rsid w:val="00BA6F0D"/>
    <w:rsid w:val="00BA7142"/>
    <w:rsid w:val="00BA7AEC"/>
    <w:rsid w:val="00BA7F10"/>
    <w:rsid w:val="00BB03A5"/>
    <w:rsid w:val="00BB069D"/>
    <w:rsid w:val="00BB0D90"/>
    <w:rsid w:val="00BB237C"/>
    <w:rsid w:val="00BB2464"/>
    <w:rsid w:val="00BB24E9"/>
    <w:rsid w:val="00BB2563"/>
    <w:rsid w:val="00BB2CA3"/>
    <w:rsid w:val="00BB2E07"/>
    <w:rsid w:val="00BB2FE4"/>
    <w:rsid w:val="00BB32B2"/>
    <w:rsid w:val="00BB385F"/>
    <w:rsid w:val="00BB41A3"/>
    <w:rsid w:val="00BB702C"/>
    <w:rsid w:val="00BB7DA9"/>
    <w:rsid w:val="00BC03CE"/>
    <w:rsid w:val="00BC110D"/>
    <w:rsid w:val="00BC2F7E"/>
    <w:rsid w:val="00BC32DC"/>
    <w:rsid w:val="00BC35B6"/>
    <w:rsid w:val="00BC46AA"/>
    <w:rsid w:val="00BC4CA4"/>
    <w:rsid w:val="00BC526B"/>
    <w:rsid w:val="00BC55FF"/>
    <w:rsid w:val="00BC5FAD"/>
    <w:rsid w:val="00BC6096"/>
    <w:rsid w:val="00BC65D3"/>
    <w:rsid w:val="00BC6B79"/>
    <w:rsid w:val="00BC77F9"/>
    <w:rsid w:val="00BD0358"/>
    <w:rsid w:val="00BD0522"/>
    <w:rsid w:val="00BD076B"/>
    <w:rsid w:val="00BD0E5D"/>
    <w:rsid w:val="00BD1B51"/>
    <w:rsid w:val="00BD1E63"/>
    <w:rsid w:val="00BD2C42"/>
    <w:rsid w:val="00BD2E79"/>
    <w:rsid w:val="00BD4596"/>
    <w:rsid w:val="00BD5C8D"/>
    <w:rsid w:val="00BD645B"/>
    <w:rsid w:val="00BE0B22"/>
    <w:rsid w:val="00BE1405"/>
    <w:rsid w:val="00BE1D28"/>
    <w:rsid w:val="00BE1E19"/>
    <w:rsid w:val="00BE312D"/>
    <w:rsid w:val="00BE37A8"/>
    <w:rsid w:val="00BE4105"/>
    <w:rsid w:val="00BE49BE"/>
    <w:rsid w:val="00BE4E6D"/>
    <w:rsid w:val="00BE59BF"/>
    <w:rsid w:val="00BE59CC"/>
    <w:rsid w:val="00BE5F8A"/>
    <w:rsid w:val="00BE6C8F"/>
    <w:rsid w:val="00BE6F2A"/>
    <w:rsid w:val="00BE735A"/>
    <w:rsid w:val="00BE74F5"/>
    <w:rsid w:val="00BE79A6"/>
    <w:rsid w:val="00BF0C86"/>
    <w:rsid w:val="00BF1049"/>
    <w:rsid w:val="00BF1C20"/>
    <w:rsid w:val="00BF2004"/>
    <w:rsid w:val="00BF2DF0"/>
    <w:rsid w:val="00BF335A"/>
    <w:rsid w:val="00BF38B4"/>
    <w:rsid w:val="00BF4951"/>
    <w:rsid w:val="00BF5A16"/>
    <w:rsid w:val="00BF6D99"/>
    <w:rsid w:val="00BF7F13"/>
    <w:rsid w:val="00C01D80"/>
    <w:rsid w:val="00C026D3"/>
    <w:rsid w:val="00C028C9"/>
    <w:rsid w:val="00C02C6C"/>
    <w:rsid w:val="00C03433"/>
    <w:rsid w:val="00C0395B"/>
    <w:rsid w:val="00C03F95"/>
    <w:rsid w:val="00C047FA"/>
    <w:rsid w:val="00C057D7"/>
    <w:rsid w:val="00C05B6F"/>
    <w:rsid w:val="00C075F1"/>
    <w:rsid w:val="00C10578"/>
    <w:rsid w:val="00C124BC"/>
    <w:rsid w:val="00C13410"/>
    <w:rsid w:val="00C135BC"/>
    <w:rsid w:val="00C15280"/>
    <w:rsid w:val="00C15A2C"/>
    <w:rsid w:val="00C15C95"/>
    <w:rsid w:val="00C16BD3"/>
    <w:rsid w:val="00C20159"/>
    <w:rsid w:val="00C209E9"/>
    <w:rsid w:val="00C225F1"/>
    <w:rsid w:val="00C22818"/>
    <w:rsid w:val="00C23B9B"/>
    <w:rsid w:val="00C23E3B"/>
    <w:rsid w:val="00C249FB"/>
    <w:rsid w:val="00C2523F"/>
    <w:rsid w:val="00C25632"/>
    <w:rsid w:val="00C2596A"/>
    <w:rsid w:val="00C25CF3"/>
    <w:rsid w:val="00C25D66"/>
    <w:rsid w:val="00C2671C"/>
    <w:rsid w:val="00C26D5A"/>
    <w:rsid w:val="00C27537"/>
    <w:rsid w:val="00C27F24"/>
    <w:rsid w:val="00C318D5"/>
    <w:rsid w:val="00C320E1"/>
    <w:rsid w:val="00C322D1"/>
    <w:rsid w:val="00C325FF"/>
    <w:rsid w:val="00C328FE"/>
    <w:rsid w:val="00C32A45"/>
    <w:rsid w:val="00C32FE3"/>
    <w:rsid w:val="00C33126"/>
    <w:rsid w:val="00C33507"/>
    <w:rsid w:val="00C335CC"/>
    <w:rsid w:val="00C33C2F"/>
    <w:rsid w:val="00C33D66"/>
    <w:rsid w:val="00C3440A"/>
    <w:rsid w:val="00C348E2"/>
    <w:rsid w:val="00C34A3B"/>
    <w:rsid w:val="00C360B8"/>
    <w:rsid w:val="00C36103"/>
    <w:rsid w:val="00C3612C"/>
    <w:rsid w:val="00C368AE"/>
    <w:rsid w:val="00C377B8"/>
    <w:rsid w:val="00C377DB"/>
    <w:rsid w:val="00C40A59"/>
    <w:rsid w:val="00C413AD"/>
    <w:rsid w:val="00C4217D"/>
    <w:rsid w:val="00C4231A"/>
    <w:rsid w:val="00C42F88"/>
    <w:rsid w:val="00C4377B"/>
    <w:rsid w:val="00C4409D"/>
    <w:rsid w:val="00C445EA"/>
    <w:rsid w:val="00C44E68"/>
    <w:rsid w:val="00C44E72"/>
    <w:rsid w:val="00C44FA3"/>
    <w:rsid w:val="00C45A06"/>
    <w:rsid w:val="00C46F65"/>
    <w:rsid w:val="00C47186"/>
    <w:rsid w:val="00C47E5B"/>
    <w:rsid w:val="00C50165"/>
    <w:rsid w:val="00C51A6E"/>
    <w:rsid w:val="00C5227E"/>
    <w:rsid w:val="00C534F0"/>
    <w:rsid w:val="00C53DD7"/>
    <w:rsid w:val="00C53E2F"/>
    <w:rsid w:val="00C53F00"/>
    <w:rsid w:val="00C5464B"/>
    <w:rsid w:val="00C55AEF"/>
    <w:rsid w:val="00C56FCB"/>
    <w:rsid w:val="00C61E4B"/>
    <w:rsid w:val="00C62387"/>
    <w:rsid w:val="00C62A45"/>
    <w:rsid w:val="00C64BFF"/>
    <w:rsid w:val="00C658F6"/>
    <w:rsid w:val="00C66289"/>
    <w:rsid w:val="00C67329"/>
    <w:rsid w:val="00C679C4"/>
    <w:rsid w:val="00C679D0"/>
    <w:rsid w:val="00C67A6D"/>
    <w:rsid w:val="00C704E9"/>
    <w:rsid w:val="00C70B92"/>
    <w:rsid w:val="00C70C01"/>
    <w:rsid w:val="00C70F82"/>
    <w:rsid w:val="00C724CD"/>
    <w:rsid w:val="00C725AF"/>
    <w:rsid w:val="00C7317F"/>
    <w:rsid w:val="00C73965"/>
    <w:rsid w:val="00C739CE"/>
    <w:rsid w:val="00C751A8"/>
    <w:rsid w:val="00C75731"/>
    <w:rsid w:val="00C75A3A"/>
    <w:rsid w:val="00C763C9"/>
    <w:rsid w:val="00C7672B"/>
    <w:rsid w:val="00C77261"/>
    <w:rsid w:val="00C77AE0"/>
    <w:rsid w:val="00C80057"/>
    <w:rsid w:val="00C806FE"/>
    <w:rsid w:val="00C80B74"/>
    <w:rsid w:val="00C81B7F"/>
    <w:rsid w:val="00C81BFD"/>
    <w:rsid w:val="00C82232"/>
    <w:rsid w:val="00C8269E"/>
    <w:rsid w:val="00C82913"/>
    <w:rsid w:val="00C843C3"/>
    <w:rsid w:val="00C853A2"/>
    <w:rsid w:val="00C87B2D"/>
    <w:rsid w:val="00C87F6D"/>
    <w:rsid w:val="00C87FB7"/>
    <w:rsid w:val="00C90A90"/>
    <w:rsid w:val="00C90C88"/>
    <w:rsid w:val="00C90EB5"/>
    <w:rsid w:val="00C90F12"/>
    <w:rsid w:val="00C9203D"/>
    <w:rsid w:val="00C9244C"/>
    <w:rsid w:val="00C92A69"/>
    <w:rsid w:val="00C92C1C"/>
    <w:rsid w:val="00C92DA3"/>
    <w:rsid w:val="00C932E9"/>
    <w:rsid w:val="00C94313"/>
    <w:rsid w:val="00C94DDA"/>
    <w:rsid w:val="00C95E9E"/>
    <w:rsid w:val="00C9603F"/>
    <w:rsid w:val="00C96463"/>
    <w:rsid w:val="00C972B1"/>
    <w:rsid w:val="00CA137C"/>
    <w:rsid w:val="00CA1990"/>
    <w:rsid w:val="00CA1B08"/>
    <w:rsid w:val="00CA1DB9"/>
    <w:rsid w:val="00CA1F10"/>
    <w:rsid w:val="00CA1FEC"/>
    <w:rsid w:val="00CA2CCE"/>
    <w:rsid w:val="00CA4050"/>
    <w:rsid w:val="00CA43FD"/>
    <w:rsid w:val="00CA44C7"/>
    <w:rsid w:val="00CA4A5A"/>
    <w:rsid w:val="00CA535F"/>
    <w:rsid w:val="00CA5617"/>
    <w:rsid w:val="00CA5B7C"/>
    <w:rsid w:val="00CA6288"/>
    <w:rsid w:val="00CA6587"/>
    <w:rsid w:val="00CA6A22"/>
    <w:rsid w:val="00CA6AB5"/>
    <w:rsid w:val="00CA6FB4"/>
    <w:rsid w:val="00CA7046"/>
    <w:rsid w:val="00CA75AC"/>
    <w:rsid w:val="00CA7AF9"/>
    <w:rsid w:val="00CA7EF8"/>
    <w:rsid w:val="00CB0159"/>
    <w:rsid w:val="00CB0AA8"/>
    <w:rsid w:val="00CB0CC4"/>
    <w:rsid w:val="00CB0D12"/>
    <w:rsid w:val="00CB0FE0"/>
    <w:rsid w:val="00CB19FD"/>
    <w:rsid w:val="00CB1F22"/>
    <w:rsid w:val="00CB2069"/>
    <w:rsid w:val="00CB2880"/>
    <w:rsid w:val="00CB2A2C"/>
    <w:rsid w:val="00CB2DD6"/>
    <w:rsid w:val="00CB3872"/>
    <w:rsid w:val="00CB4D5D"/>
    <w:rsid w:val="00CB549B"/>
    <w:rsid w:val="00CB68C2"/>
    <w:rsid w:val="00CB78E6"/>
    <w:rsid w:val="00CB7F44"/>
    <w:rsid w:val="00CC05D8"/>
    <w:rsid w:val="00CC099A"/>
    <w:rsid w:val="00CC0EC9"/>
    <w:rsid w:val="00CC257A"/>
    <w:rsid w:val="00CC29A8"/>
    <w:rsid w:val="00CC2D6E"/>
    <w:rsid w:val="00CC34B5"/>
    <w:rsid w:val="00CC3F8E"/>
    <w:rsid w:val="00CC42B3"/>
    <w:rsid w:val="00CC4381"/>
    <w:rsid w:val="00CC4722"/>
    <w:rsid w:val="00CC489B"/>
    <w:rsid w:val="00CC4D69"/>
    <w:rsid w:val="00CC6EC2"/>
    <w:rsid w:val="00CC6F72"/>
    <w:rsid w:val="00CD164B"/>
    <w:rsid w:val="00CD2BCD"/>
    <w:rsid w:val="00CD2FB3"/>
    <w:rsid w:val="00CD346D"/>
    <w:rsid w:val="00CD3A4C"/>
    <w:rsid w:val="00CD40AB"/>
    <w:rsid w:val="00CD42C7"/>
    <w:rsid w:val="00CD60F9"/>
    <w:rsid w:val="00CD61C7"/>
    <w:rsid w:val="00CD6990"/>
    <w:rsid w:val="00CD718B"/>
    <w:rsid w:val="00CD7F2A"/>
    <w:rsid w:val="00CE0B10"/>
    <w:rsid w:val="00CE0B36"/>
    <w:rsid w:val="00CE0FFF"/>
    <w:rsid w:val="00CE10E9"/>
    <w:rsid w:val="00CE20D7"/>
    <w:rsid w:val="00CE2910"/>
    <w:rsid w:val="00CE3407"/>
    <w:rsid w:val="00CE3685"/>
    <w:rsid w:val="00CE3C08"/>
    <w:rsid w:val="00CE42A4"/>
    <w:rsid w:val="00CE43E6"/>
    <w:rsid w:val="00CE4559"/>
    <w:rsid w:val="00CE4677"/>
    <w:rsid w:val="00CE5393"/>
    <w:rsid w:val="00CE53CC"/>
    <w:rsid w:val="00CE5AA7"/>
    <w:rsid w:val="00CE653A"/>
    <w:rsid w:val="00CE7B5A"/>
    <w:rsid w:val="00CF122E"/>
    <w:rsid w:val="00CF2F96"/>
    <w:rsid w:val="00CF36BE"/>
    <w:rsid w:val="00CF38EF"/>
    <w:rsid w:val="00CF3B8E"/>
    <w:rsid w:val="00CF3BA4"/>
    <w:rsid w:val="00CF415B"/>
    <w:rsid w:val="00CF4E6F"/>
    <w:rsid w:val="00CF5736"/>
    <w:rsid w:val="00CF6000"/>
    <w:rsid w:val="00CF6887"/>
    <w:rsid w:val="00CF6BD3"/>
    <w:rsid w:val="00CF701C"/>
    <w:rsid w:val="00CF763B"/>
    <w:rsid w:val="00CF78F1"/>
    <w:rsid w:val="00CF7EAE"/>
    <w:rsid w:val="00D003F3"/>
    <w:rsid w:val="00D00BD3"/>
    <w:rsid w:val="00D012C7"/>
    <w:rsid w:val="00D0282E"/>
    <w:rsid w:val="00D029FB"/>
    <w:rsid w:val="00D0309F"/>
    <w:rsid w:val="00D031D1"/>
    <w:rsid w:val="00D032D8"/>
    <w:rsid w:val="00D0364F"/>
    <w:rsid w:val="00D03EE1"/>
    <w:rsid w:val="00D051B3"/>
    <w:rsid w:val="00D0576A"/>
    <w:rsid w:val="00D05851"/>
    <w:rsid w:val="00D058E9"/>
    <w:rsid w:val="00D05C64"/>
    <w:rsid w:val="00D05FB9"/>
    <w:rsid w:val="00D06834"/>
    <w:rsid w:val="00D06871"/>
    <w:rsid w:val="00D06B04"/>
    <w:rsid w:val="00D06CD8"/>
    <w:rsid w:val="00D07576"/>
    <w:rsid w:val="00D076A6"/>
    <w:rsid w:val="00D101B3"/>
    <w:rsid w:val="00D104B5"/>
    <w:rsid w:val="00D105F7"/>
    <w:rsid w:val="00D1075B"/>
    <w:rsid w:val="00D10EB9"/>
    <w:rsid w:val="00D11A51"/>
    <w:rsid w:val="00D11D71"/>
    <w:rsid w:val="00D123A4"/>
    <w:rsid w:val="00D1556E"/>
    <w:rsid w:val="00D15880"/>
    <w:rsid w:val="00D15E78"/>
    <w:rsid w:val="00D16242"/>
    <w:rsid w:val="00D16259"/>
    <w:rsid w:val="00D167A0"/>
    <w:rsid w:val="00D175CE"/>
    <w:rsid w:val="00D17884"/>
    <w:rsid w:val="00D20240"/>
    <w:rsid w:val="00D20912"/>
    <w:rsid w:val="00D22A5C"/>
    <w:rsid w:val="00D23F9D"/>
    <w:rsid w:val="00D2487E"/>
    <w:rsid w:val="00D24B69"/>
    <w:rsid w:val="00D250C7"/>
    <w:rsid w:val="00D25E12"/>
    <w:rsid w:val="00D26974"/>
    <w:rsid w:val="00D2699E"/>
    <w:rsid w:val="00D308ED"/>
    <w:rsid w:val="00D316DA"/>
    <w:rsid w:val="00D31C3C"/>
    <w:rsid w:val="00D32696"/>
    <w:rsid w:val="00D329A0"/>
    <w:rsid w:val="00D332FB"/>
    <w:rsid w:val="00D33D95"/>
    <w:rsid w:val="00D348E1"/>
    <w:rsid w:val="00D34AB6"/>
    <w:rsid w:val="00D35024"/>
    <w:rsid w:val="00D35AB4"/>
    <w:rsid w:val="00D35D76"/>
    <w:rsid w:val="00D35F58"/>
    <w:rsid w:val="00D3652F"/>
    <w:rsid w:val="00D36622"/>
    <w:rsid w:val="00D366F0"/>
    <w:rsid w:val="00D36A92"/>
    <w:rsid w:val="00D36C06"/>
    <w:rsid w:val="00D36D86"/>
    <w:rsid w:val="00D378F7"/>
    <w:rsid w:val="00D37D25"/>
    <w:rsid w:val="00D37F3C"/>
    <w:rsid w:val="00D40A70"/>
    <w:rsid w:val="00D40BC4"/>
    <w:rsid w:val="00D417D4"/>
    <w:rsid w:val="00D41BE7"/>
    <w:rsid w:val="00D428AA"/>
    <w:rsid w:val="00D44F6C"/>
    <w:rsid w:val="00D451C0"/>
    <w:rsid w:val="00D4556E"/>
    <w:rsid w:val="00D457B7"/>
    <w:rsid w:val="00D45D32"/>
    <w:rsid w:val="00D45FB1"/>
    <w:rsid w:val="00D461F0"/>
    <w:rsid w:val="00D50554"/>
    <w:rsid w:val="00D50715"/>
    <w:rsid w:val="00D50A34"/>
    <w:rsid w:val="00D50EB6"/>
    <w:rsid w:val="00D51695"/>
    <w:rsid w:val="00D51BC3"/>
    <w:rsid w:val="00D51E5D"/>
    <w:rsid w:val="00D532D6"/>
    <w:rsid w:val="00D536C8"/>
    <w:rsid w:val="00D53EFA"/>
    <w:rsid w:val="00D53FCC"/>
    <w:rsid w:val="00D54739"/>
    <w:rsid w:val="00D54A4C"/>
    <w:rsid w:val="00D55057"/>
    <w:rsid w:val="00D55226"/>
    <w:rsid w:val="00D56088"/>
    <w:rsid w:val="00D56204"/>
    <w:rsid w:val="00D60C1B"/>
    <w:rsid w:val="00D62453"/>
    <w:rsid w:val="00D62DF7"/>
    <w:rsid w:val="00D63D89"/>
    <w:rsid w:val="00D64222"/>
    <w:rsid w:val="00D64C2A"/>
    <w:rsid w:val="00D65E77"/>
    <w:rsid w:val="00D66146"/>
    <w:rsid w:val="00D66C0B"/>
    <w:rsid w:val="00D7032A"/>
    <w:rsid w:val="00D71519"/>
    <w:rsid w:val="00D726B2"/>
    <w:rsid w:val="00D726DB"/>
    <w:rsid w:val="00D728F8"/>
    <w:rsid w:val="00D73F2E"/>
    <w:rsid w:val="00D74875"/>
    <w:rsid w:val="00D76281"/>
    <w:rsid w:val="00D76A1A"/>
    <w:rsid w:val="00D774D7"/>
    <w:rsid w:val="00D80BE1"/>
    <w:rsid w:val="00D80CE6"/>
    <w:rsid w:val="00D82CAE"/>
    <w:rsid w:val="00D834EE"/>
    <w:rsid w:val="00D8445C"/>
    <w:rsid w:val="00D8476D"/>
    <w:rsid w:val="00D85F3F"/>
    <w:rsid w:val="00D91137"/>
    <w:rsid w:val="00D91A52"/>
    <w:rsid w:val="00D91DEB"/>
    <w:rsid w:val="00D9212B"/>
    <w:rsid w:val="00D9228E"/>
    <w:rsid w:val="00D92292"/>
    <w:rsid w:val="00D945FA"/>
    <w:rsid w:val="00D9496A"/>
    <w:rsid w:val="00D94A7C"/>
    <w:rsid w:val="00D950E7"/>
    <w:rsid w:val="00D9570F"/>
    <w:rsid w:val="00D95896"/>
    <w:rsid w:val="00D95AF7"/>
    <w:rsid w:val="00D96656"/>
    <w:rsid w:val="00D96ABB"/>
    <w:rsid w:val="00D96FBF"/>
    <w:rsid w:val="00D9760F"/>
    <w:rsid w:val="00D97A6D"/>
    <w:rsid w:val="00DA04AB"/>
    <w:rsid w:val="00DA1588"/>
    <w:rsid w:val="00DA19D8"/>
    <w:rsid w:val="00DA1B66"/>
    <w:rsid w:val="00DA2C81"/>
    <w:rsid w:val="00DA3570"/>
    <w:rsid w:val="00DA3F17"/>
    <w:rsid w:val="00DA4665"/>
    <w:rsid w:val="00DA4A46"/>
    <w:rsid w:val="00DA52E5"/>
    <w:rsid w:val="00DA607B"/>
    <w:rsid w:val="00DA60E9"/>
    <w:rsid w:val="00DA66FA"/>
    <w:rsid w:val="00DA6DF3"/>
    <w:rsid w:val="00DA7AA9"/>
    <w:rsid w:val="00DB092E"/>
    <w:rsid w:val="00DB1F02"/>
    <w:rsid w:val="00DB2286"/>
    <w:rsid w:val="00DB2983"/>
    <w:rsid w:val="00DB336D"/>
    <w:rsid w:val="00DB381C"/>
    <w:rsid w:val="00DB38ED"/>
    <w:rsid w:val="00DB3A7C"/>
    <w:rsid w:val="00DB5141"/>
    <w:rsid w:val="00DB5BEE"/>
    <w:rsid w:val="00DB5F35"/>
    <w:rsid w:val="00DB7355"/>
    <w:rsid w:val="00DB77B8"/>
    <w:rsid w:val="00DB7C25"/>
    <w:rsid w:val="00DC0343"/>
    <w:rsid w:val="00DC0785"/>
    <w:rsid w:val="00DC079B"/>
    <w:rsid w:val="00DC0B08"/>
    <w:rsid w:val="00DC1257"/>
    <w:rsid w:val="00DC37EE"/>
    <w:rsid w:val="00DC3A9A"/>
    <w:rsid w:val="00DC3DC0"/>
    <w:rsid w:val="00DC3F53"/>
    <w:rsid w:val="00DC50ED"/>
    <w:rsid w:val="00DC5591"/>
    <w:rsid w:val="00DC5B2B"/>
    <w:rsid w:val="00DC5DE2"/>
    <w:rsid w:val="00DC644F"/>
    <w:rsid w:val="00DD214E"/>
    <w:rsid w:val="00DD2B47"/>
    <w:rsid w:val="00DD318D"/>
    <w:rsid w:val="00DD438C"/>
    <w:rsid w:val="00DD76CE"/>
    <w:rsid w:val="00DE125E"/>
    <w:rsid w:val="00DE1441"/>
    <w:rsid w:val="00DE3364"/>
    <w:rsid w:val="00DE346E"/>
    <w:rsid w:val="00DE3521"/>
    <w:rsid w:val="00DE3EC5"/>
    <w:rsid w:val="00DE5374"/>
    <w:rsid w:val="00DE5973"/>
    <w:rsid w:val="00DE7DBA"/>
    <w:rsid w:val="00DE7DCB"/>
    <w:rsid w:val="00DF0272"/>
    <w:rsid w:val="00DF0ACB"/>
    <w:rsid w:val="00DF0E29"/>
    <w:rsid w:val="00DF1360"/>
    <w:rsid w:val="00DF232C"/>
    <w:rsid w:val="00DF292E"/>
    <w:rsid w:val="00DF2A85"/>
    <w:rsid w:val="00DF2E12"/>
    <w:rsid w:val="00DF3C98"/>
    <w:rsid w:val="00DF512B"/>
    <w:rsid w:val="00DF514A"/>
    <w:rsid w:val="00DF5680"/>
    <w:rsid w:val="00DF5C61"/>
    <w:rsid w:val="00DF61EA"/>
    <w:rsid w:val="00DF6690"/>
    <w:rsid w:val="00DF6736"/>
    <w:rsid w:val="00DF6804"/>
    <w:rsid w:val="00DF6F58"/>
    <w:rsid w:val="00DF7101"/>
    <w:rsid w:val="00DF71C4"/>
    <w:rsid w:val="00DF73BB"/>
    <w:rsid w:val="00E00A19"/>
    <w:rsid w:val="00E01A03"/>
    <w:rsid w:val="00E01F88"/>
    <w:rsid w:val="00E027BD"/>
    <w:rsid w:val="00E027C6"/>
    <w:rsid w:val="00E02914"/>
    <w:rsid w:val="00E02A3B"/>
    <w:rsid w:val="00E02C4B"/>
    <w:rsid w:val="00E0358D"/>
    <w:rsid w:val="00E038A5"/>
    <w:rsid w:val="00E03AA5"/>
    <w:rsid w:val="00E04323"/>
    <w:rsid w:val="00E054AC"/>
    <w:rsid w:val="00E06DFE"/>
    <w:rsid w:val="00E070A2"/>
    <w:rsid w:val="00E076CE"/>
    <w:rsid w:val="00E10CCF"/>
    <w:rsid w:val="00E117AB"/>
    <w:rsid w:val="00E11E67"/>
    <w:rsid w:val="00E12526"/>
    <w:rsid w:val="00E12657"/>
    <w:rsid w:val="00E12717"/>
    <w:rsid w:val="00E12B65"/>
    <w:rsid w:val="00E13EE9"/>
    <w:rsid w:val="00E1444C"/>
    <w:rsid w:val="00E14451"/>
    <w:rsid w:val="00E14C45"/>
    <w:rsid w:val="00E14CB4"/>
    <w:rsid w:val="00E14DC3"/>
    <w:rsid w:val="00E176C9"/>
    <w:rsid w:val="00E17D51"/>
    <w:rsid w:val="00E17FE1"/>
    <w:rsid w:val="00E202C9"/>
    <w:rsid w:val="00E20517"/>
    <w:rsid w:val="00E20608"/>
    <w:rsid w:val="00E207FB"/>
    <w:rsid w:val="00E20AF5"/>
    <w:rsid w:val="00E20EC3"/>
    <w:rsid w:val="00E21BDC"/>
    <w:rsid w:val="00E21F88"/>
    <w:rsid w:val="00E227B7"/>
    <w:rsid w:val="00E22D0F"/>
    <w:rsid w:val="00E2421E"/>
    <w:rsid w:val="00E245E3"/>
    <w:rsid w:val="00E2480A"/>
    <w:rsid w:val="00E258E9"/>
    <w:rsid w:val="00E26400"/>
    <w:rsid w:val="00E2656A"/>
    <w:rsid w:val="00E266B2"/>
    <w:rsid w:val="00E26880"/>
    <w:rsid w:val="00E26E9E"/>
    <w:rsid w:val="00E270F4"/>
    <w:rsid w:val="00E2713F"/>
    <w:rsid w:val="00E27C5D"/>
    <w:rsid w:val="00E30CBE"/>
    <w:rsid w:val="00E31C55"/>
    <w:rsid w:val="00E3246B"/>
    <w:rsid w:val="00E3251D"/>
    <w:rsid w:val="00E32E33"/>
    <w:rsid w:val="00E33541"/>
    <w:rsid w:val="00E335D4"/>
    <w:rsid w:val="00E33AE7"/>
    <w:rsid w:val="00E34260"/>
    <w:rsid w:val="00E34BC4"/>
    <w:rsid w:val="00E3505B"/>
    <w:rsid w:val="00E35D4E"/>
    <w:rsid w:val="00E37166"/>
    <w:rsid w:val="00E3754F"/>
    <w:rsid w:val="00E37580"/>
    <w:rsid w:val="00E401BD"/>
    <w:rsid w:val="00E40EF7"/>
    <w:rsid w:val="00E412D0"/>
    <w:rsid w:val="00E41DEA"/>
    <w:rsid w:val="00E430C9"/>
    <w:rsid w:val="00E458CB"/>
    <w:rsid w:val="00E45B42"/>
    <w:rsid w:val="00E45EFE"/>
    <w:rsid w:val="00E5058A"/>
    <w:rsid w:val="00E508C4"/>
    <w:rsid w:val="00E5106A"/>
    <w:rsid w:val="00E5192E"/>
    <w:rsid w:val="00E51D11"/>
    <w:rsid w:val="00E51DDA"/>
    <w:rsid w:val="00E526D4"/>
    <w:rsid w:val="00E52AE2"/>
    <w:rsid w:val="00E5379B"/>
    <w:rsid w:val="00E53B97"/>
    <w:rsid w:val="00E53BDA"/>
    <w:rsid w:val="00E53DFA"/>
    <w:rsid w:val="00E5476B"/>
    <w:rsid w:val="00E5536F"/>
    <w:rsid w:val="00E553A3"/>
    <w:rsid w:val="00E56322"/>
    <w:rsid w:val="00E56340"/>
    <w:rsid w:val="00E56948"/>
    <w:rsid w:val="00E569AE"/>
    <w:rsid w:val="00E5785A"/>
    <w:rsid w:val="00E579DF"/>
    <w:rsid w:val="00E60060"/>
    <w:rsid w:val="00E6046D"/>
    <w:rsid w:val="00E60568"/>
    <w:rsid w:val="00E60982"/>
    <w:rsid w:val="00E60ED8"/>
    <w:rsid w:val="00E6149F"/>
    <w:rsid w:val="00E62C62"/>
    <w:rsid w:val="00E642CF"/>
    <w:rsid w:val="00E64E75"/>
    <w:rsid w:val="00E65307"/>
    <w:rsid w:val="00E654C1"/>
    <w:rsid w:val="00E65D97"/>
    <w:rsid w:val="00E6679A"/>
    <w:rsid w:val="00E6781F"/>
    <w:rsid w:val="00E707AA"/>
    <w:rsid w:val="00E712C8"/>
    <w:rsid w:val="00E713DE"/>
    <w:rsid w:val="00E71CE4"/>
    <w:rsid w:val="00E72574"/>
    <w:rsid w:val="00E72A5A"/>
    <w:rsid w:val="00E73354"/>
    <w:rsid w:val="00E74237"/>
    <w:rsid w:val="00E744B7"/>
    <w:rsid w:val="00E75045"/>
    <w:rsid w:val="00E7673A"/>
    <w:rsid w:val="00E80E0A"/>
    <w:rsid w:val="00E8138D"/>
    <w:rsid w:val="00E81774"/>
    <w:rsid w:val="00E818B2"/>
    <w:rsid w:val="00E81EC1"/>
    <w:rsid w:val="00E82599"/>
    <w:rsid w:val="00E826BB"/>
    <w:rsid w:val="00E83022"/>
    <w:rsid w:val="00E8342D"/>
    <w:rsid w:val="00E8499B"/>
    <w:rsid w:val="00E84C00"/>
    <w:rsid w:val="00E84F97"/>
    <w:rsid w:val="00E85299"/>
    <w:rsid w:val="00E8582D"/>
    <w:rsid w:val="00E85A71"/>
    <w:rsid w:val="00E85B3F"/>
    <w:rsid w:val="00E86709"/>
    <w:rsid w:val="00E86740"/>
    <w:rsid w:val="00E902BC"/>
    <w:rsid w:val="00E91009"/>
    <w:rsid w:val="00E91869"/>
    <w:rsid w:val="00E92349"/>
    <w:rsid w:val="00E9242D"/>
    <w:rsid w:val="00E92B72"/>
    <w:rsid w:val="00E93F3D"/>
    <w:rsid w:val="00E950B0"/>
    <w:rsid w:val="00E95B03"/>
    <w:rsid w:val="00E95B07"/>
    <w:rsid w:val="00E9608B"/>
    <w:rsid w:val="00E96DC7"/>
    <w:rsid w:val="00E97981"/>
    <w:rsid w:val="00EA0B77"/>
    <w:rsid w:val="00EA0CC7"/>
    <w:rsid w:val="00EA15FF"/>
    <w:rsid w:val="00EA1A3C"/>
    <w:rsid w:val="00EA1C1D"/>
    <w:rsid w:val="00EA2796"/>
    <w:rsid w:val="00EA29C2"/>
    <w:rsid w:val="00EA2A74"/>
    <w:rsid w:val="00EA31BA"/>
    <w:rsid w:val="00EA3AF2"/>
    <w:rsid w:val="00EA4499"/>
    <w:rsid w:val="00EA47DB"/>
    <w:rsid w:val="00EA5F79"/>
    <w:rsid w:val="00EA6324"/>
    <w:rsid w:val="00EA6D09"/>
    <w:rsid w:val="00EA6F86"/>
    <w:rsid w:val="00EA7442"/>
    <w:rsid w:val="00EB06CF"/>
    <w:rsid w:val="00EB0771"/>
    <w:rsid w:val="00EB0EEC"/>
    <w:rsid w:val="00EB0FD7"/>
    <w:rsid w:val="00EB13CC"/>
    <w:rsid w:val="00EB29AF"/>
    <w:rsid w:val="00EB29EA"/>
    <w:rsid w:val="00EB2ED4"/>
    <w:rsid w:val="00EB3020"/>
    <w:rsid w:val="00EB32ED"/>
    <w:rsid w:val="00EB34F4"/>
    <w:rsid w:val="00EB4E36"/>
    <w:rsid w:val="00EB50B5"/>
    <w:rsid w:val="00EB5255"/>
    <w:rsid w:val="00EB56DE"/>
    <w:rsid w:val="00EB59F1"/>
    <w:rsid w:val="00EB5C47"/>
    <w:rsid w:val="00EB5C53"/>
    <w:rsid w:val="00EB634C"/>
    <w:rsid w:val="00EB6533"/>
    <w:rsid w:val="00EB67FE"/>
    <w:rsid w:val="00EB6B7D"/>
    <w:rsid w:val="00EB6D21"/>
    <w:rsid w:val="00EB7440"/>
    <w:rsid w:val="00EB7607"/>
    <w:rsid w:val="00EB7DBD"/>
    <w:rsid w:val="00EC0D54"/>
    <w:rsid w:val="00EC1001"/>
    <w:rsid w:val="00EC2408"/>
    <w:rsid w:val="00EC24E9"/>
    <w:rsid w:val="00EC3F7C"/>
    <w:rsid w:val="00EC41AE"/>
    <w:rsid w:val="00EC4D77"/>
    <w:rsid w:val="00EC4F49"/>
    <w:rsid w:val="00EC6205"/>
    <w:rsid w:val="00EC7CF6"/>
    <w:rsid w:val="00ED03B6"/>
    <w:rsid w:val="00ED0639"/>
    <w:rsid w:val="00ED1224"/>
    <w:rsid w:val="00ED1391"/>
    <w:rsid w:val="00ED17EC"/>
    <w:rsid w:val="00ED278C"/>
    <w:rsid w:val="00ED395A"/>
    <w:rsid w:val="00ED3D56"/>
    <w:rsid w:val="00ED41B8"/>
    <w:rsid w:val="00ED6B91"/>
    <w:rsid w:val="00ED7B44"/>
    <w:rsid w:val="00ED7EBF"/>
    <w:rsid w:val="00EE0D65"/>
    <w:rsid w:val="00EE1078"/>
    <w:rsid w:val="00EE175A"/>
    <w:rsid w:val="00EE277A"/>
    <w:rsid w:val="00EE3197"/>
    <w:rsid w:val="00EE3355"/>
    <w:rsid w:val="00EE4017"/>
    <w:rsid w:val="00EE4D5F"/>
    <w:rsid w:val="00EE52EE"/>
    <w:rsid w:val="00EE5915"/>
    <w:rsid w:val="00EE771B"/>
    <w:rsid w:val="00EF00D2"/>
    <w:rsid w:val="00EF1062"/>
    <w:rsid w:val="00EF1829"/>
    <w:rsid w:val="00EF2298"/>
    <w:rsid w:val="00EF2965"/>
    <w:rsid w:val="00EF39E5"/>
    <w:rsid w:val="00EF415F"/>
    <w:rsid w:val="00EF4247"/>
    <w:rsid w:val="00EF4388"/>
    <w:rsid w:val="00EF4755"/>
    <w:rsid w:val="00EF52A5"/>
    <w:rsid w:val="00EF6A60"/>
    <w:rsid w:val="00EF6DE4"/>
    <w:rsid w:val="00EF7135"/>
    <w:rsid w:val="00EF7A0A"/>
    <w:rsid w:val="00F00AA8"/>
    <w:rsid w:val="00F01691"/>
    <w:rsid w:val="00F01919"/>
    <w:rsid w:val="00F01C25"/>
    <w:rsid w:val="00F027DB"/>
    <w:rsid w:val="00F02E16"/>
    <w:rsid w:val="00F03110"/>
    <w:rsid w:val="00F03E24"/>
    <w:rsid w:val="00F03E7D"/>
    <w:rsid w:val="00F0481B"/>
    <w:rsid w:val="00F05322"/>
    <w:rsid w:val="00F0554A"/>
    <w:rsid w:val="00F0588C"/>
    <w:rsid w:val="00F06911"/>
    <w:rsid w:val="00F07C87"/>
    <w:rsid w:val="00F1081E"/>
    <w:rsid w:val="00F11286"/>
    <w:rsid w:val="00F1152E"/>
    <w:rsid w:val="00F119A1"/>
    <w:rsid w:val="00F11E28"/>
    <w:rsid w:val="00F12426"/>
    <w:rsid w:val="00F1279C"/>
    <w:rsid w:val="00F134AC"/>
    <w:rsid w:val="00F1411E"/>
    <w:rsid w:val="00F14A7A"/>
    <w:rsid w:val="00F14C49"/>
    <w:rsid w:val="00F15249"/>
    <w:rsid w:val="00F160A6"/>
    <w:rsid w:val="00F1654D"/>
    <w:rsid w:val="00F22365"/>
    <w:rsid w:val="00F22985"/>
    <w:rsid w:val="00F22D61"/>
    <w:rsid w:val="00F24565"/>
    <w:rsid w:val="00F24A33"/>
    <w:rsid w:val="00F24E6C"/>
    <w:rsid w:val="00F251A9"/>
    <w:rsid w:val="00F2521E"/>
    <w:rsid w:val="00F256FC"/>
    <w:rsid w:val="00F257C7"/>
    <w:rsid w:val="00F25897"/>
    <w:rsid w:val="00F260B4"/>
    <w:rsid w:val="00F265A7"/>
    <w:rsid w:val="00F27EE0"/>
    <w:rsid w:val="00F30224"/>
    <w:rsid w:val="00F306FF"/>
    <w:rsid w:val="00F30AC0"/>
    <w:rsid w:val="00F31C4D"/>
    <w:rsid w:val="00F32AF0"/>
    <w:rsid w:val="00F32E7F"/>
    <w:rsid w:val="00F332F2"/>
    <w:rsid w:val="00F337A4"/>
    <w:rsid w:val="00F337C9"/>
    <w:rsid w:val="00F3383E"/>
    <w:rsid w:val="00F33C3F"/>
    <w:rsid w:val="00F33FB0"/>
    <w:rsid w:val="00F3453F"/>
    <w:rsid w:val="00F35987"/>
    <w:rsid w:val="00F37B57"/>
    <w:rsid w:val="00F37DE1"/>
    <w:rsid w:val="00F4050A"/>
    <w:rsid w:val="00F411E8"/>
    <w:rsid w:val="00F413B5"/>
    <w:rsid w:val="00F42B00"/>
    <w:rsid w:val="00F43BFC"/>
    <w:rsid w:val="00F45108"/>
    <w:rsid w:val="00F45A9D"/>
    <w:rsid w:val="00F465A7"/>
    <w:rsid w:val="00F46A0F"/>
    <w:rsid w:val="00F47F2E"/>
    <w:rsid w:val="00F5073E"/>
    <w:rsid w:val="00F50B7C"/>
    <w:rsid w:val="00F518AA"/>
    <w:rsid w:val="00F550E6"/>
    <w:rsid w:val="00F554AE"/>
    <w:rsid w:val="00F558E1"/>
    <w:rsid w:val="00F55C54"/>
    <w:rsid w:val="00F564EC"/>
    <w:rsid w:val="00F56972"/>
    <w:rsid w:val="00F5709E"/>
    <w:rsid w:val="00F578A0"/>
    <w:rsid w:val="00F57AEC"/>
    <w:rsid w:val="00F607BE"/>
    <w:rsid w:val="00F6182C"/>
    <w:rsid w:val="00F61EAB"/>
    <w:rsid w:val="00F628FB"/>
    <w:rsid w:val="00F62E0D"/>
    <w:rsid w:val="00F634A2"/>
    <w:rsid w:val="00F637D7"/>
    <w:rsid w:val="00F64A8B"/>
    <w:rsid w:val="00F64CFF"/>
    <w:rsid w:val="00F66E4F"/>
    <w:rsid w:val="00F67467"/>
    <w:rsid w:val="00F67860"/>
    <w:rsid w:val="00F67BCA"/>
    <w:rsid w:val="00F67CEA"/>
    <w:rsid w:val="00F70796"/>
    <w:rsid w:val="00F72F7E"/>
    <w:rsid w:val="00F73438"/>
    <w:rsid w:val="00F73EDB"/>
    <w:rsid w:val="00F7433D"/>
    <w:rsid w:val="00F74345"/>
    <w:rsid w:val="00F805FE"/>
    <w:rsid w:val="00F80646"/>
    <w:rsid w:val="00F80A0A"/>
    <w:rsid w:val="00F82635"/>
    <w:rsid w:val="00F82B19"/>
    <w:rsid w:val="00F83212"/>
    <w:rsid w:val="00F834E2"/>
    <w:rsid w:val="00F83B75"/>
    <w:rsid w:val="00F83DB9"/>
    <w:rsid w:val="00F9104F"/>
    <w:rsid w:val="00F91ABC"/>
    <w:rsid w:val="00F91E96"/>
    <w:rsid w:val="00F9212D"/>
    <w:rsid w:val="00F92ADC"/>
    <w:rsid w:val="00F93030"/>
    <w:rsid w:val="00F94014"/>
    <w:rsid w:val="00F948FD"/>
    <w:rsid w:val="00F9536B"/>
    <w:rsid w:val="00F965DA"/>
    <w:rsid w:val="00F97081"/>
    <w:rsid w:val="00F97298"/>
    <w:rsid w:val="00F976EA"/>
    <w:rsid w:val="00F97B75"/>
    <w:rsid w:val="00FA0971"/>
    <w:rsid w:val="00FA0A87"/>
    <w:rsid w:val="00FA1777"/>
    <w:rsid w:val="00FA1B47"/>
    <w:rsid w:val="00FA1F0A"/>
    <w:rsid w:val="00FA2716"/>
    <w:rsid w:val="00FA324A"/>
    <w:rsid w:val="00FA3B7E"/>
    <w:rsid w:val="00FA406A"/>
    <w:rsid w:val="00FA4B8A"/>
    <w:rsid w:val="00FA55FF"/>
    <w:rsid w:val="00FA5A29"/>
    <w:rsid w:val="00FA5A7C"/>
    <w:rsid w:val="00FA5D95"/>
    <w:rsid w:val="00FA6255"/>
    <w:rsid w:val="00FA678C"/>
    <w:rsid w:val="00FA69C0"/>
    <w:rsid w:val="00FA6B40"/>
    <w:rsid w:val="00FA6C95"/>
    <w:rsid w:val="00FA761F"/>
    <w:rsid w:val="00FB0873"/>
    <w:rsid w:val="00FB20B0"/>
    <w:rsid w:val="00FB2105"/>
    <w:rsid w:val="00FB3037"/>
    <w:rsid w:val="00FB503A"/>
    <w:rsid w:val="00FB516C"/>
    <w:rsid w:val="00FB6E5B"/>
    <w:rsid w:val="00FB6FD9"/>
    <w:rsid w:val="00FB756C"/>
    <w:rsid w:val="00FB7B60"/>
    <w:rsid w:val="00FC17FD"/>
    <w:rsid w:val="00FC2CA2"/>
    <w:rsid w:val="00FC3387"/>
    <w:rsid w:val="00FC3B3D"/>
    <w:rsid w:val="00FC40AC"/>
    <w:rsid w:val="00FC433F"/>
    <w:rsid w:val="00FC4952"/>
    <w:rsid w:val="00FC543F"/>
    <w:rsid w:val="00FC58A7"/>
    <w:rsid w:val="00FC7C96"/>
    <w:rsid w:val="00FD0236"/>
    <w:rsid w:val="00FD0915"/>
    <w:rsid w:val="00FD18F4"/>
    <w:rsid w:val="00FD211D"/>
    <w:rsid w:val="00FD23DB"/>
    <w:rsid w:val="00FD31E3"/>
    <w:rsid w:val="00FD44A9"/>
    <w:rsid w:val="00FD45EE"/>
    <w:rsid w:val="00FD54DB"/>
    <w:rsid w:val="00FD619F"/>
    <w:rsid w:val="00FD6FA1"/>
    <w:rsid w:val="00FE26EC"/>
    <w:rsid w:val="00FE358A"/>
    <w:rsid w:val="00FE384F"/>
    <w:rsid w:val="00FE3975"/>
    <w:rsid w:val="00FE4A48"/>
    <w:rsid w:val="00FE7581"/>
    <w:rsid w:val="00FE7D80"/>
    <w:rsid w:val="00FF17BE"/>
    <w:rsid w:val="00FF215F"/>
    <w:rsid w:val="00FF2C08"/>
    <w:rsid w:val="00FF2FEB"/>
    <w:rsid w:val="00FF312F"/>
    <w:rsid w:val="00FF4571"/>
    <w:rsid w:val="00FF5475"/>
    <w:rsid w:val="00FF56BC"/>
    <w:rsid w:val="00FF58C5"/>
    <w:rsid w:val="00FF714A"/>
    <w:rsid w:val="00FF7AFE"/>
    <w:rsid w:val="00FF7C1A"/>
    <w:rsid w:val="00FF7D32"/>
    <w:rsid w:val="01290F7E"/>
    <w:rsid w:val="015D1E09"/>
    <w:rsid w:val="02697903"/>
    <w:rsid w:val="02F96569"/>
    <w:rsid w:val="03EA7B21"/>
    <w:rsid w:val="05F83EAE"/>
    <w:rsid w:val="063E7D85"/>
    <w:rsid w:val="07293586"/>
    <w:rsid w:val="07295285"/>
    <w:rsid w:val="07636392"/>
    <w:rsid w:val="07770C56"/>
    <w:rsid w:val="092217DD"/>
    <w:rsid w:val="093A7294"/>
    <w:rsid w:val="0A263993"/>
    <w:rsid w:val="0A2D3AC2"/>
    <w:rsid w:val="0AA755DF"/>
    <w:rsid w:val="0B120D44"/>
    <w:rsid w:val="0BD27BF6"/>
    <w:rsid w:val="0C3B3C7D"/>
    <w:rsid w:val="0CAB2EAE"/>
    <w:rsid w:val="0D621C7D"/>
    <w:rsid w:val="0E73034D"/>
    <w:rsid w:val="0F13775A"/>
    <w:rsid w:val="0F5F45FE"/>
    <w:rsid w:val="0F9A112B"/>
    <w:rsid w:val="106D2F64"/>
    <w:rsid w:val="10B63710"/>
    <w:rsid w:val="10F10820"/>
    <w:rsid w:val="111C2F7A"/>
    <w:rsid w:val="11665CA1"/>
    <w:rsid w:val="138515A7"/>
    <w:rsid w:val="13951726"/>
    <w:rsid w:val="14396509"/>
    <w:rsid w:val="14DD2C3C"/>
    <w:rsid w:val="16087E1D"/>
    <w:rsid w:val="17701D14"/>
    <w:rsid w:val="17735226"/>
    <w:rsid w:val="189F624C"/>
    <w:rsid w:val="1A1C66C0"/>
    <w:rsid w:val="1A42393B"/>
    <w:rsid w:val="1AAD45DE"/>
    <w:rsid w:val="1B046F80"/>
    <w:rsid w:val="1B3267B5"/>
    <w:rsid w:val="1B40161D"/>
    <w:rsid w:val="1B441859"/>
    <w:rsid w:val="1B6606B1"/>
    <w:rsid w:val="1C5E7925"/>
    <w:rsid w:val="1CFD070F"/>
    <w:rsid w:val="1D5F6196"/>
    <w:rsid w:val="1D6132A5"/>
    <w:rsid w:val="1D8E56D5"/>
    <w:rsid w:val="1E7A43DA"/>
    <w:rsid w:val="1FE7539E"/>
    <w:rsid w:val="20671BE0"/>
    <w:rsid w:val="20963CB8"/>
    <w:rsid w:val="20A81A1B"/>
    <w:rsid w:val="20B07FB6"/>
    <w:rsid w:val="20B646FB"/>
    <w:rsid w:val="213B74B1"/>
    <w:rsid w:val="215A2310"/>
    <w:rsid w:val="21DE318A"/>
    <w:rsid w:val="21EF5B80"/>
    <w:rsid w:val="22576990"/>
    <w:rsid w:val="22F47480"/>
    <w:rsid w:val="23DE1C48"/>
    <w:rsid w:val="240210CD"/>
    <w:rsid w:val="24BF09F7"/>
    <w:rsid w:val="252D53FE"/>
    <w:rsid w:val="25EC2D81"/>
    <w:rsid w:val="277057A2"/>
    <w:rsid w:val="29206EB8"/>
    <w:rsid w:val="29595666"/>
    <w:rsid w:val="29874881"/>
    <w:rsid w:val="29E325E0"/>
    <w:rsid w:val="2A452503"/>
    <w:rsid w:val="2BA936A8"/>
    <w:rsid w:val="2C315A5A"/>
    <w:rsid w:val="2C4B1C25"/>
    <w:rsid w:val="2D9E56F5"/>
    <w:rsid w:val="2E667F96"/>
    <w:rsid w:val="2E8226AB"/>
    <w:rsid w:val="2FD065E6"/>
    <w:rsid w:val="2FD96870"/>
    <w:rsid w:val="30580BC9"/>
    <w:rsid w:val="311E2ED7"/>
    <w:rsid w:val="315619EE"/>
    <w:rsid w:val="315C449C"/>
    <w:rsid w:val="31B82709"/>
    <w:rsid w:val="31D05482"/>
    <w:rsid w:val="32400B34"/>
    <w:rsid w:val="329E6876"/>
    <w:rsid w:val="333015F2"/>
    <w:rsid w:val="334B6320"/>
    <w:rsid w:val="33D934D4"/>
    <w:rsid w:val="33FE2F6A"/>
    <w:rsid w:val="340E07E5"/>
    <w:rsid w:val="34235BF7"/>
    <w:rsid w:val="358C5FA8"/>
    <w:rsid w:val="35C15DF1"/>
    <w:rsid w:val="36074A7F"/>
    <w:rsid w:val="36923549"/>
    <w:rsid w:val="36B75FBF"/>
    <w:rsid w:val="36BD0C45"/>
    <w:rsid w:val="37E00298"/>
    <w:rsid w:val="38B302F9"/>
    <w:rsid w:val="38F12CD3"/>
    <w:rsid w:val="38F94775"/>
    <w:rsid w:val="392971ED"/>
    <w:rsid w:val="39325651"/>
    <w:rsid w:val="3A872856"/>
    <w:rsid w:val="3B3763D1"/>
    <w:rsid w:val="3C2F6E1E"/>
    <w:rsid w:val="3C4F64BA"/>
    <w:rsid w:val="3CDA245A"/>
    <w:rsid w:val="3D1E06B7"/>
    <w:rsid w:val="3EDA0523"/>
    <w:rsid w:val="407A6407"/>
    <w:rsid w:val="4200449D"/>
    <w:rsid w:val="423A3BCC"/>
    <w:rsid w:val="424E57D2"/>
    <w:rsid w:val="42B26C49"/>
    <w:rsid w:val="433A6FE6"/>
    <w:rsid w:val="43480868"/>
    <w:rsid w:val="4350713C"/>
    <w:rsid w:val="436653E0"/>
    <w:rsid w:val="43C4431A"/>
    <w:rsid w:val="44B951CC"/>
    <w:rsid w:val="44CD14E0"/>
    <w:rsid w:val="44F20B0B"/>
    <w:rsid w:val="452E5F4C"/>
    <w:rsid w:val="45612018"/>
    <w:rsid w:val="458946E9"/>
    <w:rsid w:val="45A47C0E"/>
    <w:rsid w:val="46577FD6"/>
    <w:rsid w:val="46D955A7"/>
    <w:rsid w:val="47133957"/>
    <w:rsid w:val="47A07E0C"/>
    <w:rsid w:val="4870272E"/>
    <w:rsid w:val="49DC7715"/>
    <w:rsid w:val="4A023139"/>
    <w:rsid w:val="4A7B576F"/>
    <w:rsid w:val="4AF561A9"/>
    <w:rsid w:val="4C4A0649"/>
    <w:rsid w:val="4C7E5ECA"/>
    <w:rsid w:val="4C876AA5"/>
    <w:rsid w:val="4D0E00FB"/>
    <w:rsid w:val="4D176606"/>
    <w:rsid w:val="4DEC4FB0"/>
    <w:rsid w:val="4E075D8A"/>
    <w:rsid w:val="4EC00FAD"/>
    <w:rsid w:val="4F9843DC"/>
    <w:rsid w:val="4FC62A8C"/>
    <w:rsid w:val="4FE20F0D"/>
    <w:rsid w:val="4FE51552"/>
    <w:rsid w:val="50504C4B"/>
    <w:rsid w:val="509C6E7C"/>
    <w:rsid w:val="5162104E"/>
    <w:rsid w:val="52E634E1"/>
    <w:rsid w:val="53A039CC"/>
    <w:rsid w:val="53A1505A"/>
    <w:rsid w:val="54063E08"/>
    <w:rsid w:val="543437E8"/>
    <w:rsid w:val="54F73313"/>
    <w:rsid w:val="54F80955"/>
    <w:rsid w:val="555170A7"/>
    <w:rsid w:val="5587536D"/>
    <w:rsid w:val="559B174B"/>
    <w:rsid w:val="55CE0CF4"/>
    <w:rsid w:val="56B22A9C"/>
    <w:rsid w:val="57B72A76"/>
    <w:rsid w:val="57C3426C"/>
    <w:rsid w:val="57CE1F93"/>
    <w:rsid w:val="588743D1"/>
    <w:rsid w:val="5887701A"/>
    <w:rsid w:val="59C0439F"/>
    <w:rsid w:val="5ABE2233"/>
    <w:rsid w:val="5BDF5D95"/>
    <w:rsid w:val="5BFE7528"/>
    <w:rsid w:val="5E2467F1"/>
    <w:rsid w:val="5F1A2B43"/>
    <w:rsid w:val="5FB837BB"/>
    <w:rsid w:val="60CC405A"/>
    <w:rsid w:val="61E215D8"/>
    <w:rsid w:val="621B3775"/>
    <w:rsid w:val="62364782"/>
    <w:rsid w:val="6394356A"/>
    <w:rsid w:val="63C61B2C"/>
    <w:rsid w:val="63D40BE9"/>
    <w:rsid w:val="64102431"/>
    <w:rsid w:val="64A5243A"/>
    <w:rsid w:val="64D9450B"/>
    <w:rsid w:val="64F531DE"/>
    <w:rsid w:val="65373578"/>
    <w:rsid w:val="671F124A"/>
    <w:rsid w:val="677A33C6"/>
    <w:rsid w:val="681F6961"/>
    <w:rsid w:val="68610A2F"/>
    <w:rsid w:val="68805514"/>
    <w:rsid w:val="69316E2F"/>
    <w:rsid w:val="694E2071"/>
    <w:rsid w:val="69766163"/>
    <w:rsid w:val="697A3B33"/>
    <w:rsid w:val="69D44760"/>
    <w:rsid w:val="6A520EC7"/>
    <w:rsid w:val="6AF87E20"/>
    <w:rsid w:val="6B322639"/>
    <w:rsid w:val="6C636C38"/>
    <w:rsid w:val="6DB34098"/>
    <w:rsid w:val="6DB545B6"/>
    <w:rsid w:val="6DE02FB4"/>
    <w:rsid w:val="6E514CED"/>
    <w:rsid w:val="6EB563D5"/>
    <w:rsid w:val="6ED92677"/>
    <w:rsid w:val="6F225983"/>
    <w:rsid w:val="6FFC5590"/>
    <w:rsid w:val="706D1DD0"/>
    <w:rsid w:val="70856B87"/>
    <w:rsid w:val="70D527EE"/>
    <w:rsid w:val="715B5300"/>
    <w:rsid w:val="71D27F8A"/>
    <w:rsid w:val="72553024"/>
    <w:rsid w:val="73122968"/>
    <w:rsid w:val="731F5D5E"/>
    <w:rsid w:val="73C51AD5"/>
    <w:rsid w:val="741E793C"/>
    <w:rsid w:val="745E3944"/>
    <w:rsid w:val="7635099D"/>
    <w:rsid w:val="77762421"/>
    <w:rsid w:val="77B56B1F"/>
    <w:rsid w:val="780F09F4"/>
    <w:rsid w:val="78A90480"/>
    <w:rsid w:val="7A364017"/>
    <w:rsid w:val="7A8265E1"/>
    <w:rsid w:val="7B4C4C27"/>
    <w:rsid w:val="7B686D42"/>
    <w:rsid w:val="7B841746"/>
    <w:rsid w:val="7C6C5AC7"/>
    <w:rsid w:val="7CC6544B"/>
    <w:rsid w:val="7D0239FF"/>
    <w:rsid w:val="7D5E40CD"/>
    <w:rsid w:val="7DCD56F2"/>
    <w:rsid w:val="7F001CE7"/>
    <w:rsid w:val="7FE47E50"/>
  </w:rsids>
  <w:docVars>
    <w:docVar w:name="commondata" w:val="eyJoZGlkIjoiZmQ5NDk1NmUyYmExODY3NmE2MDQ0ZTdiNTAyMWRkMW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semiHidden="0"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locked="1" w:semiHidden="0" w:uiPriority="0" w:qFormat="1"/>
    <w:lsdException w:name="index 2" w:locked="1" w:semiHidden="0" w:uiPriority="0" w:unhideWhenUsed="0"/>
    <w:lsdException w:name="index 3" w:locked="1" w:semiHidden="0" w:uiPriority="0" w:unhideWhenUsed="0"/>
    <w:lsdException w:name="index 4" w:locked="1" w:semiHidden="0" w:uiPriority="0" w:unhideWhenUsed="0"/>
    <w:lsdException w:name="index 5" w:locked="1" w:semiHidden="0" w:uiPriority="0" w:unhideWhenUsed="0"/>
    <w:lsdException w:name="index 6" w:locked="1" w:semiHidden="0" w:uiPriority="0" w:unhideWhenUsed="0"/>
    <w:lsdException w:name="index 7" w:locked="1" w:semiHidden="0" w:uiPriority="0" w:unhideWhenUsed="0"/>
    <w:lsdException w:name="index 8" w:locked="1" w:semiHidden="0" w:uiPriority="0" w:unhideWhenUsed="0"/>
    <w:lsdException w:name="index 9" w:locked="1" w:semiHidden="0" w:uiPriority="0" w:unhideWhenUsed="0"/>
    <w:lsdException w:name="toc 1" w:locked="1" w:semiHidden="0" w:uiPriority="39" w:unhideWhenUsed="0" w:qFormat="1"/>
    <w:lsdException w:name="toc 2" w:locked="1" w:semiHidden="0" w:uiPriority="39" w:unhideWhenUsed="0" w:qFormat="1"/>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Normal Indent" w:locked="1" w:semiHidden="0" w:uiPriority="0" w:qFormat="1"/>
    <w:lsdException w:name="footnote text" w:locked="1" w:semiHidden="0" w:uiPriority="0" w:unhideWhenUsed="0"/>
    <w:lsdException w:name="annotation text" w:semiHidden="0" w:unhideWhenUsed="0" w:qFormat="1"/>
    <w:lsdException w:name="header" w:semiHidden="0" w:uiPriority="0" w:unhideWhenUsed="0" w:qFormat="1"/>
    <w:lsdException w:name="footer" w:semiHidden="0" w:unhideWhenUsed="0" w:qFormat="1"/>
    <w:lsdException w:name="index heading" w:locked="1" w:semiHidden="0" w:uiPriority="0" w:unhideWhenUsed="0"/>
    <w:lsdException w:name="caption" w:locked="1" w:uiPriority="0" w:qFormat="1"/>
    <w:lsdException w:name="table of figures" w:locked="1" w:semiHidden="0" w:uiPriority="0" w:unhideWhenUsed="0"/>
    <w:lsdException w:name="envelope address" w:locked="1" w:semiHidden="0" w:uiPriority="0" w:unhideWhenUsed="0"/>
    <w:lsdException w:name="envelope return" w:locked="1" w:semiHidden="0" w:uiPriority="0" w:unhideWhenUsed="0"/>
    <w:lsdException w:name="footnote reference" w:locked="1" w:semiHidden="0" w:uiPriority="0" w:unhideWhenUsed="0"/>
    <w:lsdException w:name="annotation reference" w:semiHidden="0" w:unhideWhenUsed="0" w:qFormat="1"/>
    <w:lsdException w:name="line number" w:locked="1" w:semiHidden="0" w:uiPriority="0" w:unhideWhenUsed="0"/>
    <w:lsdException w:name="page number" w:locked="1" w:semiHidden="0" w:uiPriority="0" w:unhideWhenUsed="0" w:qFormat="1"/>
    <w:lsdException w:name="endnote reference" w:locked="1" w:semiHidden="0" w:uiPriority="0" w:unhideWhenUsed="0"/>
    <w:lsdException w:name="endnote text" w:locked="1" w:semiHidden="0" w:uiPriority="0" w:unhideWhenUsed="0"/>
    <w:lsdException w:name="table of authorities" w:locked="1" w:semiHidden="0" w:uiPriority="0" w:unhideWhenUsed="0"/>
    <w:lsdException w:name="macro" w:locked="1" w:semiHidden="0" w:uiPriority="0" w:unhideWhenUsed="0"/>
    <w:lsdException w:name="toa heading" w:locked="1" w:semiHidden="0" w:uiPriority="0" w:unhideWhenUsed="0"/>
    <w:lsdException w:name="List" w:locked="1" w:semiHidden="0" w:uiPriority="0" w:qFormat="1"/>
    <w:lsdException w:name="List Bullet" w:locked="1" w:semiHidden="0" w:uiPriority="0" w:unhideWhenUsed="0"/>
    <w:lsdException w:name="List Number" w:locked="1" w:semiHidden="0" w:uiPriority="0" w:unhideWhenUsed="0"/>
    <w:lsdException w:name="List 2" w:locked="1" w:semiHidden="0" w:uiPriority="0" w:unhideWhenUsed="0"/>
    <w:lsdException w:name="List 3" w:locked="1" w:semiHidden="0" w:uiPriority="0" w:unhideWhenUsed="0"/>
    <w:lsdException w:name="List 4" w:locked="1" w:semiHidden="0" w:uiPriority="0" w:unhideWhenUsed="0"/>
    <w:lsdException w:name="List 5" w:locked="1" w:semiHidden="0" w:uiPriority="0" w:unhideWhenUsed="0"/>
    <w:lsdException w:name="List Bullet 2" w:locked="1" w:semiHidden="0" w:uiPriority="0" w:unhideWhenUsed="0"/>
    <w:lsdException w:name="List Bullet 3" w:locked="1" w:semiHidden="0" w:uiPriority="0" w:unhideWhenUsed="0"/>
    <w:lsdException w:name="List Bullet 4" w:locked="1" w:semiHidden="0" w:uiPriority="0" w:unhideWhenUsed="0"/>
    <w:lsdException w:name="List Bullet 5" w:locked="1" w:semiHidden="0" w:uiPriority="0" w:unhideWhenUsed="0"/>
    <w:lsdException w:name="List Number 2" w:locked="1" w:semiHidden="0" w:uiPriority="0" w:unhideWhenUsed="0"/>
    <w:lsdException w:name="List Number 3" w:locked="1" w:semiHidden="0" w:uiPriority="0" w:unhideWhenUsed="0"/>
    <w:lsdException w:name="List Number 4" w:locked="1" w:semiHidden="0" w:uiPriority="0" w:unhideWhenUsed="0"/>
    <w:lsdException w:name="List Number 5" w:locked="1" w:semiHidden="0" w:uiPriority="0" w:unhideWhenUsed="0"/>
    <w:lsdException w:name="Title" w:locked="1" w:semiHidden="0" w:uiPriority="0" w:unhideWhenUsed="0" w:qFormat="1"/>
    <w:lsdException w:name="Closing" w:locked="1" w:semiHidden="0" w:uiPriority="0" w:unhideWhenUsed="0"/>
    <w:lsdException w:name="Signature" w:locked="1" w:semiHidden="0" w:uiPriority="0" w:unhideWhenUsed="0"/>
    <w:lsdException w:name="Default Paragraph Font" w:uiPriority="1" w:qFormat="1"/>
    <w:lsdException w:name="Body Text" w:semiHidden="0" w:uiPriority="0" w:unhideWhenUsed="0" w:qFormat="1"/>
    <w:lsdException w:name="Body Text Indent" w:semiHidden="0" w:uiPriority="0" w:unhideWhenUsed="0" w:qFormat="1"/>
    <w:lsdException w:name="List Continue" w:locked="1" w:semiHidden="0" w:uiPriority="0" w:unhideWhenUsed="0"/>
    <w:lsdException w:name="List Continue 2" w:locked="1" w:semiHidden="0" w:uiPriority="0" w:unhideWhenUsed="0"/>
    <w:lsdException w:name="List Continue 3" w:locked="1" w:semiHidden="0" w:uiPriority="0" w:unhideWhenUsed="0"/>
    <w:lsdException w:name="List Continue 4" w:locked="1" w:semiHidden="0" w:uiPriority="0" w:unhideWhenUsed="0"/>
    <w:lsdException w:name="List Continue 5" w:locked="1" w:semiHidden="0" w:uiPriority="0" w:unhideWhenUsed="0"/>
    <w:lsdException w:name="Message Header" w:locked="1" w:semiHidden="0" w:uiPriority="0" w:unhideWhenUsed="0"/>
    <w:lsdException w:name="Subtitle" w:locked="1" w:semiHidden="0" w:uiPriority="0" w:unhideWhenUsed="0" w:qFormat="1"/>
    <w:lsdException w:name="Salutation" w:locked="1" w:semiHidden="0" w:uiPriority="0" w:unhideWhenUsed="0"/>
    <w:lsdException w:name="Date" w:semiHidden="0" w:uiPriority="0" w:unhideWhenUsed="0" w:qFormat="1"/>
    <w:lsdException w:name="Body Text First Indent" w:locked="1" w:semiHidden="0" w:qFormat="1"/>
    <w:lsdException w:name="Body Text First Indent 2" w:locked="1" w:semiHidden="0" w:uiPriority="0" w:unhideWhenUsed="0" w:qFormat="1"/>
    <w:lsdException w:name="Note Heading" w:locked="1" w:semiHidden="0" w:uiPriority="0" w:unhideWhenUsed="0"/>
    <w:lsdException w:name="Body Text 2" w:locked="1" w:semiHidden="0" w:uiPriority="0" w:qFormat="1"/>
    <w:lsdException w:name="Body Text 3" w:locked="1" w:semiHidden="0" w:uiPriority="0" w:qFormat="1"/>
    <w:lsdException w:name="Body Text Indent 2" w:locked="1" w:semiHidden="0" w:uiPriority="0" w:qFormat="1"/>
    <w:lsdException w:name="Body Text Indent 3" w:locked="1" w:semiHidden="0" w:uiPriority="0" w:qFormat="1"/>
    <w:lsdException w:name="Block Text" w:locked="1" w:semiHidden="0" w:uiPriority="0" w:unhideWhenUsed="0"/>
    <w:lsdException w:name="Hyperlink" w:locked="1" w:semiHidden="0" w:qFormat="1"/>
    <w:lsdException w:name="FollowedHyperlink" w:locked="1" w:semiHidden="0" w:qFormat="1"/>
    <w:lsdException w:name="Strong" w:locked="1" w:semiHidden="0" w:uiPriority="22" w:unhideWhenUsed="0" w:qFormat="1"/>
    <w:lsdException w:name="Emphasis" w:locked="1" w:semiHidden="0" w:uiPriority="20" w:unhideWhenUsed="0" w:qFormat="1"/>
    <w:lsdException w:name="Document Map" w:locked="1" w:semiHidden="0" w:uiPriority="0" w:qFormat="1"/>
    <w:lsdException w:name="Plain Text" w:locked="1" w:semiHidden="0" w:uiPriority="0" w:qFormat="1"/>
    <w:lsdException w:name="E-mail Signature" w:locked="1" w:semiHidden="0" w:uiPriority="0" w:unhideWhenUsed="0"/>
    <w:lsdException w:name="Normal (Web)" w:semiHidden="0" w:unhideWhenUsed="0" w:qFormat="1"/>
    <w:lsdException w:name="HTML Acronym" w:locked="1" w:semiHidden="0" w:uiPriority="0" w:unhideWhenUsed="0"/>
    <w:lsdException w:name="HTML Address" w:locked="1" w:semiHidden="0" w:uiPriority="0" w:unhideWhenUsed="0"/>
    <w:lsdException w:name="HTML Cite" w:locked="1" w:semiHidden="0" w:uiPriority="0" w:unhideWhenUsed="0"/>
    <w:lsdException w:name="HTML Code" w:locked="1" w:semiHidden="0" w:uiPriority="0" w:unhideWhenUsed="0"/>
    <w:lsdException w:name="HTML Definition" w:locked="1" w:semiHidden="0" w:uiPriority="0" w:unhideWhenUsed="0"/>
    <w:lsdException w:name="HTML Keyboard" w:locked="1" w:semiHidden="0" w:uiPriority="0" w:unhideWhenUsed="0"/>
    <w:lsdException w:name="HTML Preformatted" w:locked="1" w:semiHidden="0" w:uiPriority="0" w:qFormat="1"/>
    <w:lsdException w:name="HTML Sample" w:locked="1" w:semiHidden="0" w:uiPriority="0" w:unhideWhenUsed="0"/>
    <w:lsdException w:name="HTML Typewriter" w:locked="1" w:semiHidden="0" w:uiPriority="0" w:unhideWhenUsed="0"/>
    <w:lsdException w:name="HTML Variable" w:locked="1" w:semiHidden="0" w:uiPriority="0" w:unhideWhenUsed="0"/>
    <w:lsdException w:name="Normal Table" w:qFormat="1"/>
    <w:lsdException w:name="annotation subject" w:uiPriority="0" w:unhideWhenUsed="0" w:qFormat="1"/>
    <w:lsdException w:name="Table Simple 1" w:locked="1" w:semiHidden="0" w:uiPriority="0" w:unhideWhenUsed="0"/>
    <w:lsdException w:name="Table Simple 2" w:locked="1" w:semiHidden="0" w:uiPriority="0" w:unhideWhenUsed="0"/>
    <w:lsdException w:name="Table Simple 3" w:locked="1" w:semiHidden="0" w:uiPriority="0" w:unhideWhenUsed="0"/>
    <w:lsdException w:name="Table Classic 1" w:locked="1" w:semiHidden="0" w:uiPriority="0" w:unhideWhenUsed="0"/>
    <w:lsdException w:name="Table Classic 2" w:locked="1" w:semiHidden="0" w:uiPriority="0" w:unhideWhenUsed="0"/>
    <w:lsdException w:name="Table Classic 3" w:locked="1" w:semiHidden="0" w:uiPriority="0" w:unhideWhenUsed="0"/>
    <w:lsdException w:name="Table Classic 4" w:locked="1" w:semiHidden="0" w:uiPriority="0" w:unhideWhenUsed="0"/>
    <w:lsdException w:name="Table Colorful 1" w:locked="1" w:semiHidden="0" w:uiPriority="0" w:unhideWhenUsed="0"/>
    <w:lsdException w:name="Table Colorful 2" w:locked="1" w:semiHidden="0" w:uiPriority="0" w:unhideWhenUsed="0"/>
    <w:lsdException w:name="Table Colorful 3" w:locked="1" w:semiHidden="0" w:uiPriority="0" w:unhideWhenUsed="0"/>
    <w:lsdException w:name="Table Columns 1" w:locked="1" w:semiHidden="0" w:uiPriority="0" w:unhideWhenUsed="0"/>
    <w:lsdException w:name="Table Columns 2" w:locked="1" w:semiHidden="0" w:uiPriority="0" w:unhideWhenUsed="0"/>
    <w:lsdException w:name="Table Columns 3" w:locked="1" w:semiHidden="0" w:uiPriority="0" w:unhideWhenUsed="0"/>
    <w:lsdException w:name="Table Columns 4" w:locked="1" w:semiHidden="0" w:uiPriority="0" w:unhideWhenUsed="0"/>
    <w:lsdException w:name="Table Columns 5" w:locked="1" w:semiHidden="0" w:uiPriority="0" w:unhideWhenUsed="0"/>
    <w:lsdException w:name="Table Grid 1" w:locked="1" w:semiHidden="0" w:uiPriority="0" w:unhideWhenUsed="0"/>
    <w:lsdException w:name="Table Grid 2" w:locked="1" w:semiHidden="0" w:uiPriority="0" w:unhideWhenUsed="0"/>
    <w:lsdException w:name="Table Grid 3" w:locked="1" w:semiHidden="0" w:uiPriority="0" w:unhideWhenUsed="0"/>
    <w:lsdException w:name="Table Grid 4" w:locked="1" w:semiHidden="0" w:uiPriority="0" w:unhideWhenUsed="0"/>
    <w:lsdException w:name="Table Grid 5" w:locked="1" w:semiHidden="0" w:uiPriority="0" w:unhideWhenUsed="0"/>
    <w:lsdException w:name="Table Grid 6" w:locked="1" w:semiHidden="0" w:uiPriority="0" w:unhideWhenUsed="0"/>
    <w:lsdException w:name="Table Grid 7" w:locked="1" w:semiHidden="0" w:uiPriority="0" w:unhideWhenUsed="0"/>
    <w:lsdException w:name="Table Grid 8" w:locked="1" w:semiHidden="0" w:uiPriority="0" w:unhideWhenUsed="0"/>
    <w:lsdException w:name="Table List 1" w:locked="1" w:semiHidden="0" w:uiPriority="0" w:unhideWhenUsed="0"/>
    <w:lsdException w:name="Table List 2" w:locked="1" w:semiHidden="0" w:uiPriority="0" w:unhideWhenUsed="0"/>
    <w:lsdException w:name="Table List 3" w:locked="1" w:semiHidden="0" w:uiPriority="0" w:unhideWhenUsed="0"/>
    <w:lsdException w:name="Table List 4" w:locked="1" w:semiHidden="0" w:uiPriority="0" w:unhideWhenUsed="0"/>
    <w:lsdException w:name="Table List 5" w:locked="1" w:semiHidden="0" w:uiPriority="0" w:unhideWhenUsed="0"/>
    <w:lsdException w:name="Table List 6" w:locked="1" w:semiHidden="0" w:uiPriority="0" w:unhideWhenUsed="0"/>
    <w:lsdException w:name="Table List 7" w:locked="1" w:semiHidden="0" w:uiPriority="0" w:unhideWhenUsed="0"/>
    <w:lsdException w:name="Table List 8" w:locked="1" w:semiHidden="0" w:uiPriority="0" w:unhideWhenUsed="0"/>
    <w:lsdException w:name="Table 3D effects 1" w:locked="1" w:semiHidden="0" w:uiPriority="0" w:unhideWhenUsed="0"/>
    <w:lsdException w:name="Table 3D effects 2" w:locked="1" w:semiHidden="0" w:uiPriority="0" w:unhideWhenUsed="0"/>
    <w:lsdException w:name="Table 3D effects 3" w:locked="1" w:semiHidden="0" w:uiPriority="0" w:unhideWhenUsed="0"/>
    <w:lsdException w:name="Table Contemporary" w:locked="1" w:semiHidden="0" w:uiPriority="0" w:unhideWhenUsed="0"/>
    <w:lsdException w:name="Table Elegant" w:locked="1" w:semiHidden="0" w:uiPriority="0" w:unhideWhenUsed="0"/>
    <w:lsdException w:name="Table Professional" w:locked="1" w:semiHidden="0" w:uiPriority="0" w:unhideWhenUsed="0"/>
    <w:lsdException w:name="Table Subtle 1" w:locked="1" w:semiHidden="0" w:uiPriority="0" w:unhideWhenUsed="0"/>
    <w:lsdException w:name="Table Subtle 2" w:locked="1" w:semiHidden="0" w:uiPriority="0" w:unhideWhenUsed="0"/>
    <w:lsdException w:name="Table Web 1" w:locked="1" w:semiHidden="0" w:uiPriority="0" w:unhideWhenUsed="0"/>
    <w:lsdException w:name="Table Web 2" w:locked="1" w:semiHidden="0" w:uiPriority="0" w:unhideWhenUsed="0"/>
    <w:lsdException w:name="Table Web 3" w:locked="1" w:semiHidden="0" w:uiPriority="0" w:unhideWhenUsed="0"/>
    <w:lsdException w:name="Balloon Text" w:uiPriority="0" w:unhideWhenUsed="0" w:qFormat="1"/>
    <w:lsdException w:name="Table Grid" w:semiHidden="0" w:uiPriority="0" w:unhideWhenUsed="0" w:qFormat="1"/>
    <w:lsdException w:name="Table Theme" w:locked="1" w:semiHidden="0"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Char"/>
    <w:qFormat/>
    <w:locked/>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Heading2">
    <w:name w:val="heading 2"/>
    <w:basedOn w:val="Normal"/>
    <w:next w:val="Normal"/>
    <w:link w:val="2Char0"/>
    <w:semiHidden/>
    <w:unhideWhenUsed/>
    <w:qFormat/>
    <w:locked/>
    <w:pPr>
      <w:keepNext/>
      <w:keepLines/>
      <w:spacing w:before="260" w:after="260" w:line="412" w:lineRule="auto"/>
      <w:ind w:firstLine="200" w:firstLineChars="200"/>
      <w:outlineLvl w:val="1"/>
    </w:pPr>
    <w:rPr>
      <w:rFonts w:ascii="Arial" w:eastAsia="黑体" w:hAnsi="Arial"/>
      <w:b/>
      <w:kern w:val="0"/>
      <w:sz w:val="32"/>
      <w:szCs w:val="20"/>
    </w:rPr>
  </w:style>
  <w:style w:type="paragraph" w:styleId="Heading3">
    <w:name w:val="heading 3"/>
    <w:basedOn w:val="Normal"/>
    <w:next w:val="Normal"/>
    <w:link w:val="3Char"/>
    <w:semiHidden/>
    <w:unhideWhenUsed/>
    <w:qFormat/>
    <w:locked/>
    <w:pPr>
      <w:keepNext/>
      <w:keepLines/>
      <w:spacing w:before="260" w:after="260" w:line="412" w:lineRule="auto"/>
      <w:ind w:firstLine="200" w:firstLineChars="200"/>
      <w:outlineLvl w:val="2"/>
    </w:pPr>
    <w:rPr>
      <w:b/>
      <w:kern w:val="0"/>
      <w:sz w:val="32"/>
      <w:szCs w:val="20"/>
    </w:rPr>
  </w:style>
  <w:style w:type="paragraph" w:styleId="Heading4">
    <w:name w:val="heading 4"/>
    <w:basedOn w:val="Normal"/>
    <w:next w:val="Normal"/>
    <w:link w:val="4Char"/>
    <w:unhideWhenUsed/>
    <w:qFormat/>
    <w:locked/>
    <w:pPr>
      <w:keepNext/>
      <w:keepLines/>
      <w:spacing w:before="280" w:after="290" w:line="376" w:lineRule="auto"/>
      <w:outlineLvl w:val="3"/>
    </w:pPr>
    <w:rPr>
      <w:rFonts w:ascii="Cambria" w:hAnsi="Cambria"/>
      <w:b/>
      <w:bCs/>
      <w:sz w:val="28"/>
      <w:szCs w:val="28"/>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NormalIndent">
    <w:name w:val="Normal Indent"/>
    <w:basedOn w:val="Normal"/>
    <w:link w:val="Char15"/>
    <w:unhideWhenUsed/>
    <w:qFormat/>
    <w:locked/>
    <w:pPr>
      <w:spacing w:before="120" w:line="500" w:lineRule="exact"/>
      <w:ind w:firstLine="420"/>
    </w:pPr>
    <w:rPr>
      <w:rFonts w:ascii="Calibri" w:hAnsi="Calibri"/>
      <w:sz w:val="24"/>
      <w:szCs w:val="22"/>
    </w:rPr>
  </w:style>
  <w:style w:type="paragraph" w:styleId="Caption">
    <w:name w:val="caption"/>
    <w:basedOn w:val="Normal"/>
    <w:next w:val="Normal"/>
    <w:link w:val="Char16"/>
    <w:semiHidden/>
    <w:unhideWhenUsed/>
    <w:qFormat/>
    <w:locked/>
    <w:pPr>
      <w:spacing w:before="152" w:after="160"/>
    </w:pPr>
    <w:rPr>
      <w:rFonts w:ascii="Arial" w:eastAsia="黑体" w:hAnsi="Arial" w:cs="Arial"/>
      <w:szCs w:val="22"/>
    </w:rPr>
  </w:style>
  <w:style w:type="paragraph" w:styleId="DocumentMap">
    <w:name w:val="Document Map"/>
    <w:basedOn w:val="Normal"/>
    <w:link w:val="Char117"/>
    <w:unhideWhenUsed/>
    <w:qFormat/>
    <w:locked/>
    <w:pPr>
      <w:spacing w:line="360" w:lineRule="auto"/>
      <w:ind w:firstLine="200" w:firstLineChars="200"/>
    </w:pPr>
    <w:rPr>
      <w:rFonts w:ascii="宋体"/>
      <w:sz w:val="18"/>
      <w:szCs w:val="18"/>
    </w:rPr>
  </w:style>
  <w:style w:type="paragraph" w:styleId="CommentText">
    <w:name w:val="annotation text"/>
    <w:basedOn w:val="Normal"/>
    <w:link w:val="Char3"/>
    <w:uiPriority w:val="99"/>
    <w:qFormat/>
    <w:pPr>
      <w:jc w:val="left"/>
    </w:pPr>
    <w:rPr>
      <w:kern w:val="0"/>
      <w:sz w:val="24"/>
      <w:szCs w:val="20"/>
    </w:rPr>
  </w:style>
  <w:style w:type="paragraph" w:styleId="BodyText3">
    <w:name w:val="Body Text 3"/>
    <w:basedOn w:val="Normal"/>
    <w:link w:val="3Char10"/>
    <w:unhideWhenUsed/>
    <w:qFormat/>
    <w:locked/>
    <w:pPr>
      <w:spacing w:after="120" w:line="360" w:lineRule="auto"/>
      <w:ind w:firstLine="200" w:firstLineChars="200"/>
    </w:pPr>
    <w:rPr>
      <w:rFonts w:eastAsia="楷体_GB2312"/>
      <w:sz w:val="16"/>
      <w:szCs w:val="16"/>
    </w:rPr>
  </w:style>
  <w:style w:type="paragraph" w:styleId="BodyText">
    <w:name w:val="Body Text"/>
    <w:basedOn w:val="Normal"/>
    <w:link w:val="Char2"/>
    <w:qFormat/>
    <w:pPr>
      <w:widowControl/>
      <w:snapToGrid w:val="0"/>
      <w:spacing w:before="60" w:after="160" w:line="259" w:lineRule="auto"/>
      <w:ind w:right="113"/>
    </w:pPr>
    <w:rPr>
      <w:kern w:val="0"/>
      <w:sz w:val="18"/>
      <w:szCs w:val="20"/>
    </w:rPr>
  </w:style>
  <w:style w:type="paragraph" w:styleId="BodyTextIndent">
    <w:name w:val="Body Text Indent"/>
    <w:basedOn w:val="Normal"/>
    <w:link w:val="Char8"/>
    <w:qFormat/>
    <w:pPr>
      <w:spacing w:after="120"/>
      <w:ind w:left="420" w:leftChars="200"/>
    </w:pPr>
    <w:rPr>
      <w:kern w:val="0"/>
      <w:sz w:val="24"/>
      <w:szCs w:val="20"/>
    </w:rPr>
  </w:style>
  <w:style w:type="paragraph" w:styleId="PlainText">
    <w:name w:val="Plain Text"/>
    <w:basedOn w:val="Normal"/>
    <w:link w:val="Char26"/>
    <w:unhideWhenUsed/>
    <w:qFormat/>
    <w:locked/>
    <w:pPr>
      <w:spacing w:line="360" w:lineRule="auto"/>
    </w:pPr>
    <w:rPr>
      <w:rFonts w:ascii="宋体" w:hAnsi="Courier New"/>
      <w:szCs w:val="20"/>
    </w:rPr>
  </w:style>
  <w:style w:type="paragraph" w:styleId="Date">
    <w:name w:val="Date"/>
    <w:basedOn w:val="Normal"/>
    <w:next w:val="Normal"/>
    <w:link w:val="Char0"/>
    <w:qFormat/>
    <w:pPr>
      <w:ind w:left="100" w:leftChars="2500"/>
    </w:pPr>
    <w:rPr>
      <w:kern w:val="0"/>
      <w:sz w:val="24"/>
      <w:szCs w:val="20"/>
    </w:rPr>
  </w:style>
  <w:style w:type="paragraph" w:styleId="BodyTextIndent2">
    <w:name w:val="Body Text Indent 2"/>
    <w:basedOn w:val="Normal"/>
    <w:link w:val="2Char11"/>
    <w:unhideWhenUsed/>
    <w:qFormat/>
    <w:locked/>
    <w:pPr>
      <w:spacing w:after="120" w:line="480" w:lineRule="auto"/>
      <w:ind w:left="420" w:firstLine="200" w:leftChars="200" w:firstLineChars="200"/>
    </w:pPr>
    <w:rPr>
      <w:rFonts w:eastAsia="楷体_GB2312"/>
      <w:sz w:val="24"/>
    </w:rPr>
  </w:style>
  <w:style w:type="paragraph" w:styleId="BalloonText">
    <w:name w:val="Balloon Text"/>
    <w:basedOn w:val="Normal"/>
    <w:link w:val="Char5"/>
    <w:semiHidden/>
    <w:qFormat/>
    <w:rPr>
      <w:kern w:val="0"/>
      <w:sz w:val="18"/>
      <w:szCs w:val="20"/>
    </w:rPr>
  </w:style>
  <w:style w:type="paragraph" w:styleId="Footer">
    <w:name w:val="footer"/>
    <w:basedOn w:val="Normal"/>
    <w:link w:val="Char"/>
    <w:uiPriority w:val="99"/>
    <w:qFormat/>
    <w:pPr>
      <w:tabs>
        <w:tab w:val="center" w:pos="4153"/>
        <w:tab w:val="right" w:pos="8306"/>
      </w:tabs>
      <w:snapToGrid w:val="0"/>
      <w:jc w:val="left"/>
    </w:pPr>
    <w:rPr>
      <w:kern w:val="0"/>
      <w:sz w:val="18"/>
      <w:szCs w:val="20"/>
    </w:rPr>
  </w:style>
  <w:style w:type="paragraph" w:styleId="Header">
    <w:name w:val="header"/>
    <w:basedOn w:val="Normal"/>
    <w:link w:val="Char7"/>
    <w:qFormat/>
    <w:pPr>
      <w:pBdr>
        <w:bottom w:val="single" w:sz="6" w:space="1" w:color="auto"/>
      </w:pBdr>
      <w:tabs>
        <w:tab w:val="center" w:pos="4153"/>
        <w:tab w:val="right" w:pos="8306"/>
      </w:tabs>
      <w:snapToGrid w:val="0"/>
      <w:jc w:val="center"/>
    </w:pPr>
    <w:rPr>
      <w:kern w:val="0"/>
      <w:sz w:val="18"/>
      <w:szCs w:val="20"/>
    </w:rPr>
  </w:style>
  <w:style w:type="paragraph" w:styleId="TOC1">
    <w:name w:val="toc 1"/>
    <w:basedOn w:val="Normal"/>
    <w:next w:val="Normal"/>
    <w:uiPriority w:val="39"/>
    <w:qFormat/>
    <w:locked/>
  </w:style>
  <w:style w:type="paragraph" w:styleId="Subtitle">
    <w:name w:val="Subtitle"/>
    <w:basedOn w:val="Normal"/>
    <w:next w:val="Normal"/>
    <w:link w:val="Char17"/>
    <w:qFormat/>
    <w:locked/>
    <w:pPr>
      <w:spacing w:beforeLines="50" w:line="360" w:lineRule="auto"/>
      <w:jc w:val="center"/>
    </w:pPr>
    <w:rPr>
      <w:rFonts w:ascii="黑体" w:eastAsia="黑体" w:hAnsi="黑体"/>
      <w:bCs/>
      <w:kern w:val="28"/>
      <w:sz w:val="24"/>
      <w:szCs w:val="32"/>
    </w:rPr>
  </w:style>
  <w:style w:type="paragraph" w:styleId="List">
    <w:name w:val="List"/>
    <w:basedOn w:val="Normal"/>
    <w:unhideWhenUsed/>
    <w:qFormat/>
    <w:locked/>
    <w:pPr>
      <w:ind w:left="200" w:hanging="200" w:hangingChars="200"/>
    </w:pPr>
  </w:style>
  <w:style w:type="paragraph" w:styleId="BodyTextIndent3">
    <w:name w:val="Body Text Indent 3"/>
    <w:basedOn w:val="Normal"/>
    <w:link w:val="3Char11"/>
    <w:unhideWhenUsed/>
    <w:qFormat/>
    <w:locked/>
    <w:pPr>
      <w:spacing w:after="120" w:line="360" w:lineRule="auto"/>
      <w:ind w:left="420" w:firstLine="200" w:leftChars="200" w:firstLineChars="200"/>
    </w:pPr>
    <w:rPr>
      <w:sz w:val="16"/>
      <w:szCs w:val="16"/>
    </w:rPr>
  </w:style>
  <w:style w:type="paragraph" w:styleId="TOC2">
    <w:name w:val="toc 2"/>
    <w:basedOn w:val="Normal"/>
    <w:next w:val="Normal"/>
    <w:uiPriority w:val="39"/>
    <w:qFormat/>
    <w:locked/>
    <w:pPr>
      <w:ind w:left="420" w:leftChars="200"/>
    </w:pPr>
  </w:style>
  <w:style w:type="paragraph" w:styleId="BodyText2">
    <w:name w:val="Body Text 2"/>
    <w:basedOn w:val="Normal"/>
    <w:link w:val="2Char20"/>
    <w:unhideWhenUsed/>
    <w:qFormat/>
    <w:locked/>
    <w:pPr>
      <w:spacing w:after="120" w:line="480" w:lineRule="auto"/>
    </w:pPr>
  </w:style>
  <w:style w:type="paragraph" w:styleId="HTMLPreformatted">
    <w:name w:val="HTML Preformatted"/>
    <w:basedOn w:val="Normal"/>
    <w:link w:val="HTMLChar2"/>
    <w:unhideWhenUsed/>
    <w:qFormat/>
    <w:lock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Unicode MS" w:eastAsia="Arial Unicode MS" w:hAnsi="Arial Unicode MS" w:cs="Arial Unicode MS"/>
      <w:kern w:val="0"/>
      <w:sz w:val="20"/>
      <w:szCs w:val="20"/>
    </w:rPr>
  </w:style>
  <w:style w:type="paragraph" w:styleId="NormalWeb">
    <w:name w:val="Normal (Web)"/>
    <w:basedOn w:val="Normal"/>
    <w:link w:val="Char1"/>
    <w:uiPriority w:val="99"/>
    <w:qFormat/>
    <w:pPr>
      <w:widowControl/>
      <w:spacing w:before="100" w:beforeAutospacing="1" w:after="100" w:afterAutospacing="1"/>
      <w:jc w:val="left"/>
    </w:pPr>
    <w:rPr>
      <w:rFonts w:ascii="宋体" w:hAnsi="宋体"/>
      <w:kern w:val="0"/>
      <w:sz w:val="24"/>
      <w:szCs w:val="20"/>
    </w:rPr>
  </w:style>
  <w:style w:type="paragraph" w:styleId="Index1">
    <w:name w:val="index 1"/>
    <w:basedOn w:val="Normal"/>
    <w:next w:val="Normal"/>
    <w:unhideWhenUsed/>
    <w:qFormat/>
    <w:locked/>
    <w:pPr>
      <w:spacing w:line="360" w:lineRule="exact"/>
      <w:jc w:val="center"/>
    </w:pPr>
    <w:rPr>
      <w:color w:val="FF0000"/>
      <w:szCs w:val="21"/>
    </w:rPr>
  </w:style>
  <w:style w:type="paragraph" w:styleId="Title">
    <w:name w:val="Title"/>
    <w:basedOn w:val="Normal"/>
    <w:next w:val="Normal"/>
    <w:link w:val="Char119"/>
    <w:qFormat/>
    <w:locked/>
    <w:pPr>
      <w:spacing w:line="360" w:lineRule="auto"/>
      <w:outlineLvl w:val="0"/>
    </w:pPr>
    <w:rPr>
      <w:rFonts w:ascii="Cambria" w:hAnsi="Cambria"/>
      <w:b/>
      <w:bCs/>
      <w:sz w:val="32"/>
      <w:szCs w:val="32"/>
    </w:rPr>
  </w:style>
  <w:style w:type="paragraph" w:styleId="CommentSubject">
    <w:name w:val="annotation subject"/>
    <w:basedOn w:val="CommentText"/>
    <w:next w:val="CommentText"/>
    <w:link w:val="Char6"/>
    <w:semiHidden/>
    <w:qFormat/>
    <w:rPr>
      <w:b/>
    </w:rPr>
  </w:style>
  <w:style w:type="paragraph" w:styleId="BodyTextFirstIndent">
    <w:name w:val="Body Text First Indent"/>
    <w:basedOn w:val="BodyText"/>
    <w:link w:val="Char14"/>
    <w:uiPriority w:val="99"/>
    <w:unhideWhenUsed/>
    <w:qFormat/>
    <w:locked/>
    <w:pPr>
      <w:widowControl w:val="0"/>
      <w:snapToGrid/>
      <w:spacing w:before="0" w:after="120" w:line="360" w:lineRule="auto"/>
      <w:ind w:right="0" w:firstLine="420" w:firstLineChars="100"/>
    </w:pPr>
    <w:rPr>
      <w:kern w:val="2"/>
      <w:sz w:val="24"/>
      <w:szCs w:val="24"/>
    </w:rPr>
  </w:style>
  <w:style w:type="paragraph" w:styleId="BodyTextFirstIndent2">
    <w:name w:val="Body Text First Indent 2"/>
    <w:basedOn w:val="BodyTextIndent"/>
    <w:link w:val="2Char"/>
    <w:qFormat/>
    <w:locked/>
    <w:pPr>
      <w:spacing w:line="360" w:lineRule="auto"/>
      <w:ind w:firstLine="420" w:firstLineChars="200"/>
    </w:pPr>
    <w:rPr>
      <w:kern w:val="2"/>
      <w:szCs w:val="24"/>
    </w:rPr>
  </w:style>
  <w:style w:type="table" w:styleId="TableGrid">
    <w:name w:val="Table Grid"/>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uiPriority w:val="22"/>
    <w:qFormat/>
    <w:locked/>
    <w:rPr>
      <w:b/>
      <w:bCs/>
    </w:rPr>
  </w:style>
  <w:style w:type="character" w:styleId="PageNumber">
    <w:name w:val="page number"/>
    <w:basedOn w:val="DefaultParagraphFont"/>
    <w:qFormat/>
    <w:locked/>
  </w:style>
  <w:style w:type="character" w:styleId="FollowedHyperlink">
    <w:name w:val="FollowedHyperlink"/>
    <w:uiPriority w:val="99"/>
    <w:unhideWhenUsed/>
    <w:qFormat/>
    <w:locked/>
    <w:rPr>
      <w:color w:val="800080"/>
      <w:u w:val="single"/>
    </w:rPr>
  </w:style>
  <w:style w:type="character" w:styleId="Emphasis">
    <w:name w:val="Emphasis"/>
    <w:uiPriority w:val="20"/>
    <w:qFormat/>
    <w:locked/>
  </w:style>
  <w:style w:type="character" w:styleId="Hyperlink">
    <w:name w:val="Hyperlink"/>
    <w:uiPriority w:val="99"/>
    <w:unhideWhenUsed/>
    <w:qFormat/>
    <w:locked/>
    <w:rPr>
      <w:color w:val="136EC2"/>
      <w:u w:val="single"/>
    </w:rPr>
  </w:style>
  <w:style w:type="character" w:styleId="CommentReference">
    <w:name w:val="annotation reference"/>
    <w:uiPriority w:val="99"/>
    <w:qFormat/>
    <w:rPr>
      <w:sz w:val="21"/>
    </w:rPr>
  </w:style>
  <w:style w:type="character" w:customStyle="1" w:styleId="Char">
    <w:name w:val="页脚 Char"/>
    <w:link w:val="Footer"/>
    <w:uiPriority w:val="99"/>
    <w:qFormat/>
    <w:locked/>
    <w:rPr>
      <w:sz w:val="18"/>
    </w:rPr>
  </w:style>
  <w:style w:type="character" w:customStyle="1" w:styleId="Char0">
    <w:name w:val="日期 Char"/>
    <w:link w:val="Date"/>
    <w:qFormat/>
    <w:locked/>
    <w:rPr>
      <w:rFonts w:ascii="Times New Roman" w:eastAsia="宋体" w:hAnsi="Times New Roman"/>
      <w:sz w:val="24"/>
    </w:rPr>
  </w:style>
  <w:style w:type="character" w:customStyle="1" w:styleId="a">
    <w:name w:val="页脚 字符"/>
    <w:basedOn w:val="DefaultParagraphFont"/>
    <w:uiPriority w:val="99"/>
    <w:qFormat/>
  </w:style>
  <w:style w:type="character" w:customStyle="1" w:styleId="Char1">
    <w:name w:val="普通(网站) Char"/>
    <w:link w:val="NormalWeb"/>
    <w:qFormat/>
    <w:locked/>
    <w:rPr>
      <w:rFonts w:ascii="宋体" w:eastAsia="宋体" w:hAnsi="宋体"/>
      <w:sz w:val="24"/>
    </w:rPr>
  </w:style>
  <w:style w:type="character" w:customStyle="1" w:styleId="1">
    <w:name w:val="正文文本 字符1"/>
    <w:semiHidden/>
    <w:qFormat/>
    <w:rPr>
      <w:rFonts w:ascii="Times New Roman" w:eastAsia="宋体" w:hAnsi="Times New Roman"/>
      <w:sz w:val="24"/>
    </w:rPr>
  </w:style>
  <w:style w:type="character" w:customStyle="1" w:styleId="Char2">
    <w:name w:val="正文文本 Char"/>
    <w:link w:val="BodyText"/>
    <w:qFormat/>
    <w:locked/>
    <w:rPr>
      <w:sz w:val="18"/>
    </w:rPr>
  </w:style>
  <w:style w:type="character" w:customStyle="1" w:styleId="Char3">
    <w:name w:val="批注文字 Char"/>
    <w:link w:val="CommentText"/>
    <w:uiPriority w:val="99"/>
    <w:qFormat/>
    <w:locked/>
    <w:rPr>
      <w:rFonts w:ascii="Times New Roman" w:eastAsia="宋体" w:hAnsi="Times New Roman"/>
      <w:sz w:val="24"/>
    </w:rPr>
  </w:style>
  <w:style w:type="character" w:customStyle="1" w:styleId="Char4">
    <w:name w:val="表格 Char"/>
    <w:link w:val="a0"/>
    <w:qFormat/>
    <w:locked/>
    <w:rPr>
      <w:rFonts w:ascii="宋体"/>
      <w:sz w:val="21"/>
    </w:rPr>
  </w:style>
  <w:style w:type="paragraph" w:customStyle="1" w:styleId="a0">
    <w:name w:val="表格"/>
    <w:basedOn w:val="Normal"/>
    <w:next w:val="Normal"/>
    <w:link w:val="Char4"/>
    <w:qFormat/>
    <w:pPr>
      <w:adjustRightInd w:val="0"/>
      <w:snapToGrid w:val="0"/>
      <w:spacing w:beforeLines="10" w:afterLines="10" w:line="259" w:lineRule="auto"/>
      <w:jc w:val="center"/>
    </w:pPr>
    <w:rPr>
      <w:rFonts w:ascii="宋体"/>
      <w:kern w:val="0"/>
      <w:szCs w:val="20"/>
    </w:rPr>
  </w:style>
  <w:style w:type="character" w:customStyle="1" w:styleId="a1">
    <w:name w:val="日期 字符"/>
    <w:semiHidden/>
    <w:qFormat/>
    <w:rPr>
      <w:rFonts w:ascii="Times New Roman" w:eastAsia="宋体" w:hAnsi="Times New Roman"/>
      <w:sz w:val="24"/>
    </w:rPr>
  </w:style>
  <w:style w:type="character" w:customStyle="1" w:styleId="Char5">
    <w:name w:val="批注框文本 Char"/>
    <w:link w:val="BalloonText"/>
    <w:semiHidden/>
    <w:qFormat/>
    <w:locked/>
    <w:rPr>
      <w:rFonts w:ascii="Times New Roman" w:eastAsia="宋体" w:hAnsi="Times New Roman"/>
      <w:sz w:val="18"/>
    </w:rPr>
  </w:style>
  <w:style w:type="character" w:customStyle="1" w:styleId="Char6">
    <w:name w:val="批注主题 Char"/>
    <w:link w:val="CommentSubject"/>
    <w:semiHidden/>
    <w:qFormat/>
    <w:locked/>
    <w:rPr>
      <w:rFonts w:ascii="Times New Roman" w:eastAsia="宋体" w:hAnsi="Times New Roman"/>
      <w:b/>
      <w:kern w:val="2"/>
      <w:sz w:val="24"/>
    </w:rPr>
  </w:style>
  <w:style w:type="character" w:customStyle="1" w:styleId="Char7">
    <w:name w:val="页眉 Char"/>
    <w:link w:val="Header"/>
    <w:qFormat/>
    <w:locked/>
    <w:rPr>
      <w:sz w:val="18"/>
    </w:rPr>
  </w:style>
  <w:style w:type="character" w:customStyle="1" w:styleId="10">
    <w:name w:val="批注文字 字符1"/>
    <w:semiHidden/>
    <w:qFormat/>
    <w:rPr>
      <w:rFonts w:ascii="Times New Roman" w:eastAsia="宋体" w:hAnsi="Times New Roman"/>
      <w:sz w:val="24"/>
    </w:rPr>
  </w:style>
  <w:style w:type="character" w:customStyle="1" w:styleId="Char8">
    <w:name w:val="正文文本缩进 Char"/>
    <w:link w:val="BodyTextIndent"/>
    <w:semiHidden/>
    <w:qFormat/>
    <w:locked/>
    <w:rPr>
      <w:rFonts w:ascii="Times New Roman" w:eastAsia="宋体" w:hAnsi="Times New Roman"/>
      <w:sz w:val="24"/>
    </w:rPr>
  </w:style>
  <w:style w:type="paragraph" w:customStyle="1" w:styleId="100">
    <w:name w:val="正文_10"/>
    <w:qFormat/>
    <w:pPr>
      <w:widowControl w:val="0"/>
      <w:jc w:val="both"/>
    </w:pPr>
    <w:rPr>
      <w:rFonts w:ascii="Times New Roman" w:eastAsia="宋体" w:hAnsi="Times New Roman" w:cs="Times New Roman"/>
      <w:kern w:val="2"/>
      <w:sz w:val="21"/>
      <w:szCs w:val="22"/>
      <w:lang w:val="en-US" w:eastAsia="zh-CN" w:bidi="ar-SA"/>
    </w:rPr>
  </w:style>
  <w:style w:type="paragraph" w:customStyle="1" w:styleId="2">
    <w:name w:val="普通(网站)2"/>
    <w:basedOn w:val="Normal"/>
    <w:qFormat/>
    <w:pPr>
      <w:widowControl/>
      <w:spacing w:before="100" w:beforeAutospacing="1" w:after="100" w:afterAutospacing="1"/>
      <w:jc w:val="left"/>
    </w:pPr>
    <w:rPr>
      <w:rFonts w:ascii="宋体" w:hAnsi="宋体"/>
      <w:sz w:val="24"/>
      <w:szCs w:val="20"/>
    </w:rPr>
  </w:style>
  <w:style w:type="character" w:customStyle="1" w:styleId="Char9">
    <w:name w:val="表头 Char"/>
    <w:link w:val="a2"/>
    <w:qFormat/>
    <w:locked/>
    <w:rPr>
      <w:b/>
      <w:szCs w:val="24"/>
    </w:rPr>
  </w:style>
  <w:style w:type="paragraph" w:customStyle="1" w:styleId="a2">
    <w:name w:val="表头"/>
    <w:basedOn w:val="Normal"/>
    <w:link w:val="Char9"/>
    <w:qFormat/>
    <w:pPr>
      <w:jc w:val="center"/>
    </w:pPr>
    <w:rPr>
      <w:b/>
      <w:kern w:val="0"/>
      <w:sz w:val="20"/>
    </w:rPr>
  </w:style>
  <w:style w:type="paragraph" w:customStyle="1" w:styleId="a3">
    <w:name w:val="正本文字"/>
    <w:basedOn w:val="Normal"/>
    <w:qFormat/>
    <w:pPr>
      <w:adjustRightInd w:val="0"/>
      <w:snapToGrid w:val="0"/>
      <w:spacing w:line="360" w:lineRule="auto"/>
      <w:ind w:firstLine="480" w:firstLineChars="200"/>
      <w:jc w:val="left"/>
    </w:pPr>
    <w:rPr>
      <w:kern w:val="18"/>
      <w:sz w:val="24"/>
      <w:szCs w:val="20"/>
    </w:rPr>
  </w:style>
  <w:style w:type="paragraph" w:customStyle="1" w:styleId="a4">
    <w:name w:val="图表"/>
    <w:basedOn w:val="Normal"/>
    <w:qFormat/>
    <w:pPr>
      <w:jc w:val="center"/>
    </w:pPr>
    <w:rPr>
      <w:color w:val="000000"/>
      <w:szCs w:val="21"/>
    </w:rPr>
  </w:style>
  <w:style w:type="paragraph" w:customStyle="1" w:styleId="11">
    <w:name w:val="1表格"/>
    <w:basedOn w:val="Normal"/>
    <w:qFormat/>
    <w:pPr>
      <w:adjustRightInd w:val="0"/>
      <w:snapToGrid w:val="0"/>
      <w:spacing w:line="360" w:lineRule="auto"/>
      <w:ind w:firstLine="200" w:firstLineChars="200"/>
      <w:jc w:val="center"/>
      <w:textAlignment w:val="baseline"/>
    </w:pPr>
    <w:rPr>
      <w:rFonts w:ascii="宋体" w:hAnsi="宋体" w:cs="宋体"/>
      <w:spacing w:val="4"/>
      <w:sz w:val="24"/>
    </w:rPr>
  </w:style>
  <w:style w:type="paragraph" w:customStyle="1" w:styleId="12">
    <w:name w:val="博泵1"/>
    <w:basedOn w:val="Normal"/>
    <w:qFormat/>
    <w:pPr>
      <w:adjustRightInd w:val="0"/>
      <w:spacing w:line="480" w:lineRule="exact"/>
      <w:ind w:firstLine="200" w:firstLineChars="200"/>
      <w:jc w:val="left"/>
      <w:textAlignment w:val="baseline"/>
    </w:pPr>
    <w:rPr>
      <w:rFonts w:hAnsi="宋体"/>
      <w:color w:val="000000"/>
      <w:kern w:val="0"/>
      <w:sz w:val="24"/>
      <w:szCs w:val="20"/>
    </w:rPr>
  </w:style>
  <w:style w:type="character" w:customStyle="1" w:styleId="2Char">
    <w:name w:val="正文首行缩进 2 Char"/>
    <w:link w:val="BodyTextFirstIndent2"/>
    <w:qFormat/>
    <w:rPr>
      <w:rFonts w:ascii="Times New Roman" w:eastAsia="宋体" w:hAnsi="Times New Roman"/>
      <w:kern w:val="2"/>
      <w:sz w:val="24"/>
      <w:szCs w:val="24"/>
    </w:rPr>
  </w:style>
  <w:style w:type="paragraph" w:customStyle="1" w:styleId="Default">
    <w:name w:val="Default"/>
    <w:uiPriority w:val="99"/>
    <w:qFormat/>
    <w:pPr>
      <w:widowControl w:val="0"/>
      <w:autoSpaceDE w:val="0"/>
      <w:autoSpaceDN w:val="0"/>
      <w:adjustRightInd w:val="0"/>
    </w:pPr>
    <w:rPr>
      <w:rFonts w:ascii="宋体..壮.." w:eastAsia="宋体..壮.." w:hAnsi="Times New Roman" w:cs="宋体..壮.."/>
      <w:color w:val="000000"/>
      <w:sz w:val="24"/>
      <w:szCs w:val="24"/>
      <w:lang w:val="en-US" w:eastAsia="zh-CN" w:bidi="ar-SA"/>
    </w:rPr>
  </w:style>
  <w:style w:type="character" w:customStyle="1" w:styleId="4CharChar">
    <w:name w:val="4正文 Char Char"/>
    <w:link w:val="4"/>
    <w:qFormat/>
    <w:locked/>
    <w:rPr>
      <w:rFonts w:ascii="宋体" w:hAnsi="宋体" w:cs="宋体"/>
      <w:sz w:val="24"/>
      <w:szCs w:val="24"/>
    </w:rPr>
  </w:style>
  <w:style w:type="paragraph" w:customStyle="1" w:styleId="4">
    <w:name w:val="4正文"/>
    <w:basedOn w:val="Normal"/>
    <w:link w:val="4CharChar"/>
    <w:qFormat/>
    <w:pPr>
      <w:spacing w:line="360" w:lineRule="auto"/>
      <w:ind w:firstLine="480" w:firstLineChars="200"/>
    </w:pPr>
    <w:rPr>
      <w:rFonts w:ascii="宋体" w:hAnsi="宋体" w:cs="宋体"/>
      <w:kern w:val="0"/>
      <w:sz w:val="24"/>
    </w:rPr>
  </w:style>
  <w:style w:type="paragraph" w:customStyle="1" w:styleId="a5">
    <w:name w:val="图表文字"/>
    <w:basedOn w:val="BodyText"/>
    <w:qFormat/>
    <w:pPr>
      <w:widowControl w:val="0"/>
      <w:spacing w:before="0" w:after="0" w:line="240" w:lineRule="auto"/>
      <w:ind w:right="0"/>
      <w:jc w:val="center"/>
    </w:pPr>
    <w:rPr>
      <w:kern w:val="2"/>
      <w:sz w:val="21"/>
      <w:szCs w:val="24"/>
    </w:rPr>
  </w:style>
  <w:style w:type="character" w:customStyle="1" w:styleId="4Char">
    <w:name w:val="标题 4 Char"/>
    <w:link w:val="Heading4"/>
    <w:semiHidden/>
    <w:qFormat/>
    <w:rPr>
      <w:rFonts w:ascii="Cambria" w:eastAsia="宋体" w:hAnsi="Cambria" w:cs="Times New Roman"/>
      <w:b/>
      <w:bCs/>
      <w:kern w:val="2"/>
      <w:sz w:val="28"/>
      <w:szCs w:val="28"/>
    </w:rPr>
  </w:style>
  <w:style w:type="character" w:customStyle="1" w:styleId="2Char0">
    <w:name w:val="标题 2 Char"/>
    <w:link w:val="Heading2"/>
    <w:semiHidden/>
    <w:qFormat/>
    <w:rPr>
      <w:rFonts w:ascii="Arial" w:eastAsia="黑体" w:hAnsi="Arial"/>
      <w:b/>
      <w:sz w:val="32"/>
    </w:rPr>
  </w:style>
  <w:style w:type="character" w:customStyle="1" w:styleId="3Char">
    <w:name w:val="标题 3 Char"/>
    <w:link w:val="Heading3"/>
    <w:semiHidden/>
    <w:qFormat/>
    <w:rPr>
      <w:b/>
      <w:sz w:val="32"/>
    </w:rPr>
  </w:style>
  <w:style w:type="character" w:customStyle="1" w:styleId="Char10">
    <w:name w:val="文档结构图 Char"/>
    <w:qFormat/>
    <w:rPr>
      <w:rFonts w:ascii="宋体"/>
      <w:kern w:val="2"/>
      <w:sz w:val="18"/>
      <w:szCs w:val="18"/>
    </w:rPr>
  </w:style>
  <w:style w:type="character" w:customStyle="1" w:styleId="3Char0">
    <w:name w:val="正文文本 3 Char"/>
    <w:qFormat/>
    <w:rPr>
      <w:kern w:val="2"/>
      <w:sz w:val="16"/>
      <w:szCs w:val="16"/>
    </w:rPr>
  </w:style>
  <w:style w:type="character" w:customStyle="1" w:styleId="Char11">
    <w:name w:val="纯文本 Char"/>
    <w:qFormat/>
    <w:rPr>
      <w:rFonts w:ascii="宋体" w:hAnsi="Courier New" w:cs="Courier New"/>
      <w:kern w:val="2"/>
      <w:sz w:val="21"/>
      <w:szCs w:val="21"/>
    </w:rPr>
  </w:style>
  <w:style w:type="character" w:customStyle="1" w:styleId="2Char1">
    <w:name w:val="正文文本缩进 2 Char"/>
    <w:qFormat/>
    <w:rPr>
      <w:kern w:val="2"/>
      <w:sz w:val="21"/>
      <w:szCs w:val="24"/>
    </w:rPr>
  </w:style>
  <w:style w:type="character" w:customStyle="1" w:styleId="Char12">
    <w:name w:val="副标题 Char"/>
    <w:qFormat/>
    <w:rPr>
      <w:rFonts w:ascii="Cambria" w:hAnsi="Cambria" w:cs="Times New Roman"/>
      <w:b/>
      <w:bCs/>
      <w:kern w:val="28"/>
      <w:sz w:val="32"/>
      <w:szCs w:val="32"/>
    </w:rPr>
  </w:style>
  <w:style w:type="character" w:customStyle="1" w:styleId="3Char1">
    <w:name w:val="正文文本缩进 3 Char"/>
    <w:qFormat/>
    <w:rPr>
      <w:kern w:val="2"/>
      <w:sz w:val="16"/>
      <w:szCs w:val="16"/>
    </w:rPr>
  </w:style>
  <w:style w:type="character" w:customStyle="1" w:styleId="2Char2">
    <w:name w:val="正文文本 2 Char"/>
    <w:qFormat/>
    <w:rPr>
      <w:kern w:val="2"/>
      <w:sz w:val="21"/>
      <w:szCs w:val="24"/>
    </w:rPr>
  </w:style>
  <w:style w:type="character" w:customStyle="1" w:styleId="HTMLChar">
    <w:name w:val="HTML 预设格式 Char"/>
    <w:qFormat/>
    <w:rPr>
      <w:rFonts w:ascii="Courier New" w:hAnsi="Courier New" w:cs="Courier New"/>
      <w:kern w:val="2"/>
    </w:rPr>
  </w:style>
  <w:style w:type="character" w:customStyle="1" w:styleId="Char13">
    <w:name w:val="标题 Char"/>
    <w:qFormat/>
    <w:rPr>
      <w:rFonts w:ascii="Cambria" w:hAnsi="Cambria" w:cs="Times New Roman"/>
      <w:b/>
      <w:bCs/>
      <w:kern w:val="2"/>
      <w:sz w:val="32"/>
      <w:szCs w:val="32"/>
    </w:rPr>
  </w:style>
  <w:style w:type="character" w:customStyle="1" w:styleId="Char14">
    <w:name w:val="正文首行缩进 Char"/>
    <w:link w:val="BodyTextFirstIndent"/>
    <w:uiPriority w:val="99"/>
    <w:qFormat/>
    <w:rPr>
      <w:kern w:val="2"/>
      <w:sz w:val="24"/>
      <w:szCs w:val="24"/>
    </w:rPr>
  </w:style>
  <w:style w:type="character" w:customStyle="1" w:styleId="1Char">
    <w:name w:val="标题 1 Char"/>
    <w:link w:val="Heading1"/>
    <w:qFormat/>
    <w:rPr>
      <w:rFonts w:eastAsia="黑体"/>
      <w:b/>
      <w:bCs/>
      <w:color w:val="000000"/>
      <w:kern w:val="44"/>
      <w:sz w:val="30"/>
      <w:szCs w:val="30"/>
    </w:rPr>
  </w:style>
  <w:style w:type="character" w:customStyle="1" w:styleId="Char15">
    <w:name w:val="正文缩进 Char"/>
    <w:link w:val="NormalIndent"/>
    <w:qFormat/>
    <w:locked/>
    <w:rPr>
      <w:rFonts w:ascii="Calibri" w:hAnsi="Calibri"/>
      <w:kern w:val="2"/>
      <w:sz w:val="24"/>
      <w:szCs w:val="22"/>
    </w:rPr>
  </w:style>
  <w:style w:type="character" w:customStyle="1" w:styleId="Char16">
    <w:name w:val="题注 Char"/>
    <w:link w:val="Caption"/>
    <w:semiHidden/>
    <w:qFormat/>
    <w:locked/>
    <w:rPr>
      <w:rFonts w:ascii="Arial" w:eastAsia="黑体" w:hAnsi="Arial" w:cs="Arial"/>
      <w:kern w:val="2"/>
      <w:sz w:val="21"/>
      <w:szCs w:val="22"/>
    </w:rPr>
  </w:style>
  <w:style w:type="character" w:customStyle="1" w:styleId="Char17">
    <w:name w:val="副标题 Char1"/>
    <w:link w:val="Subtitle"/>
    <w:qFormat/>
    <w:rPr>
      <w:rFonts w:ascii="黑体" w:eastAsia="黑体" w:hAnsi="黑体"/>
      <w:bCs/>
      <w:kern w:val="28"/>
      <w:sz w:val="24"/>
      <w:szCs w:val="32"/>
    </w:rPr>
  </w:style>
  <w:style w:type="paragraph" w:styleId="NoSpacing">
    <w:name w:val="No Spacing"/>
    <w:uiPriority w:val="1"/>
    <w:qFormat/>
    <w:pPr>
      <w:widowControl w:val="0"/>
      <w:ind w:firstLine="200" w:firstLineChars="200"/>
      <w:jc w:val="both"/>
    </w:pPr>
    <w:rPr>
      <w:rFonts w:ascii="Times New Roman" w:eastAsia="宋体" w:hAnsi="Times New Roman" w:cs="Times New Roman"/>
      <w:kern w:val="2"/>
      <w:sz w:val="24"/>
      <w:szCs w:val="24"/>
      <w:lang w:val="en-US" w:eastAsia="zh-CN" w:bidi="ar-SA"/>
    </w:rPr>
  </w:style>
  <w:style w:type="paragraph" w:styleId="ListParagraph">
    <w:name w:val="List Paragraph"/>
    <w:basedOn w:val="Normal"/>
    <w:uiPriority w:val="34"/>
    <w:qFormat/>
    <w:pPr>
      <w:ind w:firstLine="420" w:firstLineChars="200"/>
    </w:pPr>
    <w:rPr>
      <w:rFonts w:ascii="Calibri" w:hAnsi="Calibri"/>
      <w:szCs w:val="22"/>
    </w:rPr>
  </w:style>
  <w:style w:type="character" w:customStyle="1" w:styleId="2007CharChar">
    <w:name w:val="2007正文 Char Char"/>
    <w:link w:val="2007"/>
    <w:uiPriority w:val="99"/>
    <w:qFormat/>
    <w:locked/>
    <w:rPr>
      <w:rFonts w:ascii="仿宋_GB2312" w:eastAsia="仿宋_GB2312" w:cs="Calibri"/>
      <w:sz w:val="28"/>
      <w:szCs w:val="28"/>
      <w:lang w:val="en-GB"/>
    </w:rPr>
  </w:style>
  <w:style w:type="paragraph" w:customStyle="1" w:styleId="2007">
    <w:name w:val="2007正文"/>
    <w:link w:val="2007CharChar"/>
    <w:uiPriority w:val="99"/>
    <w:qFormat/>
    <w:pPr>
      <w:spacing w:line="500" w:lineRule="exact"/>
      <w:ind w:firstLine="560" w:firstLineChars="200"/>
      <w:jc w:val="both"/>
    </w:pPr>
    <w:rPr>
      <w:rFonts w:ascii="仿宋_GB2312" w:eastAsia="仿宋_GB2312" w:hAnsi="Times New Roman" w:cs="Calibri"/>
      <w:sz w:val="28"/>
      <w:szCs w:val="28"/>
      <w:lang w:val="en-GB" w:eastAsia="zh-CN" w:bidi="ar-SA"/>
    </w:rPr>
  </w:style>
  <w:style w:type="paragraph" w:customStyle="1" w:styleId="Char18">
    <w:name w:val="文章正文 Char"/>
    <w:basedOn w:val="NormalIndent"/>
    <w:qFormat/>
    <w:pPr>
      <w:widowControl/>
      <w:spacing w:before="0" w:line="520" w:lineRule="exact"/>
      <w:ind w:firstLine="200" w:firstLineChars="200"/>
      <w:jc w:val="left"/>
    </w:pPr>
    <w:rPr>
      <w:rFonts w:ascii="宋体" w:hAnsi="宋体"/>
      <w:kern w:val="0"/>
    </w:rPr>
  </w:style>
  <w:style w:type="character" w:customStyle="1" w:styleId="-Char">
    <w:name w:val="说明-正文 Char"/>
    <w:link w:val="-"/>
    <w:qFormat/>
    <w:locked/>
    <w:rPr>
      <w:rFonts w:ascii="楷体_GB2312" w:eastAsia="楷体_GB2312"/>
      <w:sz w:val="28"/>
      <w:szCs w:val="28"/>
    </w:rPr>
  </w:style>
  <w:style w:type="paragraph" w:customStyle="1" w:styleId="-">
    <w:name w:val="说明-正文"/>
    <w:basedOn w:val="Normal"/>
    <w:link w:val="-Char"/>
    <w:qFormat/>
    <w:pPr>
      <w:ind w:firstLine="560" w:firstLineChars="200"/>
    </w:pPr>
    <w:rPr>
      <w:rFonts w:ascii="楷体_GB2312" w:eastAsia="楷体_GB2312"/>
      <w:kern w:val="0"/>
      <w:sz w:val="28"/>
      <w:szCs w:val="28"/>
    </w:rPr>
  </w:style>
  <w:style w:type="paragraph" w:customStyle="1" w:styleId="CharCharCharChar1">
    <w:name w:val="Char Char Char Char1"/>
    <w:basedOn w:val="Normal"/>
    <w:qFormat/>
    <w:pPr>
      <w:spacing w:afterLines="50" w:line="560" w:lineRule="exact"/>
    </w:pPr>
    <w:rPr>
      <w:rFonts w:ascii="Calibri Light" w:eastAsia="CG Times" w:hAnsi="Calibri Light" w:cs="Calibri Light"/>
      <w:sz w:val="30"/>
      <w:szCs w:val="30"/>
    </w:rPr>
  </w:style>
  <w:style w:type="paragraph" w:customStyle="1" w:styleId="20">
    <w:name w:val="表格2"/>
    <w:basedOn w:val="Normal"/>
    <w:next w:val="Normal"/>
    <w:qFormat/>
    <w:pPr>
      <w:spacing w:line="320" w:lineRule="exact"/>
      <w:jc w:val="center"/>
    </w:pPr>
    <w:rPr>
      <w:rFonts w:ascii="宋体" w:hAnsi="宋体"/>
      <w:color w:val="000000"/>
      <w:spacing w:val="-20"/>
      <w:kern w:val="0"/>
      <w:szCs w:val="21"/>
    </w:rPr>
  </w:style>
  <w:style w:type="paragraph" w:customStyle="1" w:styleId="21">
    <w:name w:val="样式 首行缩进:  2 字符"/>
    <w:basedOn w:val="Normal"/>
    <w:uiPriority w:val="99"/>
    <w:qFormat/>
    <w:pPr>
      <w:spacing w:line="360" w:lineRule="auto"/>
      <w:ind w:firstLine="560" w:firstLineChars="200"/>
    </w:pPr>
    <w:rPr>
      <w:rFonts w:cs="宋体"/>
      <w:sz w:val="28"/>
      <w:szCs w:val="20"/>
    </w:rPr>
  </w:style>
  <w:style w:type="paragraph" w:customStyle="1" w:styleId="2TimesNewRoman">
    <w:name w:val="正文首行缩进 2 + Times New Roman"/>
    <w:basedOn w:val="Normal"/>
    <w:qFormat/>
    <w:pPr>
      <w:tabs>
        <w:tab w:val="left" w:pos="0"/>
        <w:tab w:val="left" w:pos="870"/>
        <w:tab w:val="left" w:pos="3150"/>
      </w:tabs>
      <w:autoSpaceDE w:val="0"/>
      <w:autoSpaceDN w:val="0"/>
      <w:spacing w:line="360" w:lineRule="auto"/>
      <w:ind w:firstLine="420" w:firstLineChars="200"/>
    </w:pPr>
    <w:rPr>
      <w:rFonts w:ascii="宋体" w:hAnsi="宋体"/>
      <w:color w:val="FF0000"/>
      <w:kern w:val="0"/>
      <w:szCs w:val="21"/>
      <w:lang w:val="zh-CN"/>
    </w:rPr>
  </w:style>
  <w:style w:type="character" w:customStyle="1" w:styleId="Char19">
    <w:name w:val="报告表正文 Char"/>
    <w:link w:val="a6"/>
    <w:qFormat/>
    <w:locked/>
    <w:rPr>
      <w:sz w:val="24"/>
    </w:rPr>
  </w:style>
  <w:style w:type="paragraph" w:customStyle="1" w:styleId="a6">
    <w:name w:val="报告表正文"/>
    <w:basedOn w:val="Normal"/>
    <w:link w:val="Char19"/>
    <w:qFormat/>
    <w:pPr>
      <w:adjustRightInd w:val="0"/>
      <w:spacing w:line="312" w:lineRule="auto"/>
      <w:ind w:left="113" w:right="113" w:firstLine="482"/>
      <w:jc w:val="left"/>
    </w:pPr>
    <w:rPr>
      <w:kern w:val="0"/>
      <w:sz w:val="24"/>
      <w:szCs w:val="20"/>
    </w:rPr>
  </w:style>
  <w:style w:type="paragraph" w:customStyle="1" w:styleId="p0">
    <w:name w:val="p0"/>
    <w:basedOn w:val="Normal"/>
    <w:qFormat/>
    <w:pPr>
      <w:widowControl/>
    </w:pPr>
    <w:rPr>
      <w:rFonts w:ascii="宋体"/>
      <w:kern w:val="0"/>
      <w:sz w:val="24"/>
      <w:szCs w:val="21"/>
    </w:rPr>
  </w:style>
  <w:style w:type="paragraph" w:customStyle="1" w:styleId="ParaCharCharCharChar">
    <w:name w:val="默认段落字体 Para Char Char Char Char"/>
    <w:basedOn w:val="Normal"/>
    <w:qFormat/>
    <w:rPr>
      <w:rFonts w:ascii="宋体" w:hAnsi="宋体"/>
      <w:color w:val="000000"/>
      <w:spacing w:val="-20"/>
      <w:kern w:val="0"/>
      <w:szCs w:val="21"/>
    </w:rPr>
  </w:style>
  <w:style w:type="paragraph" w:customStyle="1" w:styleId="CharChar1CharCharChar">
    <w:name w:val="Char Char1 Char Char Char"/>
    <w:basedOn w:val="Normal"/>
    <w:qFormat/>
    <w:rPr>
      <w:sz w:val="24"/>
      <w:szCs w:val="20"/>
    </w:rPr>
  </w:style>
  <w:style w:type="paragraph" w:customStyle="1" w:styleId="GB231215">
    <w:name w:val="样式 仿宋_GB2312 行距: 1.5 倍行距"/>
    <w:basedOn w:val="Normal"/>
    <w:qFormat/>
    <w:pPr>
      <w:spacing w:line="360" w:lineRule="auto"/>
      <w:ind w:firstLine="420" w:firstLineChars="200"/>
    </w:pPr>
    <w:rPr>
      <w:rFonts w:ascii="仿宋_GB2312" w:eastAsia="仿宋_GB2312" w:hAnsi="仿宋_GB2312" w:cs="宋体"/>
      <w:sz w:val="24"/>
      <w:szCs w:val="20"/>
    </w:rPr>
  </w:style>
  <w:style w:type="paragraph" w:customStyle="1" w:styleId="13">
    <w:name w:val="正文样式1"/>
    <w:basedOn w:val="Normal"/>
    <w:uiPriority w:val="99"/>
    <w:semiHidden/>
    <w:qFormat/>
    <w:pPr>
      <w:adjustRightInd w:val="0"/>
      <w:spacing w:line="288" w:lineRule="auto"/>
      <w:ind w:firstLine="360" w:firstLineChars="150"/>
    </w:pPr>
    <w:rPr>
      <w:kern w:val="0"/>
      <w:sz w:val="24"/>
    </w:rPr>
  </w:style>
  <w:style w:type="character" w:customStyle="1" w:styleId="21CharChar">
    <w:name w:val="样式 首行缩进:  2 字符1 Char Char"/>
    <w:link w:val="210"/>
    <w:qFormat/>
    <w:locked/>
    <w:rPr>
      <w:sz w:val="24"/>
    </w:rPr>
  </w:style>
  <w:style w:type="paragraph" w:customStyle="1" w:styleId="210">
    <w:name w:val="样式 首行缩进:  2 字符1"/>
    <w:basedOn w:val="Normal"/>
    <w:link w:val="21CharChar"/>
    <w:qFormat/>
    <w:pPr>
      <w:adjustRightInd w:val="0"/>
      <w:snapToGrid w:val="0"/>
      <w:spacing w:line="360" w:lineRule="auto"/>
      <w:ind w:firstLine="480" w:firstLineChars="200"/>
    </w:pPr>
    <w:rPr>
      <w:kern w:val="0"/>
      <w:sz w:val="24"/>
      <w:szCs w:val="20"/>
    </w:rPr>
  </w:style>
  <w:style w:type="character" w:customStyle="1" w:styleId="CharChar">
    <w:name w:val="表格标题 Char Char"/>
    <w:link w:val="a7"/>
    <w:qFormat/>
    <w:locked/>
    <w:rPr>
      <w:sz w:val="24"/>
      <w:szCs w:val="24"/>
    </w:rPr>
  </w:style>
  <w:style w:type="paragraph" w:customStyle="1" w:styleId="a7">
    <w:name w:val="表格标题"/>
    <w:basedOn w:val="Normal"/>
    <w:next w:val="Normal"/>
    <w:link w:val="CharChar"/>
    <w:qFormat/>
    <w:pPr>
      <w:widowControl/>
      <w:spacing w:line="360" w:lineRule="auto"/>
      <w:jc w:val="center"/>
    </w:pPr>
    <w:rPr>
      <w:kern w:val="0"/>
      <w:sz w:val="24"/>
    </w:rPr>
  </w:style>
  <w:style w:type="character" w:customStyle="1" w:styleId="Char20">
    <w:name w:val="表 Char"/>
    <w:link w:val="a8"/>
    <w:qFormat/>
    <w:locked/>
    <w:rPr>
      <w:bCs/>
      <w:szCs w:val="32"/>
    </w:rPr>
  </w:style>
  <w:style w:type="paragraph" w:customStyle="1" w:styleId="a8">
    <w:name w:val="表"/>
    <w:basedOn w:val="Title"/>
    <w:link w:val="Char20"/>
    <w:qFormat/>
    <w:pPr>
      <w:spacing w:line="300" w:lineRule="exact"/>
    </w:pPr>
    <w:rPr>
      <w:rFonts w:ascii="Times New Roman" w:hAnsi="Times New Roman"/>
      <w:b w:val="0"/>
      <w:kern w:val="0"/>
      <w:sz w:val="20"/>
    </w:rPr>
  </w:style>
  <w:style w:type="paragraph" w:customStyle="1" w:styleId="23">
    <w:name w:val="样式 文本正文 + 首行缩进:  2 字符3"/>
    <w:basedOn w:val="BodyText"/>
    <w:qFormat/>
    <w:pPr>
      <w:widowControl w:val="0"/>
      <w:autoSpaceDE w:val="0"/>
      <w:autoSpaceDN w:val="0"/>
      <w:adjustRightInd w:val="0"/>
      <w:spacing w:before="0" w:after="0" w:line="360" w:lineRule="auto"/>
      <w:ind w:right="0" w:firstLine="496" w:firstLineChars="200"/>
    </w:pPr>
    <w:rPr>
      <w:rFonts w:ascii="宋体" w:hAnsi="宋体"/>
      <w:color w:val="000000"/>
      <w:kern w:val="21"/>
      <w:sz w:val="24"/>
    </w:rPr>
  </w:style>
  <w:style w:type="character" w:customStyle="1" w:styleId="1CharChar">
    <w:name w:val="正文1 Char Char"/>
    <w:link w:val="1Char0"/>
    <w:qFormat/>
    <w:locked/>
    <w:rPr>
      <w:rFonts w:ascii="宋体" w:hAnsi="宋体"/>
      <w:snapToGrid w:val="0"/>
      <w:color w:val="000000"/>
      <w:kern w:val="21"/>
      <w:sz w:val="24"/>
    </w:rPr>
  </w:style>
  <w:style w:type="paragraph" w:customStyle="1" w:styleId="1Char0">
    <w:name w:val="正文1 Char"/>
    <w:basedOn w:val="Normal"/>
    <w:link w:val="1CharChar"/>
    <w:qFormat/>
    <w:pPr>
      <w:tabs>
        <w:tab w:val="left" w:pos="2310"/>
      </w:tabs>
      <w:adjustRightInd w:val="0"/>
      <w:snapToGrid w:val="0"/>
      <w:spacing w:line="360" w:lineRule="auto"/>
      <w:ind w:firstLine="480" w:firstLineChars="200"/>
    </w:pPr>
    <w:rPr>
      <w:rFonts w:ascii="宋体" w:hAnsi="宋体"/>
      <w:snapToGrid w:val="0"/>
      <w:color w:val="000000"/>
      <w:kern w:val="21"/>
      <w:sz w:val="24"/>
      <w:szCs w:val="20"/>
    </w:rPr>
  </w:style>
  <w:style w:type="paragraph" w:customStyle="1" w:styleId="01">
    <w:name w:val="表格01"/>
    <w:basedOn w:val="Normal"/>
    <w:qFormat/>
    <w:pPr>
      <w:adjustRightInd w:val="0"/>
      <w:snapToGrid w:val="0"/>
      <w:jc w:val="center"/>
    </w:pPr>
    <w:rPr>
      <w:szCs w:val="20"/>
    </w:rPr>
  </w:style>
  <w:style w:type="paragraph" w:customStyle="1" w:styleId="14">
    <w:name w:val="正文1"/>
    <w:basedOn w:val="Normal"/>
    <w:qFormat/>
    <w:pPr>
      <w:spacing w:line="560" w:lineRule="exact"/>
      <w:ind w:firstLine="200" w:firstLineChars="200"/>
    </w:pPr>
    <w:rPr>
      <w:rFonts w:cs="宋体"/>
      <w:sz w:val="28"/>
      <w:szCs w:val="28"/>
    </w:rPr>
  </w:style>
  <w:style w:type="paragraph" w:customStyle="1" w:styleId="a9">
    <w:name w:val="表中文字"/>
    <w:basedOn w:val="BodyText3"/>
    <w:qFormat/>
    <w:pPr>
      <w:spacing w:after="0"/>
      <w:ind w:firstLine="0" w:firstLineChars="0"/>
      <w:jc w:val="center"/>
    </w:pPr>
    <w:rPr>
      <w:rFonts w:ascii="宋体" w:eastAsia="宋体"/>
      <w:spacing w:val="4"/>
      <w:w w:val="90"/>
      <w:sz w:val="24"/>
      <w:szCs w:val="20"/>
    </w:rPr>
  </w:style>
  <w:style w:type="paragraph" w:customStyle="1" w:styleId="a10">
    <w:name w:val="六表内容"/>
    <w:basedOn w:val="Normal"/>
    <w:qFormat/>
    <w:pPr>
      <w:widowControl/>
      <w:spacing w:line="340" w:lineRule="exact"/>
      <w:jc w:val="center"/>
    </w:pPr>
    <w:rPr>
      <w:kern w:val="0"/>
      <w:sz w:val="20"/>
      <w:szCs w:val="21"/>
    </w:rPr>
  </w:style>
  <w:style w:type="character" w:customStyle="1" w:styleId="Char21">
    <w:name w:val="表格文字 Char"/>
    <w:link w:val="a11"/>
    <w:qFormat/>
    <w:locked/>
    <w:rPr>
      <w:kern w:val="44"/>
    </w:rPr>
  </w:style>
  <w:style w:type="paragraph" w:customStyle="1" w:styleId="a11">
    <w:name w:val="表格文字"/>
    <w:basedOn w:val="BodyText"/>
    <w:next w:val="Normal"/>
    <w:link w:val="Char21"/>
    <w:qFormat/>
    <w:pPr>
      <w:widowControl w:val="0"/>
      <w:snapToGrid/>
      <w:spacing w:before="0" w:after="0" w:line="240" w:lineRule="auto"/>
      <w:ind w:right="0"/>
      <w:jc w:val="center"/>
    </w:pPr>
    <w:rPr>
      <w:kern w:val="44"/>
      <w:sz w:val="20"/>
    </w:rPr>
  </w:style>
  <w:style w:type="paragraph" w:customStyle="1" w:styleId="22">
    <w:name w:val="样式2"/>
    <w:basedOn w:val="Normal"/>
    <w:qFormat/>
    <w:pPr>
      <w:autoSpaceDE w:val="0"/>
      <w:autoSpaceDN w:val="0"/>
      <w:adjustRightInd w:val="0"/>
      <w:spacing w:afterLines="50"/>
      <w:jc w:val="center"/>
    </w:pPr>
    <w:rPr>
      <w:rFonts w:ascii="宋体"/>
      <w:kern w:val="0"/>
      <w:sz w:val="24"/>
    </w:rPr>
  </w:style>
  <w:style w:type="paragraph" w:customStyle="1" w:styleId="a12">
    <w:name w:val="投标正文"/>
    <w:qFormat/>
    <w:pPr>
      <w:widowControl w:val="0"/>
      <w:spacing w:line="360" w:lineRule="auto"/>
      <w:ind w:firstLine="480" w:firstLineChars="200"/>
      <w:jc w:val="both"/>
    </w:pPr>
    <w:rPr>
      <w:rFonts w:ascii="Times New Roman" w:eastAsia="宋体" w:hAnsi="Times New Roman" w:cs="Times New Roman"/>
      <w:bCs/>
      <w:color w:val="000000"/>
      <w:sz w:val="28"/>
      <w:szCs w:val="32"/>
      <w:lang w:val="en-US" w:eastAsia="zh-CN" w:bidi="ar-SA"/>
    </w:rPr>
  </w:style>
  <w:style w:type="paragraph" w:customStyle="1" w:styleId="6">
    <w:name w:val="6表内容"/>
    <w:basedOn w:val="Normal"/>
    <w:qFormat/>
    <w:pPr>
      <w:spacing w:line="340" w:lineRule="exact"/>
      <w:jc w:val="center"/>
    </w:pPr>
    <w:rPr>
      <w:rFonts w:cs="宋体"/>
      <w:color w:val="000000"/>
      <w:szCs w:val="20"/>
    </w:rPr>
  </w:style>
  <w:style w:type="paragraph" w:customStyle="1" w:styleId="5">
    <w:name w:val="5表头"/>
    <w:basedOn w:val="Normal"/>
    <w:qFormat/>
    <w:pPr>
      <w:spacing w:beforeLines="50"/>
      <w:jc w:val="center"/>
    </w:pPr>
    <w:rPr>
      <w:rFonts w:eastAsia="黑体" w:cs="宋体"/>
      <w:szCs w:val="20"/>
    </w:rPr>
  </w:style>
  <w:style w:type="character" w:customStyle="1" w:styleId="2CharChar">
    <w:name w:val="样式 报告 + 首行缩进:  2 字符 Char Char"/>
    <w:link w:val="24"/>
    <w:qFormat/>
    <w:locked/>
    <w:rPr>
      <w:sz w:val="24"/>
    </w:rPr>
  </w:style>
  <w:style w:type="paragraph" w:customStyle="1" w:styleId="24">
    <w:name w:val="样式 报告 + 首行缩进:  2 字符"/>
    <w:basedOn w:val="Normal"/>
    <w:link w:val="2CharChar"/>
    <w:qFormat/>
    <w:pPr>
      <w:widowControl/>
      <w:overflowPunct w:val="0"/>
      <w:autoSpaceDE w:val="0"/>
      <w:autoSpaceDN w:val="0"/>
      <w:adjustRightInd w:val="0"/>
      <w:spacing w:before="120" w:after="120" w:line="400" w:lineRule="atLeast"/>
      <w:ind w:firstLine="480" w:firstLineChars="200"/>
    </w:pPr>
    <w:rPr>
      <w:kern w:val="0"/>
      <w:sz w:val="24"/>
      <w:szCs w:val="20"/>
    </w:rPr>
  </w:style>
  <w:style w:type="paragraph" w:customStyle="1" w:styleId="TableParagraph">
    <w:name w:val="Table Paragraph"/>
    <w:basedOn w:val="Normal"/>
    <w:qFormat/>
    <w:pPr>
      <w:ind w:firstLine="200" w:firstLineChars="200"/>
      <w:jc w:val="left"/>
    </w:pPr>
    <w:rPr>
      <w:rFonts w:ascii="Calibri" w:hAnsi="Calibri"/>
      <w:kern w:val="0"/>
      <w:sz w:val="22"/>
      <w:szCs w:val="22"/>
      <w:lang w:eastAsia="en-US"/>
    </w:rPr>
  </w:style>
  <w:style w:type="character" w:customStyle="1" w:styleId="3CharChar">
    <w:name w:val="表格正文3 Char Char"/>
    <w:link w:val="3Char2"/>
    <w:qFormat/>
    <w:locked/>
    <w:rPr>
      <w:rFonts w:ascii="宋体" w:hAnsi="宋体"/>
      <w:spacing w:val="4"/>
      <w:sz w:val="24"/>
    </w:rPr>
  </w:style>
  <w:style w:type="paragraph" w:customStyle="1" w:styleId="3Char2">
    <w:name w:val="表格正文3 Char"/>
    <w:basedOn w:val="Normal"/>
    <w:link w:val="3CharChar"/>
    <w:qFormat/>
    <w:pPr>
      <w:adjustRightInd w:val="0"/>
      <w:spacing w:line="360" w:lineRule="auto"/>
    </w:pPr>
    <w:rPr>
      <w:rFonts w:ascii="宋体" w:hAnsi="宋体"/>
      <w:spacing w:val="4"/>
      <w:kern w:val="0"/>
      <w:sz w:val="24"/>
      <w:szCs w:val="20"/>
    </w:rPr>
  </w:style>
  <w:style w:type="character" w:customStyle="1" w:styleId="0Char">
    <w:name w:val="0正文 Char"/>
    <w:link w:val="0"/>
    <w:qFormat/>
    <w:locked/>
    <w:rPr>
      <w:rFonts w:ascii="宋体" w:hAnsi="宋体" w:cs="宋体"/>
      <w:sz w:val="24"/>
    </w:rPr>
  </w:style>
  <w:style w:type="paragraph" w:customStyle="1" w:styleId="0">
    <w:name w:val="0正文"/>
    <w:basedOn w:val="BodyTextIndent"/>
    <w:link w:val="0Char"/>
    <w:qFormat/>
    <w:pPr>
      <w:spacing w:after="0" w:line="360" w:lineRule="auto"/>
      <w:ind w:left="0" w:firstLine="200" w:leftChars="0" w:firstLineChars="200"/>
    </w:pPr>
    <w:rPr>
      <w:rFonts w:ascii="宋体" w:hAnsi="宋体" w:cs="宋体"/>
    </w:rPr>
  </w:style>
  <w:style w:type="paragraph" w:customStyle="1" w:styleId="reader-word-layer">
    <w:name w:val="reader-word-layer"/>
    <w:basedOn w:val="Normal"/>
    <w:qFormat/>
    <w:pPr>
      <w:widowControl/>
      <w:spacing w:before="100" w:beforeAutospacing="1" w:after="100" w:afterAutospacing="1"/>
      <w:jc w:val="left"/>
    </w:pPr>
    <w:rPr>
      <w:rFonts w:ascii="宋体" w:hAnsi="宋体" w:cs="宋体"/>
      <w:kern w:val="0"/>
      <w:sz w:val="24"/>
    </w:rPr>
  </w:style>
  <w:style w:type="paragraph" w:customStyle="1" w:styleId="15">
    <w:name w:val="样式1"/>
    <w:basedOn w:val="Normal"/>
    <w:qFormat/>
    <w:pPr>
      <w:spacing w:line="360" w:lineRule="auto"/>
      <w:ind w:firstLine="539"/>
    </w:pPr>
    <w:rPr>
      <w:rFonts w:ascii="宋体" w:hAnsi="宋体"/>
      <w:sz w:val="24"/>
      <w:szCs w:val="21"/>
    </w:rPr>
  </w:style>
  <w:style w:type="character" w:customStyle="1" w:styleId="CharChar0">
    <w:name w:val="报告书正文 Char Char"/>
    <w:link w:val="a13"/>
    <w:qFormat/>
    <w:locked/>
    <w:rPr>
      <w:rFonts w:ascii="宋体" w:hAnsi="宋体" w:cs="Arial"/>
      <w:bCs/>
      <w:snapToGrid w:val="0"/>
      <w:sz w:val="24"/>
      <w:szCs w:val="24"/>
    </w:rPr>
  </w:style>
  <w:style w:type="paragraph" w:customStyle="1" w:styleId="a13">
    <w:name w:val="报告书正文"/>
    <w:basedOn w:val="BodyTextIndent2"/>
    <w:link w:val="CharChar0"/>
    <w:qFormat/>
    <w:pPr>
      <w:tabs>
        <w:tab w:val="left" w:pos="6300"/>
      </w:tabs>
      <w:adjustRightInd w:val="0"/>
      <w:snapToGrid w:val="0"/>
      <w:spacing w:after="0" w:line="480" w:lineRule="exact"/>
      <w:ind w:left="0" w:firstLine="480" w:leftChars="0"/>
    </w:pPr>
    <w:rPr>
      <w:rFonts w:ascii="宋体" w:eastAsia="宋体" w:hAnsi="宋体" w:cs="Arial"/>
      <w:bCs/>
      <w:snapToGrid w:val="0"/>
      <w:kern w:val="0"/>
    </w:rPr>
  </w:style>
  <w:style w:type="paragraph" w:customStyle="1" w:styleId="50">
    <w:name w:val="无悬挂正文5号"/>
    <w:basedOn w:val="Normal"/>
    <w:qFormat/>
    <w:pPr>
      <w:widowControl/>
      <w:jc w:val="center"/>
    </w:pPr>
    <w:rPr>
      <w:kern w:val="0"/>
      <w:sz w:val="20"/>
      <w:szCs w:val="20"/>
    </w:rPr>
  </w:style>
  <w:style w:type="paragraph" w:customStyle="1" w:styleId="a14">
    <w:name w:val="公众参与正文"/>
    <w:basedOn w:val="Normal"/>
    <w:qFormat/>
    <w:pPr>
      <w:adjustRightInd w:val="0"/>
      <w:ind w:firstLine="200" w:firstLineChars="200"/>
    </w:pPr>
    <w:rPr>
      <w:rFonts w:ascii="宋体" w:cs="宋体"/>
      <w:kern w:val="18"/>
      <w:szCs w:val="21"/>
    </w:rPr>
  </w:style>
  <w:style w:type="paragraph" w:customStyle="1" w:styleId="CharCharChar">
    <w:name w:val="Char Char Char"/>
    <w:basedOn w:val="Normal"/>
    <w:qFormat/>
    <w:rPr>
      <w:rFonts w:ascii="宋体" w:hAnsi="宋体"/>
      <w:color w:val="000000"/>
      <w:spacing w:val="-20"/>
      <w:kern w:val="0"/>
      <w:szCs w:val="20"/>
    </w:rPr>
  </w:style>
  <w:style w:type="paragraph" w:customStyle="1" w:styleId="a15">
    <w:name w:val="应填表格"/>
    <w:basedOn w:val="Normal"/>
    <w:qFormat/>
    <w:pPr>
      <w:adjustRightInd w:val="0"/>
      <w:spacing w:before="40" w:after="40"/>
      <w:jc w:val="left"/>
    </w:pPr>
    <w:rPr>
      <w:kern w:val="0"/>
      <w:sz w:val="24"/>
      <w:szCs w:val="20"/>
    </w:rPr>
  </w:style>
  <w:style w:type="paragraph" w:customStyle="1" w:styleId="3">
    <w:name w:val="3级标题"/>
    <w:basedOn w:val="Normal"/>
    <w:qFormat/>
    <w:pPr>
      <w:spacing w:before="300" w:line="460" w:lineRule="exact"/>
      <w:outlineLvl w:val="2"/>
    </w:pPr>
    <w:rPr>
      <w:b/>
      <w:sz w:val="24"/>
      <w:szCs w:val="20"/>
    </w:rPr>
  </w:style>
  <w:style w:type="character" w:customStyle="1" w:styleId="Char22">
    <w:name w:val="书正文 Char"/>
    <w:link w:val="a16"/>
    <w:qFormat/>
    <w:locked/>
    <w:rPr>
      <w:sz w:val="28"/>
      <w:szCs w:val="28"/>
    </w:rPr>
  </w:style>
  <w:style w:type="paragraph" w:customStyle="1" w:styleId="a16">
    <w:name w:val="书正文"/>
    <w:basedOn w:val="Normal"/>
    <w:link w:val="Char22"/>
    <w:qFormat/>
    <w:pPr>
      <w:spacing w:line="520" w:lineRule="exact"/>
      <w:ind w:firstLine="560" w:firstLineChars="200"/>
    </w:pPr>
    <w:rPr>
      <w:kern w:val="0"/>
      <w:sz w:val="28"/>
      <w:szCs w:val="28"/>
    </w:rPr>
  </w:style>
  <w:style w:type="character" w:customStyle="1" w:styleId="Char23">
    <w:name w:val="表格居中 Char"/>
    <w:link w:val="a17"/>
    <w:qFormat/>
    <w:locked/>
    <w:rPr>
      <w:rFonts w:ascii="宋体" w:hAnsi="宋体"/>
      <w:snapToGrid w:val="0"/>
      <w:spacing w:val="-4"/>
      <w:w w:val="90"/>
      <w:sz w:val="24"/>
    </w:rPr>
  </w:style>
  <w:style w:type="paragraph" w:customStyle="1" w:styleId="a17">
    <w:name w:val="表格居中"/>
    <w:basedOn w:val="Normal"/>
    <w:link w:val="Char23"/>
    <w:qFormat/>
    <w:pPr>
      <w:snapToGrid w:val="0"/>
      <w:jc w:val="center"/>
    </w:pPr>
    <w:rPr>
      <w:rFonts w:ascii="宋体" w:hAnsi="宋体"/>
      <w:snapToGrid w:val="0"/>
      <w:spacing w:val="-4"/>
      <w:w w:val="90"/>
      <w:kern w:val="0"/>
      <w:sz w:val="24"/>
      <w:szCs w:val="20"/>
    </w:rPr>
  </w:style>
  <w:style w:type="paragraph" w:customStyle="1" w:styleId="a18">
    <w:name w:val="五表头"/>
    <w:basedOn w:val="Normal"/>
    <w:qFormat/>
    <w:pPr>
      <w:spacing w:beforeLines="50"/>
      <w:jc w:val="center"/>
    </w:pPr>
    <w:rPr>
      <w:rFonts w:eastAsia="黑体"/>
    </w:rPr>
  </w:style>
  <w:style w:type="paragraph" w:customStyle="1" w:styleId="CharCharCharChar06">
    <w:name w:val="样式 正文文本文本正文正文文字 Char Char Char Char + 居中 首行缩进:  0 厘米 段前: 6 磅"/>
    <w:basedOn w:val="Normal"/>
    <w:qFormat/>
    <w:pPr>
      <w:adjustRightInd w:val="0"/>
      <w:snapToGrid w:val="0"/>
      <w:spacing w:before="120"/>
      <w:jc w:val="center"/>
    </w:pPr>
    <w:rPr>
      <w:rFonts w:ascii="宋体"/>
      <w:w w:val="90"/>
      <w:sz w:val="24"/>
      <w:szCs w:val="20"/>
    </w:rPr>
  </w:style>
  <w:style w:type="paragraph" w:customStyle="1" w:styleId="a19">
    <w:name w:val="七表后"/>
    <w:basedOn w:val="Normal"/>
    <w:qFormat/>
    <w:pPr>
      <w:spacing w:line="240" w:lineRule="exact"/>
    </w:pPr>
  </w:style>
  <w:style w:type="paragraph" w:customStyle="1" w:styleId="a20">
    <w:name w:val="报告正文"/>
    <w:basedOn w:val="Normal"/>
    <w:qFormat/>
    <w:pPr>
      <w:adjustRightInd w:val="0"/>
      <w:snapToGrid w:val="0"/>
      <w:spacing w:line="480" w:lineRule="exact"/>
      <w:ind w:firstLine="560" w:firstLineChars="200"/>
    </w:pPr>
    <w:rPr>
      <w:sz w:val="28"/>
      <w:szCs w:val="28"/>
    </w:rPr>
  </w:style>
  <w:style w:type="paragraph" w:customStyle="1" w:styleId="042085042">
    <w:name w:val="样式 左侧:  0.42 厘米 首行缩进:  0.85 厘米 右侧:  0.42 厘米"/>
    <w:basedOn w:val="Normal"/>
    <w:next w:val="BodyText"/>
    <w:qFormat/>
    <w:pPr>
      <w:spacing w:line="360" w:lineRule="auto"/>
    </w:pPr>
    <w:rPr>
      <w:rFonts w:cs="宋体"/>
      <w:sz w:val="24"/>
      <w:szCs w:val="20"/>
    </w:rPr>
  </w:style>
  <w:style w:type="paragraph" w:customStyle="1" w:styleId="m">
    <w:name w:val="正文（首行缩进两字）m"/>
    <w:basedOn w:val="NormalIndent"/>
    <w:qFormat/>
    <w:pPr>
      <w:tabs>
        <w:tab w:val="left" w:pos="1848"/>
        <w:tab w:val="left" w:pos="6061"/>
        <w:tab w:val="left" w:pos="8665"/>
      </w:tabs>
      <w:snapToGrid w:val="0"/>
      <w:spacing w:beforeLines="50" w:line="460" w:lineRule="exact"/>
      <w:ind w:firstLine="480" w:firstLineChars="200"/>
    </w:pPr>
    <w:rPr>
      <w:rFonts w:ascii="宋体" w:hAnsi="宋体"/>
      <w:szCs w:val="24"/>
    </w:rPr>
  </w:style>
  <w:style w:type="paragraph" w:customStyle="1" w:styleId="a21">
    <w:name w:val="图"/>
    <w:basedOn w:val="Normal"/>
    <w:qFormat/>
    <w:pPr>
      <w:adjustRightInd w:val="0"/>
      <w:snapToGrid w:val="0"/>
      <w:spacing w:line="360" w:lineRule="auto"/>
      <w:jc w:val="center"/>
    </w:pPr>
    <w:rPr>
      <w:rFonts w:cs="宋体"/>
      <w:b/>
      <w:bCs/>
      <w:sz w:val="24"/>
      <w:szCs w:val="20"/>
    </w:rPr>
  </w:style>
  <w:style w:type="paragraph" w:customStyle="1" w:styleId="16">
    <w:name w:val="列出段落1"/>
    <w:basedOn w:val="Normal"/>
    <w:uiPriority w:val="34"/>
    <w:qFormat/>
    <w:pPr>
      <w:spacing w:line="360" w:lineRule="auto"/>
      <w:ind w:firstLine="420" w:firstLineChars="200"/>
    </w:pPr>
    <w:rPr>
      <w:sz w:val="24"/>
    </w:rPr>
  </w:style>
  <w:style w:type="character" w:customStyle="1" w:styleId="OChar">
    <w:name w:val="表头O Char"/>
    <w:link w:val="O"/>
    <w:qFormat/>
    <w:locked/>
    <w:rPr>
      <w:b/>
      <w:sz w:val="24"/>
    </w:rPr>
  </w:style>
  <w:style w:type="paragraph" w:customStyle="1" w:styleId="O">
    <w:name w:val="表头O"/>
    <w:basedOn w:val="Normal"/>
    <w:link w:val="OChar"/>
    <w:qFormat/>
    <w:pPr>
      <w:spacing w:beforeLines="50" w:line="240" w:lineRule="atLeast"/>
      <w:jc w:val="center"/>
    </w:pPr>
    <w:rPr>
      <w:b/>
      <w:kern w:val="0"/>
      <w:sz w:val="24"/>
      <w:szCs w:val="20"/>
    </w:rPr>
  </w:style>
  <w:style w:type="character" w:customStyle="1" w:styleId="NormalChar">
    <w:name w:val="Normal Char"/>
    <w:link w:val="30"/>
    <w:qFormat/>
    <w:locked/>
    <w:rPr>
      <w:rFonts w:ascii="宋体" w:hAnsi="宋体"/>
      <w:sz w:val="24"/>
    </w:rPr>
  </w:style>
  <w:style w:type="paragraph" w:customStyle="1" w:styleId="30">
    <w:name w:val="正文3"/>
    <w:link w:val="NormalChar"/>
    <w:qFormat/>
    <w:pPr>
      <w:widowControl w:val="0"/>
      <w:adjustRightInd w:val="0"/>
      <w:spacing w:line="360" w:lineRule="atLeast"/>
    </w:pPr>
    <w:rPr>
      <w:rFonts w:ascii="宋体" w:eastAsia="宋体" w:hAnsi="宋体" w:cs="Times New Roman"/>
      <w:sz w:val="24"/>
      <w:lang w:val="en-US" w:eastAsia="zh-CN" w:bidi="ar-SA"/>
    </w:rPr>
  </w:style>
  <w:style w:type="character" w:customStyle="1" w:styleId="Char24">
    <w:name w:val="正文样式 Char"/>
    <w:link w:val="a22"/>
    <w:qFormat/>
    <w:locked/>
    <w:rPr>
      <w:rFonts w:ascii="宋体" w:hAnsi="宋体"/>
      <w:sz w:val="24"/>
      <w:szCs w:val="24"/>
    </w:rPr>
  </w:style>
  <w:style w:type="paragraph" w:customStyle="1" w:styleId="a22">
    <w:name w:val="正文样式"/>
    <w:basedOn w:val="Normal"/>
    <w:link w:val="Char24"/>
    <w:qFormat/>
    <w:pPr>
      <w:spacing w:line="460" w:lineRule="exact"/>
      <w:ind w:firstLine="200" w:firstLineChars="200"/>
    </w:pPr>
    <w:rPr>
      <w:rFonts w:ascii="宋体" w:hAnsi="宋体"/>
      <w:kern w:val="0"/>
      <w:sz w:val="24"/>
    </w:rPr>
  </w:style>
  <w:style w:type="character" w:customStyle="1" w:styleId="122223CharChar">
    <w:name w:val="样式 样式 样式 首行缩进:  1 字符 + 首行缩进:  2 字符2 + 首行缩进:  2 字符 行距: 固定值 23 磅 Char Char"/>
    <w:link w:val="122223"/>
    <w:qFormat/>
    <w:locked/>
    <w:rPr>
      <w:rFonts w:ascii="宋体" w:hAnsi="宋体" w:cs="宋体"/>
      <w:sz w:val="24"/>
    </w:rPr>
  </w:style>
  <w:style w:type="paragraph" w:customStyle="1" w:styleId="122223">
    <w:name w:val="样式 样式 样式 首行缩进:  1 字符 + 首行缩进:  2 字符2 + 首行缩进:  2 字符 行距: 固定值 23 磅"/>
    <w:basedOn w:val="Normal"/>
    <w:link w:val="122223CharChar"/>
    <w:qFormat/>
    <w:pPr>
      <w:adjustRightInd w:val="0"/>
      <w:snapToGrid w:val="0"/>
      <w:spacing w:line="360" w:lineRule="auto"/>
      <w:ind w:firstLine="200" w:firstLineChars="200"/>
    </w:pPr>
    <w:rPr>
      <w:rFonts w:ascii="宋体" w:hAnsi="宋体" w:cs="宋体"/>
      <w:kern w:val="0"/>
      <w:sz w:val="24"/>
      <w:szCs w:val="20"/>
    </w:rPr>
  </w:style>
  <w:style w:type="paragraph" w:customStyle="1" w:styleId="a23">
    <w:name w:val="表内格式"/>
    <w:basedOn w:val="Normal"/>
    <w:next w:val="Normal"/>
    <w:qFormat/>
    <w:pPr>
      <w:spacing w:line="500" w:lineRule="exact"/>
      <w:jc w:val="center"/>
    </w:pPr>
    <w:rPr>
      <w:sz w:val="18"/>
    </w:rPr>
  </w:style>
  <w:style w:type="paragraph" w:customStyle="1" w:styleId="40">
    <w:name w:val="正文4号"/>
    <w:qFormat/>
    <w:pPr>
      <w:widowControl w:val="0"/>
      <w:adjustRightInd w:val="0"/>
      <w:snapToGrid w:val="0"/>
      <w:spacing w:line="360" w:lineRule="auto"/>
      <w:ind w:firstLine="200" w:firstLineChars="200"/>
      <w:jc w:val="both"/>
    </w:pPr>
    <w:rPr>
      <w:rFonts w:ascii="Times New Roman" w:eastAsia="宋体" w:hAnsi="Times New Roman" w:cs="Times New Roman"/>
      <w:kern w:val="24"/>
      <w:sz w:val="24"/>
      <w:szCs w:val="24"/>
      <w:lang w:val="en-US" w:eastAsia="zh-CN" w:bidi="ar-SA"/>
    </w:rPr>
  </w:style>
  <w:style w:type="paragraph" w:customStyle="1" w:styleId="25">
    <w:name w:val="正文2"/>
    <w:qFormat/>
    <w:pPr>
      <w:widowControl w:val="0"/>
      <w:adjustRightInd w:val="0"/>
      <w:spacing w:line="360" w:lineRule="atLeast"/>
    </w:pPr>
    <w:rPr>
      <w:rFonts w:ascii="宋体" w:eastAsia="宋体" w:hAnsi="宋体" w:cs="Times New Roman"/>
      <w:sz w:val="24"/>
      <w:lang w:val="en-US" w:eastAsia="zh-CN" w:bidi="ar-SA"/>
    </w:rPr>
  </w:style>
  <w:style w:type="character" w:customStyle="1" w:styleId="Char110">
    <w:name w:val="纯文本 Char1"/>
    <w:qFormat/>
    <w:locked/>
    <w:rPr>
      <w:rFonts w:ascii="宋体" w:eastAsia="宋体" w:hAnsi="Courier New" w:hint="eastAsia"/>
      <w:kern w:val="2"/>
      <w:sz w:val="21"/>
    </w:rPr>
  </w:style>
  <w:style w:type="character" w:customStyle="1" w:styleId="apple-style-span">
    <w:name w:val="apple-style-span"/>
    <w:qFormat/>
  </w:style>
  <w:style w:type="character" w:customStyle="1" w:styleId="CharChar1">
    <w:name w:val="表头 Char Char"/>
    <w:qFormat/>
    <w:rPr>
      <w:rFonts w:ascii="宋体" w:eastAsia="宋体" w:hAnsi="宋体" w:hint="eastAsia"/>
      <w:snapToGrid w:val="0"/>
      <w:spacing w:val="4"/>
      <w:kern w:val="18"/>
      <w:sz w:val="24"/>
      <w:lang w:val="en-US" w:eastAsia="zh-CN"/>
    </w:rPr>
  </w:style>
  <w:style w:type="character" w:customStyle="1" w:styleId="Char111">
    <w:name w:val="正文文本 Char1"/>
    <w:qFormat/>
    <w:locked/>
    <w:rPr>
      <w:kern w:val="2"/>
      <w:sz w:val="24"/>
      <w:szCs w:val="24"/>
    </w:rPr>
  </w:style>
  <w:style w:type="character" w:customStyle="1" w:styleId="2Char10">
    <w:name w:val="正文文本 2 Char1"/>
    <w:qFormat/>
    <w:rPr>
      <w:kern w:val="2"/>
      <w:sz w:val="24"/>
      <w:szCs w:val="24"/>
    </w:rPr>
  </w:style>
  <w:style w:type="character" w:customStyle="1" w:styleId="HTMLChar1">
    <w:name w:val="HTML 预设格式 Char1"/>
    <w:qFormat/>
    <w:rPr>
      <w:rFonts w:ascii="Courier New" w:hAnsi="Courier New" w:cs="Courier New" w:hint="default"/>
      <w:kern w:val="2"/>
    </w:rPr>
  </w:style>
  <w:style w:type="character" w:customStyle="1" w:styleId="apple-converted-space">
    <w:name w:val="apple-converted-space"/>
    <w:qFormat/>
  </w:style>
  <w:style w:type="character" w:customStyle="1" w:styleId="17">
    <w:name w:val="占位符文本1"/>
    <w:uiPriority w:val="99"/>
    <w:semiHidden/>
    <w:qFormat/>
    <w:rPr>
      <w:color w:val="808080"/>
    </w:rPr>
  </w:style>
  <w:style w:type="character" w:customStyle="1" w:styleId="font11">
    <w:name w:val="font11"/>
    <w:qFormat/>
    <w:rPr>
      <w:rFonts w:ascii="宋体" w:eastAsia="宋体" w:hAnsi="宋体" w:cs="宋体" w:hint="eastAsia"/>
      <w:color w:val="000000"/>
      <w:sz w:val="24"/>
      <w:szCs w:val="24"/>
      <w:u w:val="none"/>
      <w:vertAlign w:val="subscript"/>
    </w:rPr>
  </w:style>
  <w:style w:type="character" w:customStyle="1" w:styleId="Char112">
    <w:name w:val="表头 Char1"/>
    <w:qFormat/>
    <w:rPr>
      <w:rFonts w:ascii="宋体" w:eastAsia="宋体" w:hAnsi="宋体" w:hint="eastAsia"/>
      <w:spacing w:val="4"/>
      <w:sz w:val="24"/>
      <w:lang w:val="en-US" w:eastAsia="zh-CN"/>
    </w:rPr>
  </w:style>
  <w:style w:type="character" w:customStyle="1" w:styleId="Char113">
    <w:name w:val="页脚 Char1"/>
    <w:uiPriority w:val="99"/>
    <w:qFormat/>
    <w:locked/>
    <w:rPr>
      <w:rFonts w:ascii="Times New Roman" w:eastAsia="楷体_GB2312" w:hAnsi="Times New Roman" w:cs="Times New Roman"/>
      <w:sz w:val="18"/>
      <w:szCs w:val="18"/>
    </w:rPr>
  </w:style>
  <w:style w:type="character" w:customStyle="1" w:styleId="2Char11">
    <w:name w:val="正文文本缩进 2 Char1"/>
    <w:link w:val="BodyTextIndent2"/>
    <w:qFormat/>
    <w:locked/>
    <w:rPr>
      <w:rFonts w:eastAsia="楷体_GB2312"/>
      <w:kern w:val="2"/>
      <w:sz w:val="24"/>
      <w:szCs w:val="24"/>
    </w:rPr>
  </w:style>
  <w:style w:type="character" w:customStyle="1" w:styleId="Char114">
    <w:name w:val="正文文本缩进 Char1"/>
    <w:semiHidden/>
    <w:qFormat/>
    <w:locked/>
    <w:rPr>
      <w:rFonts w:ascii="Times New Roman" w:eastAsia="宋体" w:hAnsi="Times New Roman" w:cs="Times New Roman"/>
      <w:sz w:val="24"/>
      <w:szCs w:val="24"/>
    </w:rPr>
  </w:style>
  <w:style w:type="character" w:customStyle="1" w:styleId="3Char10">
    <w:name w:val="正文文本 3 Char1"/>
    <w:link w:val="BodyText3"/>
    <w:qFormat/>
    <w:locked/>
    <w:rPr>
      <w:rFonts w:eastAsia="楷体_GB2312"/>
      <w:kern w:val="2"/>
      <w:sz w:val="16"/>
      <w:szCs w:val="16"/>
    </w:rPr>
  </w:style>
  <w:style w:type="character" w:customStyle="1" w:styleId="HTMLChar2">
    <w:name w:val="HTML 预设格式 Char2"/>
    <w:link w:val="HTMLPreformatted"/>
    <w:qFormat/>
    <w:locked/>
    <w:rPr>
      <w:rFonts w:ascii="Arial Unicode MS" w:eastAsia="Arial Unicode MS" w:hAnsi="Arial Unicode MS" w:cs="Arial Unicode MS"/>
    </w:rPr>
  </w:style>
  <w:style w:type="character" w:customStyle="1" w:styleId="2Char20">
    <w:name w:val="正文文本 2 Char2"/>
    <w:link w:val="BodyText2"/>
    <w:qFormat/>
    <w:locked/>
    <w:rPr>
      <w:kern w:val="2"/>
      <w:sz w:val="21"/>
      <w:szCs w:val="24"/>
    </w:rPr>
  </w:style>
  <w:style w:type="character" w:customStyle="1" w:styleId="Char115">
    <w:name w:val="批注文字 Char1"/>
    <w:semiHidden/>
    <w:qFormat/>
    <w:locked/>
    <w:rPr>
      <w:rFonts w:ascii="Times New Roman" w:eastAsia="宋体" w:hAnsi="Times New Roman" w:cs="Times New Roman"/>
      <w:sz w:val="24"/>
      <w:szCs w:val="24"/>
    </w:rPr>
  </w:style>
  <w:style w:type="character" w:customStyle="1" w:styleId="Char116">
    <w:name w:val="批注框文本 Char1"/>
    <w:semiHidden/>
    <w:qFormat/>
    <w:locked/>
    <w:rPr>
      <w:rFonts w:ascii="Times New Roman" w:eastAsia="楷体_GB2312" w:hAnsi="Times New Roman" w:cs="Times New Roman"/>
      <w:sz w:val="18"/>
      <w:szCs w:val="18"/>
    </w:rPr>
  </w:style>
  <w:style w:type="character" w:customStyle="1" w:styleId="Char25">
    <w:name w:val="正文文本 Char2"/>
    <w:qFormat/>
    <w:locked/>
    <w:rPr>
      <w:rFonts w:ascii="Times New Roman" w:eastAsia="宋体" w:hAnsi="Times New Roman" w:cs="Times New Roman"/>
      <w:sz w:val="24"/>
      <w:szCs w:val="24"/>
    </w:rPr>
  </w:style>
  <w:style w:type="character" w:customStyle="1" w:styleId="3Char11">
    <w:name w:val="正文文本缩进 3 Char1"/>
    <w:link w:val="BodyTextIndent3"/>
    <w:qFormat/>
    <w:locked/>
    <w:rPr>
      <w:kern w:val="2"/>
      <w:sz w:val="16"/>
      <w:szCs w:val="16"/>
    </w:rPr>
  </w:style>
  <w:style w:type="character" w:customStyle="1" w:styleId="Char117">
    <w:name w:val="文档结构图 Char1"/>
    <w:link w:val="DocumentMap"/>
    <w:qFormat/>
    <w:locked/>
    <w:rPr>
      <w:rFonts w:ascii="宋体"/>
      <w:kern w:val="2"/>
      <w:sz w:val="18"/>
      <w:szCs w:val="18"/>
    </w:rPr>
  </w:style>
  <w:style w:type="character" w:customStyle="1" w:styleId="Char118">
    <w:name w:val="页眉 Char1"/>
    <w:qFormat/>
    <w:locked/>
    <w:rPr>
      <w:rFonts w:ascii="Times New Roman" w:eastAsia="楷体_GB2312" w:hAnsi="Times New Roman" w:cs="Times New Roman"/>
      <w:sz w:val="18"/>
      <w:szCs w:val="18"/>
    </w:rPr>
  </w:style>
  <w:style w:type="character" w:customStyle="1" w:styleId="Char119">
    <w:name w:val="标题 Char1"/>
    <w:link w:val="Title"/>
    <w:qFormat/>
    <w:locked/>
    <w:rPr>
      <w:rFonts w:ascii="Cambria" w:hAnsi="Cambria"/>
      <w:b/>
      <w:bCs/>
      <w:kern w:val="2"/>
      <w:sz w:val="32"/>
      <w:szCs w:val="32"/>
    </w:rPr>
  </w:style>
  <w:style w:type="character" w:customStyle="1" w:styleId="Char26">
    <w:name w:val="纯文本 Char2"/>
    <w:link w:val="PlainText"/>
    <w:qFormat/>
    <w:locked/>
    <w:rPr>
      <w:rFonts w:ascii="宋体" w:hAnsi="Courier New"/>
      <w:kern w:val="2"/>
      <w:sz w:val="21"/>
    </w:rPr>
  </w:style>
  <w:style w:type="paragraph" w:customStyle="1" w:styleId="111">
    <w:name w:val="111表头"/>
    <w:basedOn w:val="Normal"/>
    <w:qFormat/>
    <w:pPr>
      <w:tabs>
        <w:tab w:val="left" w:pos="600"/>
      </w:tabs>
      <w:spacing w:line="400" w:lineRule="exact"/>
      <w:jc w:val="center"/>
    </w:pPr>
    <w:rPr>
      <w:b/>
      <w:sz w:val="24"/>
    </w:rPr>
  </w:style>
  <w:style w:type="character" w:customStyle="1" w:styleId="aaChar">
    <w:name w:val="aa正文 Char"/>
    <w:link w:val="aa"/>
    <w:qFormat/>
    <w:rPr>
      <w:sz w:val="24"/>
      <w:szCs w:val="24"/>
    </w:rPr>
  </w:style>
  <w:style w:type="paragraph" w:customStyle="1" w:styleId="aa">
    <w:name w:val="aa正文"/>
    <w:basedOn w:val="Normal"/>
    <w:link w:val="aaChar"/>
    <w:qFormat/>
    <w:pPr>
      <w:spacing w:line="360" w:lineRule="auto"/>
      <w:ind w:firstLine="200" w:firstLineChars="200"/>
    </w:pPr>
    <w:rPr>
      <w:kern w:val="0"/>
      <w:sz w:val="24"/>
    </w:rPr>
  </w:style>
  <w:style w:type="paragraph" w:customStyle="1" w:styleId="1110">
    <w:name w:val="111正文"/>
    <w:basedOn w:val="Normal"/>
    <w:qFormat/>
    <w:pPr>
      <w:tabs>
        <w:tab w:val="left" w:pos="600"/>
      </w:tabs>
      <w:spacing w:line="360" w:lineRule="auto"/>
      <w:ind w:firstLine="200" w:firstLineChars="200"/>
    </w:pPr>
    <w:rPr>
      <w:sz w:val="24"/>
    </w:rPr>
  </w:style>
  <w:style w:type="character" w:customStyle="1" w:styleId="lishishuju">
    <w:name w:val="lishishuju"/>
    <w:qFormat/>
    <w:rPr>
      <w:b/>
      <w:color w:val="000052"/>
      <w:sz w:val="24"/>
      <w:szCs w:val="24"/>
      <w:bdr w:val="single" w:sz="6" w:space="0" w:color="E3E3E3"/>
    </w:rPr>
  </w:style>
  <w:style w:type="character" w:customStyle="1" w:styleId="lable">
    <w:name w:val="lable"/>
    <w:qFormat/>
    <w:rPr>
      <w:sz w:val="24"/>
      <w:szCs w:val="24"/>
    </w:rPr>
  </w:style>
  <w:style w:type="character" w:customStyle="1" w:styleId="radio-btn">
    <w:name w:val="radio-btn"/>
    <w:qFormat/>
    <w:rPr>
      <w:sz w:val="21"/>
      <w:szCs w:val="21"/>
    </w:rPr>
  </w:style>
  <w:style w:type="character" w:customStyle="1" w:styleId="radio-btn1">
    <w:name w:val="radio-btn1"/>
    <w:qFormat/>
    <w:rPr>
      <w:sz w:val="24"/>
      <w:szCs w:val="24"/>
    </w:rPr>
  </w:style>
  <w:style w:type="character" w:customStyle="1" w:styleId="radio-btn2">
    <w:name w:val="radio-btn2"/>
    <w:qFormat/>
    <w:rPr>
      <w:sz w:val="24"/>
      <w:szCs w:val="24"/>
    </w:rPr>
  </w:style>
  <w:style w:type="character" w:customStyle="1" w:styleId="cur1">
    <w:name w:val="cur1"/>
    <w:qFormat/>
    <w:rPr>
      <w:color w:val="FFFFFF"/>
      <w:shd w:val="clear" w:color="auto" w:fill="2F6B98"/>
    </w:rPr>
  </w:style>
  <w:style w:type="character" w:customStyle="1" w:styleId="znspantitle">
    <w:name w:val="znspantitle"/>
    <w:qFormat/>
    <w:rPr>
      <w:b/>
      <w:color w:val="333333"/>
    </w:rPr>
  </w:style>
  <w:style w:type="character" w:customStyle="1" w:styleId="font31">
    <w:name w:val="font31"/>
    <w:qFormat/>
    <w:rPr>
      <w:rFonts w:ascii="宋体" w:eastAsia="宋体" w:hAnsi="宋体" w:cs="宋体" w:hint="eastAsia"/>
      <w:color w:val="000000"/>
      <w:sz w:val="21"/>
      <w:szCs w:val="21"/>
      <w:u w:val="none"/>
    </w:rPr>
  </w:style>
  <w:style w:type="paragraph" w:customStyle="1" w:styleId="ParaCharCharCharCharCharCharCharCharCharChar">
    <w:name w:val="默认段落字体 Para Char Char Char Char Char Char Char Char Char Char"/>
    <w:basedOn w:val="BodyTextFirstIndent"/>
    <w:next w:val="BodyTextFirstIndent"/>
    <w:qFormat/>
    <w:pPr>
      <w:spacing w:after="0" w:line="240" w:lineRule="auto"/>
    </w:pPr>
    <w:rPr>
      <w:rFonts w:ascii="Tahoma" w:hAnsi="Tahoma"/>
      <w:color w:val="000000"/>
      <w:szCs w:val="20"/>
    </w:rPr>
  </w:style>
  <w:style w:type="character" w:customStyle="1" w:styleId="5Char">
    <w:name w:val="样式5 Char"/>
    <w:link w:val="51"/>
    <w:qFormat/>
    <w:locked/>
    <w:rPr>
      <w:szCs w:val="24"/>
    </w:rPr>
  </w:style>
  <w:style w:type="paragraph" w:customStyle="1" w:styleId="51">
    <w:name w:val="样式5"/>
    <w:basedOn w:val="Normal"/>
    <w:link w:val="5Char"/>
    <w:qFormat/>
    <w:pPr>
      <w:jc w:val="center"/>
    </w:pPr>
    <w:rPr>
      <w:kern w:val="0"/>
      <w:sz w:val="20"/>
    </w:rPr>
  </w:style>
  <w:style w:type="character" w:customStyle="1" w:styleId="5-Char">
    <w:name w:val="5-正文 Char"/>
    <w:link w:val="5-"/>
    <w:qFormat/>
    <w:rPr>
      <w:kern w:val="2"/>
      <w:sz w:val="24"/>
      <w:szCs w:val="24"/>
    </w:rPr>
  </w:style>
  <w:style w:type="paragraph" w:customStyle="1" w:styleId="5-">
    <w:name w:val="5-正文"/>
    <w:basedOn w:val="Normal"/>
    <w:link w:val="5-Char"/>
    <w:qFormat/>
    <w:pPr>
      <w:spacing w:line="360" w:lineRule="auto"/>
      <w:ind w:firstLine="200" w:firstLineChars="200"/>
      <w:jc w:val="left"/>
    </w:pPr>
    <w:rPr>
      <w:sz w:val="24"/>
    </w:rPr>
  </w:style>
  <w:style w:type="paragraph" w:customStyle="1" w:styleId="18">
    <w:name w:val="修订1"/>
    <w:uiPriority w:val="99"/>
    <w:unhideWhenUsed/>
    <w:qFormat/>
    <w:rPr>
      <w:rFonts w:ascii="Times New Roman" w:eastAsia="宋体" w:hAnsi="Times New Roman" w:cs="Times New Roman"/>
      <w:kern w:val="2"/>
      <w:sz w:val="21"/>
      <w:szCs w:val="24"/>
      <w:lang w:val="en-US" w:eastAsia="zh-CN" w:bidi="ar-SA"/>
    </w:rPr>
  </w:style>
  <w:style w:type="character" w:customStyle="1" w:styleId="-lsChar">
    <w:name w:val="正文-ls Char"/>
    <w:link w:val="-ls"/>
    <w:qFormat/>
    <w:rPr>
      <w:rFonts w:hAnsi="宋体" w:cs="宋体"/>
      <w:kern w:val="2"/>
      <w:sz w:val="24"/>
    </w:rPr>
  </w:style>
  <w:style w:type="paragraph" w:customStyle="1" w:styleId="-ls">
    <w:name w:val="正文-ls"/>
    <w:basedOn w:val="Normal"/>
    <w:link w:val="-lsChar"/>
    <w:qFormat/>
    <w:pPr>
      <w:spacing w:line="360" w:lineRule="auto"/>
      <w:ind w:firstLine="200" w:firstLineChars="200"/>
    </w:pPr>
    <w:rPr>
      <w:rFonts w:hAnsi="宋体" w:cs="宋体"/>
      <w:sz w:val="24"/>
      <w:szCs w:val="20"/>
    </w:rPr>
  </w:style>
  <w:style w:type="paragraph" w:customStyle="1" w:styleId="Default1">
    <w:name w:val="Default1"/>
    <w:qFormat/>
    <w:pPr>
      <w:widowControl w:val="0"/>
      <w:autoSpaceDE w:val="0"/>
      <w:autoSpaceDN w:val="0"/>
      <w:adjustRightInd w:val="0"/>
    </w:pPr>
    <w:rPr>
      <w:rFonts w:ascii="宋体" w:eastAsia="宋体" w:hAnsi="Times New Roman" w:cs="宋体"/>
      <w:color w:val="000000"/>
      <w:sz w:val="24"/>
      <w:szCs w:val="24"/>
      <w:lang w:val="en-US" w:eastAsia="zh-CN" w:bidi="ar-SA"/>
    </w:rPr>
  </w:style>
  <w:style w:type="paragraph" w:customStyle="1" w:styleId="12152">
    <w:name w:val="样式 样式 样式 首行缩进:  1 字符 + 首行缩进:  2 字符 行距: 1.5 倍行距 + 首行缩进:  2 字符"/>
    <w:basedOn w:val="Normal"/>
    <w:qFormat/>
    <w:pPr>
      <w:adjustRightInd w:val="0"/>
      <w:snapToGrid w:val="0"/>
      <w:spacing w:line="360" w:lineRule="auto"/>
      <w:ind w:firstLine="480" w:firstLineChars="200"/>
    </w:pPr>
    <w:rPr>
      <w:rFonts w:cs="宋体"/>
      <w:sz w:val="24"/>
      <w:szCs w:val="20"/>
    </w:rPr>
  </w:style>
  <w:style w:type="paragraph" w:customStyle="1" w:styleId="2CharCharCharCharCharCharChar">
    <w:name w:val="样式 正文缩进正文缩进2正文缩进 Char Char正文缩进 Char Char Char Char正文缩进 Char ..."/>
    <w:basedOn w:val="NormalIndent"/>
    <w:qFormat/>
    <w:pPr>
      <w:spacing w:before="0" w:line="360" w:lineRule="auto"/>
      <w:ind w:firstLine="200"/>
    </w:pPr>
    <w:rPr>
      <w:rFonts w:ascii="Times New Roman" w:hAnsi="Times New Roman" w:cs="宋体"/>
      <w:szCs w:val="24"/>
    </w:rPr>
  </w:style>
  <w:style w:type="paragraph" w:customStyle="1" w:styleId="a24">
    <w:name w:val="表内内容"/>
    <w:basedOn w:val="Normal"/>
    <w:qFormat/>
    <w:pPr>
      <w:jc w:val="center"/>
    </w:pPr>
  </w:style>
  <w:style w:type="character" w:customStyle="1" w:styleId="CharChar2">
    <w:name w:val="表格 Char Char"/>
    <w:qFormat/>
    <w:rPr>
      <w:sz w:val="21"/>
      <w:szCs w:val="28"/>
    </w:rPr>
  </w:style>
  <w:style w:type="paragraph" w:customStyle="1" w:styleId="a25">
    <w:name w:val="【正文】"/>
    <w:basedOn w:val="Normal"/>
    <w:link w:val="Char27"/>
    <w:qFormat/>
    <w:pPr>
      <w:spacing w:line="440" w:lineRule="exact"/>
      <w:ind w:firstLine="544" w:firstLineChars="200"/>
      <w:jc w:val="left"/>
    </w:pPr>
    <w:rPr>
      <w:sz w:val="24"/>
      <w:szCs w:val="20"/>
    </w:rPr>
  </w:style>
  <w:style w:type="character" w:customStyle="1" w:styleId="Char27">
    <w:name w:val="【正文】 Char"/>
    <w:link w:val="a25"/>
    <w:qFormat/>
    <w:rPr>
      <w:kern w:val="2"/>
      <w:sz w:val="24"/>
    </w:rPr>
  </w:style>
  <w:style w:type="character" w:customStyle="1" w:styleId="style331">
    <w:name w:val="style331"/>
    <w:qFormat/>
    <w:rPr>
      <w:color w:val="660000"/>
      <w:sz w:val="24"/>
      <w:szCs w:val="24"/>
    </w:rPr>
  </w:style>
  <w:style w:type="character" w:customStyle="1" w:styleId="style171">
    <w:name w:val="style171"/>
    <w:qFormat/>
    <w:rPr>
      <w:rFonts w:ascii="Times New Roman" w:eastAsia="宋体" w:hAnsi="Times New Roman" w:cs="Times New Roman"/>
      <w:sz w:val="14"/>
      <w:szCs w:val="14"/>
    </w:rPr>
  </w:style>
  <w:style w:type="character" w:customStyle="1" w:styleId="fontstyle01">
    <w:name w:val="fontstyle01"/>
    <w:qFormat/>
    <w:rPr>
      <w:rFonts w:ascii="宋体" w:eastAsia="宋体" w:hAnsi="宋体" w:hint="eastAsia"/>
      <w:color w:val="000000"/>
      <w:sz w:val="24"/>
      <w:szCs w:val="24"/>
    </w:rPr>
  </w:style>
  <w:style w:type="character" w:customStyle="1" w:styleId="fontstyle21">
    <w:name w:val="fontstyle21"/>
    <w:qFormat/>
    <w:rPr>
      <w:rFonts w:ascii="Calibri" w:hAnsi="Calibri" w:cs="Calibri" w:hint="default"/>
      <w:color w:val="000000"/>
      <w:sz w:val="24"/>
      <w:szCs w:val="24"/>
    </w:rPr>
  </w:style>
  <w:style w:type="character" w:customStyle="1" w:styleId="1222Char">
    <w:name w:val="样式 样式 样式 首行缩进:  1 字符 + 首行缩进:  2 字符2 + 首行缩进:  2 字符 Char"/>
    <w:link w:val="1222"/>
    <w:qFormat/>
    <w:locked/>
    <w:rPr>
      <w:rFonts w:ascii="宋体" w:hAnsi="宋体" w:cs="宋体"/>
      <w:kern w:val="2"/>
      <w:sz w:val="24"/>
    </w:rPr>
  </w:style>
  <w:style w:type="paragraph" w:customStyle="1" w:styleId="1222">
    <w:name w:val="样式 样式 样式 首行缩进:  1 字符 + 首行缩进:  2 字符2 + 首行缩进:  2 字符"/>
    <w:basedOn w:val="Normal"/>
    <w:link w:val="1222Char"/>
    <w:qFormat/>
    <w:pPr>
      <w:spacing w:line="360" w:lineRule="auto"/>
      <w:ind w:firstLine="480" w:firstLineChars="200"/>
    </w:pPr>
    <w:rPr>
      <w:rFonts w:ascii="宋体" w:hAnsi="宋体" w:cs="宋体"/>
      <w:sz w:val="24"/>
      <w:szCs w:val="20"/>
    </w:rPr>
  </w:style>
  <w:style w:type="paragraph" w:customStyle="1" w:styleId="ParaChar">
    <w:name w:val="默认段落字体 Para Char"/>
    <w:basedOn w:val="Normal"/>
    <w:qFormat/>
    <w:rPr>
      <w:rFonts w:ascii="Calibri" w:hAnsi="Calibri"/>
    </w:rPr>
  </w:style>
  <w:style w:type="paragraph" w:customStyle="1" w:styleId="TOC10">
    <w:name w:val="TOC 标题1"/>
    <w:basedOn w:val="Heading1"/>
    <w:next w:val="Normal"/>
    <w:uiPriority w:val="39"/>
    <w:unhideWhenUsed/>
    <w:qFormat/>
    <w:pPr>
      <w:keepLines/>
      <w:widowControl/>
      <w:overflowPunct/>
      <w:snapToGrid/>
      <w:spacing w:before="480" w:after="0" w:line="276" w:lineRule="auto"/>
      <w:ind w:left="0" w:firstLine="0"/>
      <w:jc w:val="left"/>
      <w:outlineLvl w:val="9"/>
    </w:pPr>
    <w:rPr>
      <w:rFonts w:asciiTheme="majorHAnsi" w:eastAsiaTheme="majorEastAsia" w:hAnsiTheme="majorHAnsi" w:cstheme="majorBidi"/>
      <w:color w:val="376092" w:themeColor="accent1" w:themeShade="BF"/>
      <w:kern w:val="0"/>
      <w:sz w:val="28"/>
      <w:szCs w:val="28"/>
    </w:rPr>
  </w:style>
  <w:style w:type="paragraph" w:customStyle="1" w:styleId="010">
    <w:name w:val="正文01"/>
    <w:basedOn w:val="Normal"/>
    <w:qFormat/>
    <w:pPr>
      <w:spacing w:before="60" w:line="460" w:lineRule="exact"/>
      <w:ind w:firstLine="200" w:firstLineChars="200"/>
    </w:pPr>
    <w:rPr>
      <w:sz w:val="24"/>
    </w:rPr>
  </w:style>
  <w:style w:type="paragraph" w:customStyle="1" w:styleId="00">
    <w:name w:val="0图表名"/>
    <w:basedOn w:val="Normal"/>
    <w:qFormat/>
    <w:pPr>
      <w:jc w:val="center"/>
    </w:pPr>
    <w:rPr>
      <w:rFonts w:eastAsia="黑体"/>
      <w:kern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hyperlink" Target="https://d.book118.com/448001026000006050" TargetMode="External" /><Relationship Id="rId13" Type="http://schemas.openxmlformats.org/officeDocument/2006/relationships/footer" Target="footer7.xml"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_rels/settings.xml.rels><?xml version="1.0" encoding="utf-8" standalone="yes"?><Relationships xmlns="http://schemas.openxmlformats.org/package/2006/relationships"><Relationship Id="rId1" Type="http://schemas.openxmlformats.org/officeDocument/2006/relationships/attachedTemplate" Target="file:///C:\dsoa\wdzx97.dot"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653AB2-A0F6-4EE2-9BB1-54FA6B9291A3}">
  <ds:schemaRefs/>
</ds:datastoreItem>
</file>

<file path=docProps/app.xml><?xml version="1.0" encoding="utf-8"?>
<Properties xmlns="http://schemas.openxmlformats.org/officeDocument/2006/extended-properties" xmlns:vt="http://schemas.openxmlformats.org/officeDocument/2006/docPropsVTypes">
  <Template>wdzx97</Template>
  <TotalTime>9</TotalTime>
  <Pages>9</Pages>
  <Words>10559</Words>
  <Characters>11088</Characters>
  <Application>Microsoft Office Word</Application>
  <DocSecurity>0</DocSecurity>
  <Lines>2772</Lines>
  <Paragraphs>1803</Paragraphs>
  <ScaleCrop>false</ScaleCrop>
  <Company>微软中国</Company>
  <LinksUpToDate>false</LinksUpToDate>
  <CharactersWithSpaces>19844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lastModifiedBy>WPS_1559717548</cp:lastModifiedBy>
  <cp:revision>644</cp:revision>
  <cp:lastPrinted>2023-09-27T02:13:00Z</cp:lastPrinted>
  <dcterms:created xsi:type="dcterms:W3CDTF">2021-12-01T07:22:00Z</dcterms:created>
  <dcterms:modified xsi:type="dcterms:W3CDTF">2024-03-21T03:51:43Z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E001EC24F27A4491B929FE90D09FBF38</vt:lpwstr>
  </property>
  <property fmtid="{D5CDD505-2E9C-101B-9397-08002B2CF9AE}" pid="3" name="KSOProductBuildVer">
    <vt:lpwstr>2052-11.1.0.10009</vt:lpwstr>
  </property>
</Properties>
</file>