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6692">
      <w:pPr>
        <w:widowControl/>
        <w:jc w:val="left"/>
        <w:rPr>
          <w:rFonts w:ascii="仿宋" w:eastAsia="仿宋" w:hAnsi="仿宋"/>
          <w:b/>
          <w:sz w:val="40"/>
        </w:rPr>
      </w:pPr>
      <w:bookmarkStart w:id="0" w:name="_GoBack"/>
      <w:bookmarkEnd w:id="0"/>
    </w:p>
    <w:p w:rsidR="00C96692">
      <w:pPr>
        <w:widowControl/>
        <w:jc w:val="left"/>
        <w:rPr>
          <w:rFonts w:ascii="仿宋" w:eastAsia="仿宋" w:hAnsi="仿宋"/>
          <w:b/>
          <w:sz w:val="40"/>
        </w:rPr>
      </w:pPr>
    </w:p>
    <w:p w:rsidR="00C96692">
      <w:pPr>
        <w:widowControl/>
        <w:jc w:val="left"/>
        <w:rPr>
          <w:rFonts w:ascii="仿宋" w:eastAsia="仿宋" w:hAnsi="仿宋"/>
          <w:b/>
          <w:sz w:val="40"/>
        </w:rPr>
      </w:pPr>
    </w:p>
    <w:p w:rsidR="00C96692" w:rsidRPr="00C966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6692">
        <w:rPr>
          <w:rFonts w:ascii="宋体" w:eastAsia="宋体" w:hAnsi="宋体" w:hint="eastAsia"/>
          <w:b/>
          <w:sz w:val="60"/>
        </w:rPr>
        <w:t>电磁学计量标准器具投资回报分析报告</w:t>
      </w:r>
    </w:p>
    <w:p w:rsidR="00C96692" w:rsidP="00C96692">
      <w:pPr>
        <w:widowControl/>
        <w:jc w:val="center"/>
        <w:rPr>
          <w:rFonts w:ascii="仿宋" w:eastAsia="仿宋" w:hAnsi="仿宋" w:hint="eastAsia"/>
          <w:b/>
          <w:sz w:val="40"/>
        </w:rPr>
      </w:pPr>
      <w:r w:rsidRPr="00C96692">
        <w:rPr>
          <w:rFonts w:ascii="仿宋" w:eastAsia="仿宋" w:hAnsi="仿宋" w:hint="eastAsia"/>
          <w:b/>
          <w:sz w:val="40"/>
        </w:rPr>
        <w:t>目录</w:t>
      </w:r>
    </w:p>
    <w:p w:rsidR="00C9669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_Toc161427459 \h </w:instrText>
      </w:r>
      <w:r>
        <w:rPr>
          <w:noProof/>
        </w:rPr>
        <w:fldChar w:fldCharType="separate"/>
      </w:r>
      <w:r>
        <w:rPr>
          <w:noProof/>
        </w:rPr>
        <w:t>3</w:t>
      </w:r>
      <w:r>
        <w:rPr>
          <w:noProof/>
        </w:rPr>
        <w:fldChar w:fldCharType="end"/>
      </w:r>
    </w:p>
    <w:p w:rsidR="00C9669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_Toc161427460 \h </w:instrText>
      </w:r>
      <w:r>
        <w:rPr>
          <w:noProof/>
        </w:rPr>
        <w:fldChar w:fldCharType="separate"/>
      </w:r>
      <w:r>
        <w:rPr>
          <w:noProof/>
        </w:rPr>
        <w:t>3</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_Toc161427461 \h </w:instrText>
      </w:r>
      <w:r>
        <w:rPr>
          <w:noProof/>
        </w:rPr>
        <w:fldChar w:fldCharType="separate"/>
      </w:r>
      <w:r>
        <w:rPr>
          <w:noProof/>
        </w:rPr>
        <w:t>3</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_Toc161427462 \h </w:instrText>
      </w:r>
      <w:r>
        <w:rPr>
          <w:noProof/>
        </w:rPr>
        <w:fldChar w:fldCharType="separate"/>
      </w:r>
      <w:r>
        <w:rPr>
          <w:noProof/>
        </w:rPr>
        <w:t>5</w:t>
      </w:r>
      <w:r>
        <w:rPr>
          <w:noProof/>
        </w:rPr>
        <w:fldChar w:fldCharType="end"/>
      </w:r>
    </w:p>
    <w:p w:rsidR="00C96692">
      <w:pPr>
        <w:pStyle w:val="TOC1"/>
        <w:tabs>
          <w:tab w:val="right" w:leader="dot" w:pos="8296"/>
        </w:tabs>
        <w:rPr>
          <w:noProof/>
        </w:rPr>
      </w:pPr>
      <w:r>
        <w:rPr>
          <w:rFonts w:hint="eastAsia"/>
          <w:noProof/>
        </w:rPr>
        <w:t>二、电磁学计量标准器具项目风险管理方案</w:t>
      </w:r>
      <w:r>
        <w:rPr>
          <w:noProof/>
        </w:rPr>
        <w:tab/>
      </w:r>
      <w:r>
        <w:rPr>
          <w:noProof/>
        </w:rPr>
        <w:fldChar w:fldCharType="begin"/>
      </w:r>
      <w:r>
        <w:rPr>
          <w:noProof/>
        </w:rPr>
        <w:instrText xml:space="preserve"> PAGEREF _Toc161427463 \h </w:instrText>
      </w:r>
      <w:r>
        <w:rPr>
          <w:noProof/>
        </w:rPr>
        <w:fldChar w:fldCharType="separate"/>
      </w:r>
      <w:r>
        <w:rPr>
          <w:noProof/>
        </w:rPr>
        <w:t>8</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_Toc161427464 \h </w:instrText>
      </w:r>
      <w:r>
        <w:rPr>
          <w:noProof/>
        </w:rPr>
        <w:fldChar w:fldCharType="separate"/>
      </w:r>
      <w:r>
        <w:rPr>
          <w:noProof/>
        </w:rPr>
        <w:t>8</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_Toc161427465 \h </w:instrText>
      </w:r>
      <w:r>
        <w:rPr>
          <w:noProof/>
        </w:rPr>
        <w:fldChar w:fldCharType="separate"/>
      </w:r>
      <w:r>
        <w:rPr>
          <w:noProof/>
        </w:rPr>
        <w:t>9</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_Toc161427466 \h </w:instrText>
      </w:r>
      <w:r>
        <w:rPr>
          <w:noProof/>
        </w:rPr>
        <w:fldChar w:fldCharType="separate"/>
      </w:r>
      <w:r>
        <w:rPr>
          <w:noProof/>
        </w:rPr>
        <w:t>12</w:t>
      </w:r>
      <w:r>
        <w:rPr>
          <w:noProof/>
        </w:rPr>
        <w:fldChar w:fldCharType="end"/>
      </w:r>
    </w:p>
    <w:p w:rsidR="00C9669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_Toc161427467 \h </w:instrText>
      </w:r>
      <w:r>
        <w:rPr>
          <w:noProof/>
        </w:rPr>
        <w:fldChar w:fldCharType="separate"/>
      </w:r>
      <w:r>
        <w:rPr>
          <w:noProof/>
        </w:rPr>
        <w:t>14</w:t>
      </w:r>
      <w:r>
        <w:rPr>
          <w:noProof/>
        </w:rPr>
        <w:fldChar w:fldCharType="end"/>
      </w:r>
    </w:p>
    <w:p w:rsidR="00C9669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_Toc161427468 \h </w:instrText>
      </w:r>
      <w:r>
        <w:rPr>
          <w:noProof/>
        </w:rPr>
        <w:fldChar w:fldCharType="separate"/>
      </w:r>
      <w:r>
        <w:rPr>
          <w:noProof/>
        </w:rPr>
        <w:t>15</w:t>
      </w:r>
      <w:r>
        <w:rPr>
          <w:noProof/>
        </w:rPr>
        <w:fldChar w:fldCharType="end"/>
      </w:r>
    </w:p>
    <w:p w:rsidR="00C9669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_Toc161427469 \h </w:instrText>
      </w:r>
      <w:r>
        <w:rPr>
          <w:noProof/>
        </w:rPr>
        <w:fldChar w:fldCharType="separate"/>
      </w:r>
      <w:r>
        <w:rPr>
          <w:noProof/>
        </w:rPr>
        <w:t>19</w:t>
      </w:r>
      <w:r>
        <w:rPr>
          <w:noProof/>
        </w:rPr>
        <w:fldChar w:fldCharType="end"/>
      </w:r>
    </w:p>
    <w:p w:rsidR="00C96692">
      <w:pPr>
        <w:pStyle w:val="TOC1"/>
        <w:tabs>
          <w:tab w:val="right" w:leader="dot" w:pos="8296"/>
        </w:tabs>
        <w:rPr>
          <w:noProof/>
        </w:rPr>
      </w:pPr>
      <w:r>
        <w:rPr>
          <w:rFonts w:hint="eastAsia"/>
          <w:noProof/>
        </w:rPr>
        <w:t>三、电磁学计量标准器具项目人力资源管理方案</w:t>
      </w:r>
      <w:r>
        <w:rPr>
          <w:noProof/>
        </w:rPr>
        <w:tab/>
      </w:r>
      <w:r>
        <w:rPr>
          <w:noProof/>
        </w:rPr>
        <w:fldChar w:fldCharType="begin"/>
      </w:r>
      <w:r>
        <w:rPr>
          <w:noProof/>
        </w:rPr>
        <w:instrText xml:space="preserve"> PAGEREF _Toc161427470 \h </w:instrText>
      </w:r>
      <w:r>
        <w:rPr>
          <w:noProof/>
        </w:rPr>
        <w:fldChar w:fldCharType="separate"/>
      </w:r>
      <w:r>
        <w:rPr>
          <w:noProof/>
        </w:rPr>
        <w:t>21</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_Toc161427471 \h </w:instrText>
      </w:r>
      <w:r>
        <w:rPr>
          <w:noProof/>
        </w:rPr>
        <w:fldChar w:fldCharType="separate"/>
      </w:r>
      <w:r>
        <w:rPr>
          <w:noProof/>
        </w:rPr>
        <w:t>21</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_Toc161427472 \h </w:instrText>
      </w:r>
      <w:r>
        <w:rPr>
          <w:noProof/>
        </w:rPr>
        <w:fldChar w:fldCharType="separate"/>
      </w:r>
      <w:r>
        <w:rPr>
          <w:noProof/>
        </w:rPr>
        <w:t>24</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_Toc161427473 \h </w:instrText>
      </w:r>
      <w:r>
        <w:rPr>
          <w:noProof/>
        </w:rPr>
        <w:fldChar w:fldCharType="separate"/>
      </w:r>
      <w:r>
        <w:rPr>
          <w:noProof/>
        </w:rPr>
        <w:t>26</w:t>
      </w:r>
      <w:r>
        <w:rPr>
          <w:noProof/>
        </w:rPr>
        <w:fldChar w:fldCharType="end"/>
      </w:r>
    </w:p>
    <w:p w:rsidR="00C9669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_Toc161427474 \h </w:instrText>
      </w:r>
      <w:r>
        <w:rPr>
          <w:noProof/>
        </w:rPr>
        <w:fldChar w:fldCharType="separate"/>
      </w:r>
      <w:r>
        <w:rPr>
          <w:noProof/>
        </w:rPr>
        <w:t>27</w:t>
      </w:r>
      <w:r>
        <w:rPr>
          <w:noProof/>
        </w:rPr>
        <w:fldChar w:fldCharType="end"/>
      </w:r>
    </w:p>
    <w:p w:rsidR="00C9669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_Toc161427475 \h </w:instrText>
      </w:r>
      <w:r>
        <w:rPr>
          <w:noProof/>
        </w:rPr>
        <w:fldChar w:fldCharType="separate"/>
      </w:r>
      <w:r>
        <w:rPr>
          <w:noProof/>
        </w:rPr>
        <w:t>31</w:t>
      </w:r>
      <w:r>
        <w:rPr>
          <w:noProof/>
        </w:rPr>
        <w:fldChar w:fldCharType="end"/>
      </w:r>
    </w:p>
    <w:p w:rsidR="00C9669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_Toc161427476 \h </w:instrText>
      </w:r>
      <w:r>
        <w:rPr>
          <w:noProof/>
        </w:rPr>
        <w:fldChar w:fldCharType="separate"/>
      </w:r>
      <w:r>
        <w:rPr>
          <w:noProof/>
        </w:rPr>
        <w:t>33</w:t>
      </w:r>
      <w:r>
        <w:rPr>
          <w:noProof/>
        </w:rPr>
        <w:fldChar w:fldCharType="end"/>
      </w:r>
    </w:p>
    <w:p w:rsidR="00C96692">
      <w:pPr>
        <w:pStyle w:val="TOC1"/>
        <w:tabs>
          <w:tab w:val="right" w:leader="dot" w:pos="8296"/>
        </w:tabs>
        <w:rPr>
          <w:noProof/>
        </w:rPr>
      </w:pPr>
      <w:r>
        <w:rPr>
          <w:rFonts w:hint="eastAsia"/>
          <w:noProof/>
        </w:rPr>
        <w:t>四、电磁学计量标准器具项目质量管理方案</w:t>
      </w:r>
      <w:r>
        <w:rPr>
          <w:noProof/>
        </w:rPr>
        <w:tab/>
      </w:r>
      <w:r>
        <w:rPr>
          <w:noProof/>
        </w:rPr>
        <w:fldChar w:fldCharType="begin"/>
      </w:r>
      <w:r>
        <w:rPr>
          <w:noProof/>
        </w:rPr>
        <w:instrText xml:space="preserve"> PAGEREF _Toc161427477 \h </w:instrText>
      </w:r>
      <w:r>
        <w:rPr>
          <w:noProof/>
        </w:rPr>
        <w:fldChar w:fldCharType="separate"/>
      </w:r>
      <w:r>
        <w:rPr>
          <w:noProof/>
        </w:rPr>
        <w:t>36</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_Toc161427478 \h </w:instrText>
      </w:r>
      <w:r>
        <w:rPr>
          <w:noProof/>
        </w:rPr>
        <w:fldChar w:fldCharType="separate"/>
      </w:r>
      <w:r>
        <w:rPr>
          <w:noProof/>
        </w:rPr>
        <w:t>36</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_Toc161427479 \h </w:instrText>
      </w:r>
      <w:r>
        <w:rPr>
          <w:noProof/>
        </w:rPr>
        <w:fldChar w:fldCharType="separate"/>
      </w:r>
      <w:r>
        <w:rPr>
          <w:noProof/>
        </w:rPr>
        <w:t>40</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_Toc161427480 \h </w:instrText>
      </w:r>
      <w:r>
        <w:rPr>
          <w:noProof/>
        </w:rPr>
        <w:fldChar w:fldCharType="separate"/>
      </w:r>
      <w:r>
        <w:rPr>
          <w:noProof/>
        </w:rPr>
        <w:t>42</w:t>
      </w:r>
      <w:r>
        <w:rPr>
          <w:noProof/>
        </w:rPr>
        <w:fldChar w:fldCharType="end"/>
      </w:r>
    </w:p>
    <w:p w:rsidR="00C96692">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_Toc161427481 \h </w:instrText>
      </w:r>
      <w:r>
        <w:rPr>
          <w:noProof/>
        </w:rPr>
        <w:fldChar w:fldCharType="separate"/>
      </w:r>
      <w:r>
        <w:rPr>
          <w:noProof/>
        </w:rPr>
        <w:t>43</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_Toc161427482 \h </w:instrText>
      </w:r>
      <w:r>
        <w:rPr>
          <w:noProof/>
        </w:rPr>
        <w:fldChar w:fldCharType="separate"/>
      </w:r>
      <w:r>
        <w:rPr>
          <w:noProof/>
        </w:rPr>
        <w:t>43</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、电磁学计量标准器具项目预期节能综合评价</w:t>
      </w:r>
      <w:r>
        <w:rPr>
          <w:noProof/>
        </w:rPr>
        <w:tab/>
      </w:r>
      <w:r>
        <w:rPr>
          <w:noProof/>
        </w:rPr>
        <w:fldChar w:fldCharType="begin"/>
      </w:r>
      <w:r>
        <w:rPr>
          <w:noProof/>
        </w:rPr>
        <w:instrText xml:space="preserve"> PAGEREF _Toc161427483 \h </w:instrText>
      </w:r>
      <w:r>
        <w:rPr>
          <w:noProof/>
        </w:rPr>
        <w:fldChar w:fldCharType="separate"/>
      </w:r>
      <w:r>
        <w:rPr>
          <w:noProof/>
        </w:rPr>
        <w:t>44</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、电磁学计量标准器具项目节能设计</w:t>
      </w:r>
      <w:r>
        <w:rPr>
          <w:noProof/>
        </w:rPr>
        <w:tab/>
      </w:r>
      <w:r>
        <w:rPr>
          <w:noProof/>
        </w:rPr>
        <w:fldChar w:fldCharType="begin"/>
      </w:r>
      <w:r>
        <w:rPr>
          <w:noProof/>
        </w:rPr>
        <w:instrText xml:space="preserve"> PAGEREF _Toc161427484 \h </w:instrText>
      </w:r>
      <w:r>
        <w:rPr>
          <w:noProof/>
        </w:rPr>
        <w:fldChar w:fldCharType="separate"/>
      </w:r>
      <w:r>
        <w:rPr>
          <w:noProof/>
        </w:rPr>
        <w:t>46</w:t>
      </w:r>
      <w:r>
        <w:rPr>
          <w:noProof/>
        </w:rPr>
        <w:fldChar w:fldCharType="end"/>
      </w:r>
    </w:p>
    <w:p w:rsidR="00C9669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_Toc161427485 \h </w:instrText>
      </w:r>
      <w:r>
        <w:rPr>
          <w:noProof/>
        </w:rPr>
        <w:fldChar w:fldCharType="separate"/>
      </w:r>
      <w:r>
        <w:rPr>
          <w:noProof/>
        </w:rPr>
        <w:t>47</w:t>
      </w:r>
      <w:r>
        <w:rPr>
          <w:noProof/>
        </w:rPr>
        <w:fldChar w:fldCharType="end"/>
      </w:r>
    </w:p>
    <w:p w:rsidR="00C96692">
      <w:pPr>
        <w:pStyle w:val="TOC1"/>
        <w:tabs>
          <w:tab w:val="right" w:leader="dot" w:pos="8296"/>
        </w:tabs>
        <w:rPr>
          <w:noProof/>
        </w:rPr>
      </w:pPr>
      <w:r>
        <w:rPr>
          <w:rFonts w:hint="eastAsia"/>
          <w:noProof/>
        </w:rPr>
        <w:t>六、电磁学计量标准器具项目经济评价分析</w:t>
      </w:r>
      <w:r>
        <w:rPr>
          <w:noProof/>
        </w:rPr>
        <w:tab/>
      </w:r>
      <w:r>
        <w:rPr>
          <w:noProof/>
        </w:rPr>
        <w:fldChar w:fldCharType="begin"/>
      </w:r>
      <w:r>
        <w:rPr>
          <w:noProof/>
        </w:rPr>
        <w:instrText xml:space="preserve"> PAGEREF _Toc161427486 \h </w:instrText>
      </w:r>
      <w:r>
        <w:rPr>
          <w:noProof/>
        </w:rPr>
        <w:fldChar w:fldCharType="separate"/>
      </w:r>
      <w:r>
        <w:rPr>
          <w:noProof/>
        </w:rPr>
        <w:t>49</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_Toc161427487 \h </w:instrText>
      </w:r>
      <w:r>
        <w:rPr>
          <w:noProof/>
        </w:rPr>
        <w:fldChar w:fldCharType="separate"/>
      </w:r>
      <w:r>
        <w:rPr>
          <w:noProof/>
        </w:rPr>
        <w:t>49</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、电磁学计量标准器具项目盈利能力分析</w:t>
      </w:r>
      <w:r>
        <w:rPr>
          <w:noProof/>
        </w:rPr>
        <w:tab/>
      </w:r>
      <w:r>
        <w:rPr>
          <w:noProof/>
        </w:rPr>
        <w:fldChar w:fldCharType="begin"/>
      </w:r>
      <w:r>
        <w:rPr>
          <w:noProof/>
        </w:rPr>
        <w:instrText xml:space="preserve"> PAGEREF _Toc161427488 \h </w:instrText>
      </w:r>
      <w:r>
        <w:rPr>
          <w:noProof/>
        </w:rPr>
        <w:fldChar w:fldCharType="separate"/>
      </w:r>
      <w:r>
        <w:rPr>
          <w:noProof/>
        </w:rPr>
        <w:t>50</w:t>
      </w:r>
      <w:r>
        <w:rPr>
          <w:noProof/>
        </w:rPr>
        <w:fldChar w:fldCharType="end"/>
      </w:r>
    </w:p>
    <w:p w:rsidR="00C9669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_Toc161427489 \h </w:instrText>
      </w:r>
      <w:r>
        <w:rPr>
          <w:noProof/>
        </w:rPr>
        <w:fldChar w:fldCharType="separate"/>
      </w:r>
      <w:r>
        <w:rPr>
          <w:noProof/>
        </w:rPr>
        <w:t>52</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_Toc161427490 \h </w:instrText>
      </w:r>
      <w:r>
        <w:rPr>
          <w:noProof/>
        </w:rPr>
        <w:fldChar w:fldCharType="separate"/>
      </w:r>
      <w:r>
        <w:rPr>
          <w:noProof/>
        </w:rPr>
        <w:t>52</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_Toc161427491 \h </w:instrText>
      </w:r>
      <w:r>
        <w:rPr>
          <w:noProof/>
        </w:rPr>
        <w:fldChar w:fldCharType="separate"/>
      </w:r>
      <w:r>
        <w:rPr>
          <w:noProof/>
        </w:rPr>
        <w:t>53</w:t>
      </w:r>
      <w:r>
        <w:rPr>
          <w:noProof/>
        </w:rPr>
        <w:fldChar w:fldCharType="end"/>
      </w:r>
    </w:p>
    <w:p w:rsidR="00C96692">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_Toc161427492 \h </w:instrText>
      </w:r>
      <w:r>
        <w:rPr>
          <w:noProof/>
        </w:rPr>
        <w:fldChar w:fldCharType="separate"/>
      </w:r>
      <w:r>
        <w:rPr>
          <w:noProof/>
        </w:rPr>
        <w:t>54</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_Toc161427493 \h </w:instrText>
      </w:r>
      <w:r>
        <w:rPr>
          <w:noProof/>
        </w:rPr>
        <w:fldChar w:fldCharType="separate"/>
      </w:r>
      <w:r>
        <w:rPr>
          <w:noProof/>
        </w:rPr>
        <w:t>54</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_Toc161427494 \h </w:instrText>
      </w:r>
      <w:r>
        <w:rPr>
          <w:noProof/>
        </w:rPr>
        <w:fldChar w:fldCharType="separate"/>
      </w:r>
      <w:r>
        <w:rPr>
          <w:noProof/>
        </w:rPr>
        <w:t>56</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_Toc161427495 \h </w:instrText>
      </w:r>
      <w:r>
        <w:rPr>
          <w:noProof/>
        </w:rPr>
        <w:fldChar w:fldCharType="separate"/>
      </w:r>
      <w:r>
        <w:rPr>
          <w:noProof/>
        </w:rPr>
        <w:t>57</w:t>
      </w:r>
      <w:r>
        <w:rPr>
          <w:noProof/>
        </w:rPr>
        <w:fldChar w:fldCharType="end"/>
      </w:r>
    </w:p>
    <w:p w:rsidR="00C9669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_Toc161427496 \h </w:instrText>
      </w:r>
      <w:r>
        <w:rPr>
          <w:noProof/>
        </w:rPr>
        <w:fldChar w:fldCharType="separate"/>
      </w:r>
      <w:r>
        <w:rPr>
          <w:noProof/>
        </w:rPr>
        <w:t>59</w:t>
      </w:r>
      <w:r>
        <w:rPr>
          <w:noProof/>
        </w:rPr>
        <w:fldChar w:fldCharType="end"/>
      </w:r>
    </w:p>
    <w:p w:rsidR="00C9669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_Toc161427497 \h </w:instrText>
      </w:r>
      <w:r>
        <w:rPr>
          <w:noProof/>
        </w:rPr>
        <w:fldChar w:fldCharType="separate"/>
      </w:r>
      <w:r>
        <w:rPr>
          <w:noProof/>
        </w:rPr>
        <w:t>61</w:t>
      </w:r>
      <w:r>
        <w:rPr>
          <w:noProof/>
        </w:rPr>
        <w:fldChar w:fldCharType="end"/>
      </w:r>
    </w:p>
    <w:p w:rsidR="00C96692">
      <w:pPr>
        <w:pStyle w:val="TOC2"/>
        <w:tabs>
          <w:tab w:val="right" w:leader="dot" w:pos="8296"/>
        </w:tabs>
        <w:rPr>
          <w:noProof/>
        </w:rPr>
      </w:pPr>
      <w:r>
        <w:rPr>
          <w:noProof/>
        </w:rPr>
        <w:t>(</w:t>
      </w:r>
      <w:r>
        <w:rPr>
          <w:rFonts w:hint="eastAsia"/>
          <w:noProof/>
        </w:rPr>
        <w:t>六</w:t>
      </w:r>
      <w:r>
        <w:rPr>
          <w:noProof/>
        </w:rPr>
        <w:t>)</w:t>
      </w:r>
      <w:r>
        <w:rPr>
          <w:rFonts w:hint="eastAsia"/>
          <w:noProof/>
        </w:rPr>
        <w:t>、电磁学计量标准器具项目实施保障</w:t>
      </w:r>
      <w:r>
        <w:rPr>
          <w:noProof/>
        </w:rPr>
        <w:tab/>
      </w:r>
      <w:r>
        <w:rPr>
          <w:noProof/>
        </w:rPr>
        <w:fldChar w:fldCharType="begin"/>
      </w:r>
      <w:r>
        <w:rPr>
          <w:noProof/>
        </w:rPr>
        <w:instrText xml:space="preserve"> PAGEREF _Toc161427498 \h </w:instrText>
      </w:r>
      <w:r>
        <w:rPr>
          <w:noProof/>
        </w:rPr>
        <w:fldChar w:fldCharType="separate"/>
      </w:r>
      <w:r>
        <w:rPr>
          <w:noProof/>
        </w:rPr>
        <w:t>63</w:t>
      </w:r>
      <w:r>
        <w:rPr>
          <w:noProof/>
        </w:rPr>
        <w:fldChar w:fldCharType="end"/>
      </w:r>
    </w:p>
    <w:p w:rsidR="00C96692">
      <w:pPr>
        <w:pStyle w:val="TOC1"/>
        <w:tabs>
          <w:tab w:val="right" w:leader="dot" w:pos="8296"/>
        </w:tabs>
        <w:rPr>
          <w:noProof/>
        </w:rPr>
      </w:pPr>
      <w:r>
        <w:rPr>
          <w:rFonts w:hint="eastAsia"/>
          <w:noProof/>
        </w:rPr>
        <w:t>九、电磁学计量标准器具项目执行与监控</w:t>
      </w:r>
      <w:r>
        <w:rPr>
          <w:noProof/>
        </w:rPr>
        <w:tab/>
      </w:r>
      <w:r>
        <w:rPr>
          <w:noProof/>
        </w:rPr>
        <w:fldChar w:fldCharType="begin"/>
      </w:r>
      <w:r>
        <w:rPr>
          <w:noProof/>
        </w:rPr>
        <w:instrText xml:space="preserve"> PAGEREF _Toc161427499 \h </w:instrText>
      </w:r>
      <w:r>
        <w:rPr>
          <w:noProof/>
        </w:rPr>
        <w:fldChar w:fldCharType="separate"/>
      </w:r>
      <w:r>
        <w:rPr>
          <w:noProof/>
        </w:rPr>
        <w:t>65</w:t>
      </w:r>
      <w:r>
        <w:rPr>
          <w:noProof/>
        </w:rPr>
        <w:fldChar w:fldCharType="end"/>
      </w:r>
    </w:p>
    <w:p w:rsidR="00C966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、电磁学计量标准器具项目执行计划</w:t>
      </w:r>
      <w:r>
        <w:rPr>
          <w:noProof/>
        </w:rPr>
        <w:tab/>
      </w:r>
      <w:r>
        <w:rPr>
          <w:noProof/>
        </w:rPr>
        <w:fldChar w:fldCharType="begin"/>
      </w:r>
      <w:r>
        <w:rPr>
          <w:noProof/>
        </w:rPr>
        <w:instrText xml:space="preserve"> PAGEREF _Toc161427500 \h </w:instrText>
      </w:r>
      <w:r>
        <w:rPr>
          <w:noProof/>
        </w:rPr>
        <w:fldChar w:fldCharType="separate"/>
      </w:r>
      <w:r>
        <w:rPr>
          <w:noProof/>
        </w:rPr>
        <w:t>65</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_Toc161427501 \h </w:instrText>
      </w:r>
      <w:r>
        <w:rPr>
          <w:noProof/>
        </w:rPr>
        <w:fldChar w:fldCharType="separate"/>
      </w:r>
      <w:r>
        <w:rPr>
          <w:noProof/>
        </w:rPr>
        <w:t>68</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_Toc161427502 \h </w:instrText>
      </w:r>
      <w:r>
        <w:rPr>
          <w:noProof/>
        </w:rPr>
        <w:fldChar w:fldCharType="separate"/>
      </w:r>
      <w:r>
        <w:rPr>
          <w:noProof/>
        </w:rPr>
        <w:t>71</w:t>
      </w:r>
      <w:r>
        <w:rPr>
          <w:noProof/>
        </w:rPr>
        <w:fldChar w:fldCharType="end"/>
      </w:r>
    </w:p>
    <w:p w:rsidR="00C96692">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_Toc161427503 \h </w:instrText>
      </w:r>
      <w:r>
        <w:rPr>
          <w:noProof/>
        </w:rPr>
        <w:fldChar w:fldCharType="separate"/>
      </w:r>
      <w:r>
        <w:rPr>
          <w:noProof/>
        </w:rPr>
        <w:t>73</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_Toc161427504 \h </w:instrText>
      </w:r>
      <w:r>
        <w:rPr>
          <w:noProof/>
        </w:rPr>
        <w:fldChar w:fldCharType="separate"/>
      </w:r>
      <w:r>
        <w:rPr>
          <w:noProof/>
        </w:rPr>
        <w:t>73</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_Toc161427505 \h </w:instrText>
      </w:r>
      <w:r>
        <w:rPr>
          <w:noProof/>
        </w:rPr>
        <w:fldChar w:fldCharType="separate"/>
      </w:r>
      <w:r>
        <w:rPr>
          <w:noProof/>
        </w:rPr>
        <w:t>74</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_Toc161427506 \h </w:instrText>
      </w:r>
      <w:r>
        <w:rPr>
          <w:noProof/>
        </w:rPr>
        <w:fldChar w:fldCharType="separate"/>
      </w:r>
      <w:r>
        <w:rPr>
          <w:noProof/>
        </w:rPr>
        <w:t>75</w:t>
      </w:r>
      <w:r>
        <w:rPr>
          <w:noProof/>
        </w:rPr>
        <w:fldChar w:fldCharType="end"/>
      </w:r>
    </w:p>
    <w:p w:rsidR="00C9669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_Toc161427507 \h </w:instrText>
      </w:r>
      <w:r>
        <w:rPr>
          <w:noProof/>
        </w:rPr>
        <w:fldChar w:fldCharType="separate"/>
      </w:r>
      <w:r>
        <w:rPr>
          <w:noProof/>
        </w:rPr>
        <w:t>77</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_Toc161427508 \h </w:instrText>
      </w:r>
      <w:r>
        <w:rPr>
          <w:noProof/>
        </w:rPr>
        <w:fldChar w:fldCharType="separate"/>
      </w:r>
      <w:r>
        <w:rPr>
          <w:noProof/>
        </w:rPr>
        <w:t>77</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、电磁学计量标准器具项目合规性评估</w:t>
      </w:r>
      <w:r>
        <w:rPr>
          <w:noProof/>
        </w:rPr>
        <w:tab/>
      </w:r>
      <w:r>
        <w:rPr>
          <w:noProof/>
        </w:rPr>
        <w:fldChar w:fldCharType="begin"/>
      </w:r>
      <w:r>
        <w:rPr>
          <w:noProof/>
        </w:rPr>
        <w:instrText xml:space="preserve"> PAGEREF _Toc161427509 \h </w:instrText>
      </w:r>
      <w:r>
        <w:rPr>
          <w:noProof/>
        </w:rPr>
        <w:fldChar w:fldCharType="separate"/>
      </w:r>
      <w:r>
        <w:rPr>
          <w:noProof/>
        </w:rPr>
        <w:t>78</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_Toc161427510 \h </w:instrText>
      </w:r>
      <w:r>
        <w:rPr>
          <w:noProof/>
        </w:rPr>
        <w:fldChar w:fldCharType="separate"/>
      </w:r>
      <w:r>
        <w:rPr>
          <w:noProof/>
        </w:rPr>
        <w:t>80</w:t>
      </w:r>
      <w:r>
        <w:rPr>
          <w:noProof/>
        </w:rPr>
        <w:fldChar w:fldCharType="end"/>
      </w:r>
    </w:p>
    <w:p w:rsidR="00C96692">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_Toc161427511 \h </w:instrText>
      </w:r>
      <w:r>
        <w:rPr>
          <w:noProof/>
        </w:rPr>
        <w:fldChar w:fldCharType="separate"/>
      </w:r>
      <w:r>
        <w:rPr>
          <w:noProof/>
        </w:rPr>
        <w:t>82</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_Toc161427512 \h </w:instrText>
      </w:r>
      <w:r>
        <w:rPr>
          <w:noProof/>
        </w:rPr>
        <w:fldChar w:fldCharType="separate"/>
      </w:r>
      <w:r>
        <w:rPr>
          <w:noProof/>
        </w:rPr>
        <w:t>82</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_Toc161427513 \h </w:instrText>
      </w:r>
      <w:r>
        <w:rPr>
          <w:noProof/>
        </w:rPr>
        <w:fldChar w:fldCharType="separate"/>
      </w:r>
      <w:r>
        <w:rPr>
          <w:noProof/>
        </w:rPr>
        <w:t>83</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_Toc161427514 \h </w:instrText>
      </w:r>
      <w:r>
        <w:rPr>
          <w:noProof/>
        </w:rPr>
        <w:fldChar w:fldCharType="separate"/>
      </w:r>
      <w:r>
        <w:rPr>
          <w:noProof/>
        </w:rPr>
        <w:t>84</w:t>
      </w:r>
      <w:r>
        <w:rPr>
          <w:noProof/>
        </w:rPr>
        <w:fldChar w:fldCharType="end"/>
      </w:r>
    </w:p>
    <w:p w:rsidR="00C96692">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_Toc161427515 \h </w:instrText>
      </w:r>
      <w:r>
        <w:rPr>
          <w:noProof/>
        </w:rPr>
        <w:fldChar w:fldCharType="separate"/>
      </w:r>
      <w:r>
        <w:rPr>
          <w:noProof/>
        </w:rPr>
        <w:t>85</w:t>
      </w:r>
      <w:r>
        <w:rPr>
          <w:noProof/>
        </w:rPr>
        <w:fldChar w:fldCharType="end"/>
      </w:r>
    </w:p>
    <w:p w:rsidR="00C9669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_Toc161427516 \h </w:instrText>
      </w:r>
      <w:r>
        <w:rPr>
          <w:noProof/>
        </w:rPr>
        <w:fldChar w:fldCharType="separate"/>
      </w:r>
      <w:r>
        <w:rPr>
          <w:noProof/>
        </w:rPr>
        <w:t>85</w:t>
      </w:r>
      <w:r>
        <w:rPr>
          <w:noProof/>
        </w:rPr>
        <w:fldChar w:fldCharType="end"/>
      </w:r>
    </w:p>
    <w:p w:rsidR="00C9669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_Toc161427517 \h </w:instrText>
      </w:r>
      <w:r>
        <w:rPr>
          <w:noProof/>
        </w:rPr>
        <w:fldChar w:fldCharType="separate"/>
      </w:r>
      <w:r>
        <w:rPr>
          <w:noProof/>
        </w:rPr>
        <w:t>86</w:t>
      </w:r>
      <w:r>
        <w:rPr>
          <w:noProof/>
        </w:rPr>
        <w:fldChar w:fldCharType="end"/>
      </w:r>
    </w:p>
    <w:p w:rsidR="00C9669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_Toc161427518 \h </w:instrText>
      </w:r>
      <w:r>
        <w:rPr>
          <w:noProof/>
        </w:rPr>
        <w:fldChar w:fldCharType="separate"/>
      </w:r>
      <w:r>
        <w:rPr>
          <w:noProof/>
        </w:rPr>
        <w:t>87</w:t>
      </w:r>
      <w:r>
        <w:rPr>
          <w:noProof/>
        </w:rPr>
        <w:fldChar w:fldCharType="end"/>
      </w:r>
    </w:p>
    <w:p w:rsidR="00C96692" w:rsidP="00C9669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96692" w:rsidP="00C96692">
      <w:pPr>
        <w:pStyle w:val="Heading1"/>
        <w:jc w:val="center"/>
        <w:rPr>
          <w:rFonts w:hint="eastAsia"/>
        </w:rPr>
      </w:pPr>
      <w:bookmarkStart w:id="1" w:name="_Toc161427459"/>
      <w:r w:rsidRPr="00C96692">
        <w:rPr>
          <w:rFonts w:hint="eastAsia"/>
        </w:rPr>
        <w:t>概论</w:t>
      </w:r>
      <w:bookmarkEnd w:id="1"/>
    </w:p>
    <w:p w:rsidR="00C96692" w:rsidP="00C96692">
      <w:pPr>
        <w:ind w:firstLine="560" w:firstLineChars="200"/>
        <w:rPr>
          <w:rFonts w:ascii="仿宋" w:eastAsia="仿宋" w:hAnsi="仿宋" w:hint="eastAsia"/>
          <w:sz w:val="28"/>
        </w:rPr>
      </w:pPr>
      <w:r w:rsidRPr="00C9669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96692" w:rsidP="00C96692">
      <w:pPr>
        <w:pStyle w:val="Heading1"/>
        <w:rPr>
          <w:rFonts w:hint="eastAsia"/>
        </w:rPr>
      </w:pPr>
      <w:bookmarkStart w:id="2" w:name="_Toc161427460"/>
      <w:r w:rsidRPr="00C96692">
        <w:rPr>
          <w:rFonts w:hint="eastAsia"/>
        </w:rPr>
        <w:t>一、企业管理方案</w:t>
      </w:r>
      <w:bookmarkEnd w:id="2"/>
    </w:p>
    <w:p w:rsidR="00C96692" w:rsidP="00C96692">
      <w:pPr>
        <w:pStyle w:val="Heading2"/>
        <w:rPr>
          <w:rFonts w:hint="eastAsia"/>
        </w:rPr>
      </w:pPr>
      <w:bookmarkStart w:id="3" w:name="_Toc161427461"/>
      <w:r w:rsidRPr="00C96692">
        <w:rPr>
          <w:rFonts w:hint="eastAsia"/>
        </w:rPr>
        <w:t>(</w:t>
      </w:r>
      <w:r w:rsidRPr="00C96692">
        <w:rPr>
          <w:rFonts w:hint="eastAsia"/>
        </w:rPr>
        <w:t>一</w:t>
      </w:r>
      <w:r w:rsidRPr="00C96692">
        <w:rPr>
          <w:rFonts w:hint="eastAsia"/>
        </w:rPr>
        <w:t>)</w:t>
      </w:r>
      <w:r w:rsidRPr="00C96692">
        <w:rPr>
          <w:rFonts w:hint="eastAsia"/>
        </w:rPr>
        <w:t>、企业管理体系</w:t>
      </w:r>
      <w:bookmarkEnd w:id="3"/>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一、组织结构与体系</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组织结构设计： 确定企业内部各部门、团队和岗位之间的关系，建立清晰的组织结构，以实现工作分工、协作和沟通的有效性。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决策层次： 规定决策的层级结构，确保信息能够迅速准确地传达和决策能够迅速实施。</w:t>
      </w:r>
    </w:p>
    <w:p w:rsidR="00C96692" w:rsidRPr="00C96692" w:rsidP="00C9669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96692">
        <w:rPr>
          <w:rFonts w:ascii="仿宋" w:eastAsia="仿宋" w:hAnsi="仿宋" w:hint="eastAsia"/>
          <w:sz w:val="28"/>
        </w:rPr>
        <w:t xml:space="preserve"> 二、管理流程与方法</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业务流程设计： 制定标准的业务流程，确保企业的核心业务能够高效有序地进行。</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电磁学计量标准器具项目管理方法： 采用适当的电磁学计量标准器具项目管理方法，确保电磁学计量标准器具项目按时按质完成。</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质量管理体系： 实施质量管理体系，确保产品或服务符合规定标准，提高客户满意度。</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三、政策与规程</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企业政策： 制定企业整体发展的方向和原则，确保所有业务活动符合企业的核心价值观。</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规章制度： 制定各项规章制度，规范员工行为，确保企业内部秩序和文化的一致性。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四、人力资源管理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招聘与培训： 制定招聘计划，确保企业拥有足够的人力资源。提供培训机会，提升员工技能水平。</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绩效考核： 设立科学的绩效考核体系，激励员工的积极性和创造性。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员工发展： 提供员工职业发展通道，激发员工对企业的忠诚度。</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五、财务管理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财务规划： 制定财务计划，确保企业有足够的资金支持日常运营和发展。</w:t>
      </w:r>
    </w:p>
    <w:p w:rsidR="00C96692" w:rsidRPr="00C96692" w:rsidP="00C9669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96692">
        <w:rPr>
          <w:rFonts w:ascii="仿宋" w:eastAsia="仿宋" w:hAnsi="仿宋" w:hint="eastAsia"/>
          <w:sz w:val="28"/>
        </w:rPr>
        <w:t>2. 会计体系： 建立健全的会计体系，确保财务报表准确、透明。</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六、信息化管理系统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信息系统建设： 采用现代信息技术，建设适应企业发展的信息系统，提高信息的获取和利用效率。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数据安全： 确保企业的数据安全，采取适当的信息安全措施。</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七、市场与客户管理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市场开发与营销： 制定市场开发计划，提高企业在市场上的知名度和竞争力。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客户关系管理： 建立客户档案，提供个性化服务，提高客户满意度。</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八、创新与持续改进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创新体系： 鼓励员工提出创新建议，建立创新激励机制。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持续改进： 定期进行业务流程改进，提高工作效率和质量。</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96692" w:rsidP="00C96692">
      <w:pPr>
        <w:pStyle w:val="Heading2"/>
      </w:pPr>
      <w:bookmarkStart w:id="4" w:name="_Toc161427462"/>
      <w:r w:rsidRPr="00C96692">
        <w:t>(</w:t>
      </w:r>
      <w:r w:rsidRPr="00C96692">
        <w:t>二</w:t>
      </w:r>
      <w:r w:rsidRPr="00C96692">
        <w:t>)</w:t>
      </w:r>
      <w:r w:rsidRPr="00C96692">
        <w:t>、信息管理与信息系统</w:t>
      </w:r>
      <w:bookmarkEnd w:id="4"/>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一、信息管理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概念与定义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信息管理是通过对信息资源进行规划、组织、存储、传递和控制，以实现信息的有效利用和价值最大化的一种综合性管理活动。</w:t>
      </w:r>
    </w:p>
    <w:p w:rsidR="00C96692" w:rsidRPr="00C96692" w:rsidP="00C9669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6692">
        <w:rPr>
          <w:rFonts w:ascii="仿宋" w:eastAsia="仿宋" w:hAnsi="仿宋" w:hint="eastAsia"/>
          <w:sz w:val="28"/>
        </w:rPr>
        <w:t>2. 重要性与目标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信息价值: 信息是企业最重要的资源之一，对企业的决策、创新和发展至关重要。</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目标: 实现信息的高效流通、及时更新、准确可靠，提高决策的科学性和准确性。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信息管理的基本要素</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信息策划: 制定信息发展的战略和规划。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信息组织: 构建信息资源的组织结构。</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信息存储: 制定信息存储的规范和标准。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信息传递: 通过各种手段和渠道进行信息传递。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信息控制: 对信息进行监控和管理。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二、信息系统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概念与定义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信息系统是由硬件、软件、数据、人员、过程等多个要素组成的，用于收集、存储、处理、分析和传递信息的系统。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组成要素</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硬件: 包括计算机、服务器、网络设备等。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软件: 包括操作系统、应用软件、数据库管理系统等。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数据: 信息系统的基础，包括结构化数据和非结构化数据。</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人员: 系统管理员、用户、开发人员等。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过程: 系统运行和管理的各个流程和方法。</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信息系统的功能</w:t>
      </w:r>
    </w:p>
    <w:p w:rsidR="00C96692" w:rsidRPr="00C96692" w:rsidP="00C966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6692">
        <w:rPr>
          <w:rFonts w:ascii="仿宋" w:eastAsia="仿宋" w:hAnsi="仿宋" w:hint="eastAsia"/>
          <w:sz w:val="28"/>
        </w:rPr>
        <w:t>数据采集和输入: 通过各种手段获取数据。</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数据存储: 将数据存储在数据库或其他媒体中。</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数据处理和分析: 对数据进行处理和分析，生成有用的信息。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信息传递: 将信息传递给需要的人员或系统。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决策支持: 提供决策所需的信息。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三、信息管理与信息系统的关系</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互为支持关系</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信息管理支持信息系统： 信息管理为信息系统提供了规范和战略，确保信息系统能够更好地为企业服务。</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信息系统支持信息管理： 信息系统通过高效的数据处理和分析功能，为信息管理提供了技术支持，使信息更易于管理和利用。</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协同作用</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共同目标: 信息管理与信息系统的共同目标是确保信息的高效管理和利用，为企业的决策提供支持。</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协同作用: 信息管理与信息系统协同工作，推动企业信息化建设，提高信息资源的价值。</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四、信息管理与信息系统的挑战与应对措施</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挑战</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技术更新快: 信息技术发展迅速，更新换代较快。</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数据安全问题: 面临数据泄露、信息安全等风险。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信息过载: 大量信息导致信息过载，难以有效利用。</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应对措施</w:t>
      </w:r>
    </w:p>
    <w:p w:rsidR="00C96692" w:rsidRPr="00C96692" w:rsidP="00C9669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6692">
        <w:rPr>
          <w:rFonts w:ascii="仿宋" w:eastAsia="仿宋" w:hAnsi="仿宋" w:hint="eastAsia"/>
          <w:sz w:val="28"/>
        </w:rPr>
        <w:t>持续学习: 不断学习新的信息技术，保持信息系统的先进性。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强化安全措施: 制定完善的信息安全政策，使用先进的安全技术。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信息筛选与分类: 建立信息分类体系，优先关注关键信息，减少信息过载。</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96692" w:rsidP="00C96692">
      <w:pPr>
        <w:pStyle w:val="Heading1"/>
        <w:rPr>
          <w:rFonts w:hint="eastAsia"/>
        </w:rPr>
      </w:pPr>
      <w:bookmarkStart w:id="5" w:name="_Toc161427463"/>
      <w:r w:rsidRPr="00C96692">
        <w:rPr>
          <w:rFonts w:hint="eastAsia"/>
        </w:rPr>
        <w:t>二、电磁学计量标准器具项目风险管理方案</w:t>
      </w:r>
      <w:bookmarkEnd w:id="5"/>
    </w:p>
    <w:p w:rsidR="00C96692" w:rsidP="00C96692">
      <w:pPr>
        <w:pStyle w:val="Heading2"/>
        <w:rPr>
          <w:rFonts w:hint="eastAsia"/>
        </w:rPr>
      </w:pPr>
      <w:bookmarkStart w:id="6" w:name="_Toc161427464"/>
      <w:r w:rsidRPr="00C96692">
        <w:rPr>
          <w:rFonts w:hint="eastAsia"/>
        </w:rPr>
        <w:t>(</w:t>
      </w:r>
      <w:r w:rsidRPr="00C96692">
        <w:rPr>
          <w:rFonts w:hint="eastAsia"/>
        </w:rPr>
        <w:t>一</w:t>
      </w:r>
      <w:r w:rsidRPr="00C96692">
        <w:rPr>
          <w:rFonts w:hint="eastAsia"/>
        </w:rPr>
        <w:t>)</w:t>
      </w:r>
      <w:r w:rsidRPr="00C96692">
        <w:rPr>
          <w:rFonts w:hint="eastAsia"/>
        </w:rPr>
        <w:t>、风险管理概述</w:t>
      </w:r>
      <w:bookmarkEnd w:id="6"/>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当前政策环境下，风险管理的关键性日益凸显，尤其在电磁学计量标准器具项目实施中扮演着不可或缺的角色。政策的不断调整和变化可能带来新的挑战，因此电磁学计量标准器具项目团队需要更加敏锐地识别、评估和应对各种潜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磁学计量标准器具项目可能产生的潜在影响。</w:t>
      </w:r>
    </w:p>
    <w:p w:rsidR="00C96692" w:rsidRPr="00C96692" w:rsidP="00C966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6692">
        <w:rPr>
          <w:rFonts w:ascii="仿宋" w:eastAsia="仿宋" w:hAnsi="仿宋" w:hint="eastAsia"/>
          <w:sz w:val="28"/>
        </w:rPr>
        <w:t>其次，风险评估的过程需要更具前瞻性，电磁学计量标准器具项目团队应当通过定性和定量分析，充分评估政策变化对电磁学计量标准器具项目目标的可能影响。这一过程的关键在于科学合理地量化潜</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在风险的概率和影响程度，从而有针对性地采取相应的风险应对措施。</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面对政策层面的风险时，风险应对措施需要更加灵活。除了常规的避免、减轻、转移和接受策略外，电磁学计量标准器具项目团队还应考虑制定专门的政策应对计划，包括密切关注政策变化、及时调整电磁学计量标准器具项目实施方案等。例如，加强与相关政府部门的沟通，获取政策解读，及时调整电磁学计量标准器具项目策略以确保电磁学计量标准器具项目不受不确定性的过大影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最后，风险监控的过程也需要更具前瞻性。电磁学计量标准器具项目团队在监控风险的同时，应当随时关注政策环境的变化，确保电磁学计量标准器具项目能够灵活适应新的政策要求。这可能涉及到对电磁学计量标准器具项目计划的及时调整、政策培训和电磁学计量标准器具项目团队的更新等方面，以保持电磁学计量标准器具项目在复杂多变的政策环境中的稳定推进。</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在当前政策背景下，风险管理需要更具前瞻性、灵活性和战略性，以确保电磁学计量标准器具项目能够在不断变化的政策环境中保持成功实施的稳定性。通过全面考虑政策层面的风险，并采取相应的战略性风险管理措施，电磁学计量标准器具项目团队将更有信心和能力应对潜在的挑战，确保电磁学计量标准器具项目的成功推进。</w:t>
      </w:r>
    </w:p>
    <w:p w:rsidR="00C96692" w:rsidP="00C96692">
      <w:pPr>
        <w:pStyle w:val="Heading2"/>
      </w:pPr>
      <w:bookmarkStart w:id="7" w:name="_Toc161427465"/>
      <w:r w:rsidRPr="00C96692">
        <w:t>(</w:t>
      </w:r>
      <w:r w:rsidRPr="00C96692">
        <w:t>二</w:t>
      </w:r>
      <w:r w:rsidRPr="00C96692">
        <w:t>)</w:t>
      </w:r>
      <w:r w:rsidRPr="00C96692">
        <w:t>、企业面临的风险</w:t>
      </w:r>
      <w:bookmarkEnd w:id="7"/>
    </w:p>
    <w:p w:rsidR="00C96692" w:rsidRPr="00C96692" w:rsidP="00C9669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6692">
        <w:rPr>
          <w:rFonts w:ascii="仿宋" w:eastAsia="仿宋" w:hAnsi="仿宋" w:hint="eastAsia"/>
          <w:sz w:val="28"/>
        </w:rPr>
        <w:t>在电磁学计量标准器具项目领域，企业在运营过程中面临着多层次的风险，这些风险源于内部操作、外部环境变化以及激烈的市场竞</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争。为了确保企业的成功，有效的风险管理显得尤为关键。下面将详细探讨电磁学计量标准器具项目中可能出现的各类风险，并提出相应的应对措施，以保障企业的可持续发展。</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一、市场需求波动风险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市场变化带来的需求波动风险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竞争对手的市场份额侵蚀风险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二、供应链风险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原材料供应不稳定风险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96692" w:rsidRPr="00C96692" w:rsidP="00C9669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6692">
        <w:rPr>
          <w:rFonts w:ascii="仿宋" w:eastAsia="仿宋" w:hAnsi="仿宋" w:hint="eastAsia"/>
          <w:sz w:val="28"/>
        </w:rPr>
        <w:t>2. 供应链环节的质量风险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三、技术与生产风险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生产设备故障风险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生产工艺变革风险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四、法律与政策风险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环保政策风险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知识产权风险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在电磁学计量标准器具项目中，知识产权的保护至关重要。企业需防范知识产权被侵犯的风险，加强专利申请、技术保密等工作，以避免知识产权纠纷导致的市场排斥和法律诉讼风险。</w:t>
      </w:r>
    </w:p>
    <w:p w:rsidR="00C96692" w:rsidP="00C966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6692">
        <w:rPr>
          <w:rFonts w:ascii="仿宋" w:eastAsia="仿宋" w:hAnsi="仿宋" w:hint="eastAsia"/>
          <w:sz w:val="28"/>
        </w:rPr>
        <w:t>通过采取上述措施，企业可以更全面、系统地管理各类风险，提</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高对不确定性的应对能力，从而确保电磁学计量标准器具项目的顺利进行和企业的可持续发展。</w:t>
      </w:r>
    </w:p>
    <w:p w:rsidR="00C96692" w:rsidP="00C96692">
      <w:pPr>
        <w:pStyle w:val="Heading2"/>
      </w:pPr>
      <w:bookmarkStart w:id="8" w:name="_Toc161427466"/>
      <w:r w:rsidRPr="00C96692">
        <w:t>(</w:t>
      </w:r>
      <w:r w:rsidRPr="00C96692">
        <w:t>三</w:t>
      </w:r>
      <w:r w:rsidRPr="00C96692">
        <w:t>)</w:t>
      </w:r>
      <w:r w:rsidRPr="00C96692">
        <w:t>、风险成本与风险管理的目标</w:t>
      </w:r>
      <w:bookmarkEnd w:id="8"/>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风险管理一直是任何电磁学计量标准器具项目成功实施的关键因素之一。在电磁学计量标准器具项目中，风险管理的目标是通过系统性的方法识别、评估和应对可能影响电磁学计量标准器具项目目标的潜在风险。为了降低电磁学计量标准器具项目失败的风险，提高电磁学计量标准器具项目的成功率，电磁学计量标准器具项目团队需要在整个电磁学计量标准器具项目生命周期中采取一系列有效的风险管理措施。</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风险成本作为风险管理的一个关键概念，在电磁学计量标准器具项目中显得尤为重要。这指的是由于风险事件的发生可能导致的经济损失和其他负面影响所带来的费用。这些成本涵盖了直接和间接的损失，以及为了应对风险而采取的各种措施所产生的费用。考虑到电磁学计量标准器具项目通常涉及大量资金投入，合理评估和控制风险成本对电磁学计量标准器具项目的成功至关重要，直接影响电磁学计量标准器具项目的资金流动和盈利能力。</w:t>
      </w:r>
    </w:p>
    <w:p w:rsidR="00C96692" w:rsidRPr="00C96692" w:rsidP="00C9669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6692">
        <w:rPr>
          <w:rFonts w:ascii="仿宋" w:eastAsia="仿宋" w:hAnsi="仿宋" w:hint="eastAsia"/>
          <w:sz w:val="28"/>
        </w:rPr>
        <w:t>风险管理的目标之一是在电磁学计量标准器具项目启动阶段就能预测和识别潜在风险。通过建立完善的风险识别和分析体系，电磁学计量标准器具项目团队可以提前评估可能出现的风险，为电磁学计量标准器具项目决策提供科学依据。评估和量化风险同样重要，通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对风险事件的发生概率和影响程度进行评估，可以为电磁学计量标准器具项目制定合适的风险应对策略提供基础。将风险以数字形式量化有助于电磁学计量标准器具项目管理者更好地理解整体风险影响，并作出相应决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控制和减少风险是风险管理的核心目标。通过建立完善的风险控制体系，电磁学计量标准器具项目团队能够制定详细的风险控制计划，并实施有效的措施，以降低电磁学计量标准器具项目的风险水平，提高电磁学计量标准器具项目的成功率。应对和处理风险同样重要，特别是在风险事件发生时，能够及时采取措施最大程度减少损失。</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监控和反馈风险是风险管理的最终目标。通过不断监控电磁学计量标准器具项目的风险状态，及时反馈风险信息，电磁学计量标准器具项目管理者能够做出及时决策，快速调整风险应对策略，确保电磁学计量标准器具项目按计划进行。这有效地建立了电磁学计量标准器具项目的风险监控和反馈机制，有助于电磁学计量标准器具项目在变化的环境中保持灵活性和应变能力。</w:t>
      </w:r>
    </w:p>
    <w:p w:rsidR="00C96692" w:rsidP="00C966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6692">
        <w:rPr>
          <w:rFonts w:ascii="仿宋" w:eastAsia="仿宋" w:hAnsi="仿宋" w:hint="eastAsia"/>
          <w:sz w:val="28"/>
        </w:rPr>
        <w:t>在电磁学计量标准器具项目中，综合考虑风险成本和风险管理的各电磁学计量标准器具项目标，电磁学计量标准器具项目团队能够更好地应对不确定性，提高电磁学计量标准器具项目的成功率。通过合理的风险管理，电磁学计量标准器具项目可以更顺利、更有效地达成预定的时间、成本和质量目标。</w:t>
      </w:r>
    </w:p>
    <w:p w:rsidR="00C96692" w:rsidP="00C96692">
      <w:pPr>
        <w:pStyle w:val="Heading2"/>
      </w:pPr>
      <w:bookmarkStart w:id="9" w:name="_Toc161427467"/>
      <w:r w:rsidRPr="00C96692">
        <w:t>(</w:t>
      </w:r>
      <w:r w:rsidRPr="00C96692">
        <w:t>四</w:t>
      </w:r>
      <w:r w:rsidRPr="00C96692">
        <w:t>)</w:t>
      </w:r>
      <w:r w:rsidRPr="00C96692">
        <w:t>、人力资本风险分析</w:t>
      </w:r>
      <w:bookmarkEnd w:id="9"/>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一、人力资本风险的界定与总览</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中，人力资本风险指的是由于不当的人力资源管理、员工素质欠缺或者员工频繁流动等因素引发的可能性风险。这些潜在的风险直接关系到企业的关键指标，如生产效率、产品质量以及电磁学计量标准器具项目进展。人力资本风险分析的主要目的在于识别和评估这些风险，以帮助企业采取相应措施来降低或避免对电磁学计量标准器具项目的不利影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二、内部人力资本风险的深度分析</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员工素质风险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员工流动风险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高离职率和频繁流动可能带来电磁学计量标准器具项目延误、生产线断档以及知识流失等问题。为了缓解这种风险，企业可通过建立健全的员工关系、提供发展空间和培训机会，增强员工的归属感和忠诚度。</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管理能力风险</w:t>
      </w:r>
    </w:p>
    <w:p w:rsidR="00C96692" w:rsidRPr="00C96692" w:rsidP="00C9669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6692">
        <w:rPr>
          <w:rFonts w:ascii="仿宋" w:eastAsia="仿宋" w:hAnsi="仿宋" w:hint="eastAsia"/>
          <w:sz w:val="28"/>
        </w:rPr>
        <w:t>管理层在电磁学计量标准器具项目过程中的决策、协调和沟通能力不足可能导致电磁学计量标准器具项目进展缓慢、资源浪费以及团队合作不畅。为规避这一风险，企业需强化管理层的培训和能力提升，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提高他们的领导力和组织能力。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三、外部人力资本风险的综合分析</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市场竞争风险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法律法规风险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技术变革风险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通过全面分析内外部人力资本风险，企业能够识别潜在的问题因素，并采取相应措施来降低或避免这些风险对电磁学计量标准器具项目的负面影响。科学合理的人力资本管理有助于提高生产效率、确保产品质量，并确保电磁学计量标准器具项目的顺利推进。</w:t>
      </w:r>
    </w:p>
    <w:p w:rsidR="00C96692" w:rsidP="00C96692">
      <w:pPr>
        <w:pStyle w:val="Heading2"/>
      </w:pPr>
      <w:bookmarkStart w:id="10" w:name="_Toc161427468"/>
      <w:r w:rsidRPr="00C96692">
        <w:t>(</w:t>
      </w:r>
      <w:r w:rsidRPr="00C96692">
        <w:t>五</w:t>
      </w:r>
      <w:r w:rsidRPr="00C96692">
        <w:t>)</w:t>
      </w:r>
      <w:r w:rsidRPr="00C96692">
        <w:t>、风险识别</w:t>
      </w:r>
      <w:bookmarkEnd w:id="10"/>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1. 人才招聘与储备风险</w:t>
      </w:r>
    </w:p>
    <w:p w:rsidR="00C96692" w:rsidRPr="00C96692" w:rsidP="00C9669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6692">
        <w:rPr>
          <w:rFonts w:ascii="仿宋" w:eastAsia="仿宋" w:hAnsi="仿宋" w:hint="eastAsia"/>
          <w:sz w:val="28"/>
        </w:rPr>
        <w:t>在电磁学计量标准器具项目进行中，人才招聘与储备是关键的环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节。如果企业无法及时找到合适的人才填补空缺，可能导致电磁学计量标准器具项目推进受阻，增加其他员工工作负担。建议企业建立健全的招聘渠道，同时进行人才储备，以确保在关键时刻能够迅速找到合适的替补人员。</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2. 培训与继续教育风险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磁学计量标准器具项目质量。</w:t>
      </w:r>
    </w:p>
    <w:p w:rsidR="00C96692" w:rsidRPr="00C96692" w:rsidP="00C96692">
      <w:pPr>
        <w:ind w:firstLine="560" w:firstLineChars="200"/>
        <w:rPr>
          <w:rFonts w:ascii="仿宋" w:eastAsia="仿宋" w:hAnsi="仿宋" w:hint="eastAsia"/>
          <w:sz w:val="28"/>
        </w:rPr>
      </w:pPr>
      <w:r w:rsidRPr="00C96692">
        <w:rPr>
          <w:rFonts w:ascii="仿宋" w:eastAsia="仿宋" w:hAnsi="仿宋"/>
          <w:sz w:val="28"/>
        </w:rPr>
        <w:t xml:space="preserve"> 3</w:t>
      </w:r>
      <w:r w:rsidRPr="00C96692">
        <w:rPr>
          <w:rFonts w:ascii="仿宋" w:eastAsia="仿宋" w:hAnsi="仿宋" w:hint="eastAsia"/>
          <w:sz w:val="28"/>
        </w:rPr>
        <w:t>. 沟通与团队协作风险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电磁学计量标准器具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4. 福利与激励风险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5. 外部劳动力市场风险</w:t>
      </w:r>
    </w:p>
    <w:p w:rsidR="00C96692" w:rsidRPr="00C96692" w:rsidP="00C9669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6692">
        <w:rPr>
          <w:rFonts w:ascii="仿宋" w:eastAsia="仿宋" w:hAnsi="仿宋" w:hint="eastAsia"/>
          <w:sz w:val="28"/>
        </w:rPr>
        <w:t>外部劳动力市场的变化可能影响到企业的招聘和人才储备计划。例如，市场竞争激烈可能导致薪酬水平上涨，影响企业的用工成本。</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企业需要密切关注劳动力市场的动态，灵活调整招聘策略，以降低外部劳动力市场风险。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风险识别的建议与对策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1. 建立健全的招聘渠道与人才储备计划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2. 实施持续的培训与教育计划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3. 加强沟通培训与团队建设</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 xml:space="preserve"> 4. 调整灵活的福利政策和激励机制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5. 持续关注外部劳动力市场动态</w:t>
      </w:r>
    </w:p>
    <w:p w:rsidR="00C96692" w:rsidRPr="00C96692" w:rsidP="00C9669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6692">
        <w:rPr>
          <w:rFonts w:ascii="仿宋" w:eastAsia="仿宋" w:hAnsi="仿宋" w:hint="eastAsia"/>
          <w:sz w:val="28"/>
        </w:rPr>
        <w:t>定期监测外部劳动力市场的动态，包括薪酬水平、竞争态势等因素。及时了解市场趋势，以制定灵活的招聘和用工策略，降低因市场</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波动而引起的风险。建议与专业招聘机构建立合作关系，获取及时的市场信息。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6. 制定危机管理计划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建立完善的危机管理计划，明确各类风险发生时的应急预案和决策流程。包括人才流失、技能短缺、管理层变动等情况的具体处理方案，以应对突发情况，保障电磁学计量标准器具项目的平稳进行。</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7. 强化绩效评估和激励机制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8. 持续改进企业文化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营造积极向上的企业文化，加强员工归属感和凝聚力。通过团队活动、文化建设等方式，培养员工对企业的认同感，减少员工流失风险。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9. 制定法律合规标准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风险识别的综合管理</w:t>
      </w:r>
    </w:p>
    <w:p w:rsidR="00C96692" w:rsidRPr="00C96692" w:rsidP="00C9669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9669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准地应对各类风险。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风险识别是一个动态过程，需要不断地跟踪和调整。企业在电磁学计量标准器具项目中应当持续关注内外部环境的变化，及时调整风险识别策略，以确保电磁学计量标准器具项目的持续稳定推进。通过科学的风险识别和有效的应对措施，企业可以更好地规避潜在风险，保障电磁学计量标准器具项目的成功实施。</w:t>
      </w:r>
    </w:p>
    <w:p w:rsidR="00C96692" w:rsidP="00C96692">
      <w:pPr>
        <w:ind w:firstLine="560" w:firstLineChars="200"/>
        <w:rPr>
          <w:rFonts w:ascii="仿宋" w:eastAsia="仿宋" w:hAnsi="仿宋"/>
          <w:sz w:val="28"/>
        </w:rPr>
      </w:pPr>
    </w:p>
    <w:p w:rsidR="00C96692" w:rsidP="00C96692">
      <w:pPr>
        <w:pStyle w:val="Heading2"/>
      </w:pPr>
      <w:bookmarkStart w:id="11" w:name="_Toc161427469"/>
      <w:r w:rsidRPr="00C96692">
        <w:t>(</w:t>
      </w:r>
      <w:r w:rsidRPr="00C96692">
        <w:t>六</w:t>
      </w:r>
      <w:r w:rsidRPr="00C96692">
        <w:t>)</w:t>
      </w:r>
      <w:r w:rsidRPr="00C96692">
        <w:t>、风险管理的措施</w:t>
      </w:r>
      <w:bookmarkEnd w:id="11"/>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制定全面的风险管理计划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在电磁学计量标准器具项目启动阶段，制定一份全面的风险管理计划，明确风险的识别、评估、监测和应对流程。确保团队对计划的理解，并定期审查和更新以适应电磁学计量标准器具项目的变化。</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建立专业的风险管理团队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 定期进行风险评估</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96692" w:rsidRPr="00C96692" w:rsidP="00C9669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96692">
        <w:rPr>
          <w:rFonts w:ascii="仿宋" w:eastAsia="仿宋" w:hAnsi="仿宋" w:hint="eastAsia"/>
          <w:sz w:val="28"/>
        </w:rPr>
        <w:t>4. 强化沟通与团队合作</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建立畅通的沟通渠道，鼓励团队成员分享风险信息。强化团队的协作能力，确保电磁学计量标准器具项目各阶段的协同工作，以减缓因沟通不畅导致的风险。</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5. 制定风险应对策略</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6. 建立紧急响应机制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制定紧急响应计划，确保在风险发生时能够快速、有序地做出反应。明确责任人，提前准备好必要的资源和工具，以降低风险事件对电磁学计量标准器具项目的不利影响。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7. 风险监测和追踪</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8. 制度化的经验总结</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在电磁学计量标准器具项目结束后，进行全面的风险经验总结。总结成功的风险管理实践和教训，形成制度化的经验库，为未来电磁学计量标准器具项目提供有力的参考和借鉴。</w:t>
      </w:r>
    </w:p>
    <w:p w:rsidR="00C96692" w:rsidP="00C9669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96692">
        <w:rPr>
          <w:rFonts w:ascii="仿宋" w:eastAsia="仿宋" w:hAnsi="仿宋" w:hint="eastAsia"/>
          <w:sz w:val="28"/>
        </w:rPr>
        <w:t>通过采取以上风险管理的措施，企业可以更好地识别、评估和应对潜在的风险，确保电磁学计量标准器具项目能够在不确定的环境中取得成功。风险管理不仅仅是问题的解决，更是对未知因素的有序应</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对，为电磁学计量标准器具项目的可持续发展提供有力支持。</w:t>
      </w:r>
    </w:p>
    <w:p w:rsidR="00C96692" w:rsidP="00C96692">
      <w:pPr>
        <w:pStyle w:val="Heading1"/>
        <w:rPr>
          <w:rFonts w:hint="eastAsia"/>
        </w:rPr>
      </w:pPr>
      <w:bookmarkStart w:id="12" w:name="_Toc161427470"/>
      <w:r w:rsidRPr="00C96692">
        <w:rPr>
          <w:rFonts w:hint="eastAsia"/>
        </w:rPr>
        <w:t>三、电磁学计量标准器具项目人力资源管理方案</w:t>
      </w:r>
      <w:bookmarkEnd w:id="12"/>
    </w:p>
    <w:p w:rsidR="00C96692" w:rsidP="00C96692">
      <w:pPr>
        <w:pStyle w:val="Heading2"/>
        <w:rPr>
          <w:rFonts w:hint="eastAsia"/>
        </w:rPr>
      </w:pPr>
      <w:bookmarkStart w:id="13" w:name="_Toc161427471"/>
      <w:r w:rsidRPr="00C96692">
        <w:rPr>
          <w:rFonts w:hint="eastAsia"/>
        </w:rPr>
        <w:t>(</w:t>
      </w:r>
      <w:r w:rsidRPr="00C96692">
        <w:rPr>
          <w:rFonts w:hint="eastAsia"/>
        </w:rPr>
        <w:t>一</w:t>
      </w:r>
      <w:r w:rsidRPr="00C96692">
        <w:rPr>
          <w:rFonts w:hint="eastAsia"/>
        </w:rPr>
        <w:t>)</w:t>
      </w:r>
      <w:r w:rsidRPr="00C96692">
        <w:rPr>
          <w:rFonts w:hint="eastAsia"/>
        </w:rPr>
        <w:t>、人力资源战略规划</w:t>
      </w:r>
      <w:bookmarkEnd w:id="13"/>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中，人力资源战略规划占据着极为重要的位置，需要深入考虑组织整体的发展方向和目标设定，以及通过合理配置和有效管理人力资源来实现这些目标。在电磁学计量标准器具项目背景下，人力资源战略规划的制定必须全面考虑行业特征、市场需求、技术趋势等多方面因素，以确保企业拥有足够数量、具备相应技能的人才，并通过科学的管理和培训提高员工的绩效，从而保障电磁学计量标准器具项目的成功实施和顺利进行。</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(一)人力资源需求分析</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1、根据电磁学计量标准器具项目规模确定人力资源规模</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电磁学计量标准器具项目规模、生产能力以及市场需求等是决定所需人力资源规模的关键因素。在电磁学计量标准器具项目中，需要对各个环节进行深入分析，包括生产、质量控制、采购、销售、研发等，以明确各部门或岗位的人力资源需求。</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2、分析人力资源结构和能力要求</w:t>
      </w:r>
    </w:p>
    <w:p w:rsidR="00C96692" w:rsidRPr="00C96692" w:rsidP="00C9669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96692">
        <w:rPr>
          <w:rFonts w:ascii="仿宋" w:eastAsia="仿宋" w:hAnsi="仿宋" w:hint="eastAsia"/>
          <w:sz w:val="28"/>
        </w:rPr>
        <w:t>不同岗位对人才结构和能力要求不同。例如，生产线需要熟练的操作工人，研发部门需要具备专业知识和创新能力的人员，管理层则</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需要具备领导和决策能力的管理人才。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3、预测未来人才需求</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结合电磁学计量标准器具项目发展趋势、行业发展和技术变革，预测未来可能出现的新岗位和新需求，为未来人才的储备和培养提前做好准备。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(二)人才招聘与选拔</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1、制定招聘计划和渠道</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2、建立科学的选拔机制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3、引进和留住优秀人才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对于核心岗位和关键岗位，制定有效的引进和留用政策，例如提供具有竞争力的薪酬福利、晋升机制、培训发展等，以留住优秀人才。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(三)人才培训与发展</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1、制定培训计划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根据员工的岗位需求和个人发展需求，制定全面的培训计划，包括岗前培训、岗中培训和岗后培训，确保员工具备所需的技能和知识。</w:t>
      </w:r>
    </w:p>
    <w:p w:rsidR="00C96692" w:rsidRPr="00C96692" w:rsidP="00C9669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96692">
        <w:rPr>
          <w:rFonts w:ascii="仿宋" w:eastAsia="仿宋" w:hAnsi="仿宋" w:hint="eastAsia"/>
          <w:sz w:val="28"/>
        </w:rPr>
        <w:t>2、激励员工学习</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建立学习型组织文化，激励员工不断学习和提升，鼓励参与各类技能培训、岗位轮岗、跨部门学习等活动，提高员工的综合素质和能力。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3、发展通道和规划</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为员工搭建职业发展通道，制定个人发展规划，帮助员工明确自己的职业目标，提供晋升机会和发展空间，激发员工的工作动力和归属感。</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(四)绩效管理与激励机制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1、建立科学的绩效评估体系</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制定明确的绩效评估标准和流程，定期对员工的工作表现进行评估和反馈，及时发现问题并采取改进措施。</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2、激励机制设计</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设计合理的薪酬激励机制和非物质激励机制，如奖金、晋升、表彰奖励等，激发员工的工作热情和创造力。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3、关怀员工福祉</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注重员工的工作生活平衡，提供良好的工作环境和福利待遇，满足员工的物质和精神需求，增强员工对企业的归属感和忠诚度。</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(五)人才流动与留存管理</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1、建立灵活的人才流动机制</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鼓励员工之间的岗位交流和轮岗，帮助员工增加经验，为企业内部人才提供更多的发展机会。</w:t>
      </w:r>
    </w:p>
    <w:p w:rsidR="00C96692" w:rsidRPr="00C96692" w:rsidP="00C9669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96692">
        <w:rPr>
          <w:rFonts w:ascii="仿宋" w:eastAsia="仿宋" w:hAnsi="仿宋" w:hint="eastAsia"/>
          <w:sz w:val="28"/>
        </w:rPr>
        <w:t>2、留存关键人才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对于关键岗位和关键人才，采取多种措施，如个性化发展规划、职业规划咨询、特殊激励机制等，提高关键人才的留存率。</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3、离职员工管理</w:t>
      </w:r>
    </w:p>
    <w:p w:rsidR="00C96692" w:rsidP="00C96692">
      <w:pPr>
        <w:ind w:firstLine="560" w:firstLineChars="200"/>
        <w:rPr>
          <w:rFonts w:ascii="仿宋" w:eastAsia="仿宋" w:hAnsi="仿宋" w:hint="eastAsia"/>
          <w:sz w:val="28"/>
        </w:rPr>
      </w:pPr>
      <w:r w:rsidRPr="00C96692">
        <w:rPr>
          <w:rFonts w:ascii="仿宋" w:eastAsia="仿宋" w:hAnsi="仿宋" w:hint="eastAsia"/>
          <w:sz w:val="28"/>
        </w:rPr>
        <w:t>对离职员工进行调查和反馈，了解员工离职原因和对企业的意见和建议，为改善企业管理和留住人才提供有益信息。</w:t>
      </w:r>
    </w:p>
    <w:p w:rsidR="00C96692" w:rsidP="00C96692">
      <w:pPr>
        <w:pStyle w:val="Heading2"/>
      </w:pPr>
      <w:bookmarkStart w:id="14" w:name="_Toc161427472"/>
      <w:r w:rsidRPr="00C96692">
        <w:t>(</w:t>
      </w:r>
      <w:r w:rsidRPr="00C96692">
        <w:t>二</w:t>
      </w:r>
      <w:r w:rsidRPr="00C96692">
        <w:t>)</w:t>
      </w:r>
      <w:r w:rsidRPr="00C96692">
        <w:t>、薪酬管理</w:t>
      </w:r>
      <w:bookmarkEnd w:id="14"/>
    </w:p>
    <w:p w:rsidR="00C96692" w:rsidRPr="00C96692" w:rsidP="00C96692">
      <w:pPr>
        <w:ind w:firstLine="560" w:firstLineChars="200"/>
        <w:rPr>
          <w:rFonts w:ascii="仿宋" w:eastAsia="仿宋" w:hAnsi="仿宋"/>
          <w:sz w:val="28"/>
        </w:rPr>
      </w:pP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(一) 薪酬管理的背景与重要性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背景</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随着电磁学计量标准器具项目的不断发展，人才成为限制企业前进的一个关键因素。薪酬，作为企业对员工付出的回报，直接影响着员工的积极性、创造力和忠诚度，从而对企业的生产效率和竞争力造成深刻的影响。</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2、 重要性</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合理的薪酬管理对于电磁学计量标准器具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(二) 薪酬管理的制定与执行</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1、 薪酬设计策略</w:t>
      </w:r>
    </w:p>
    <w:p w:rsidR="00C96692" w:rsidRPr="00C96692" w:rsidP="00C96692">
      <w:pPr>
        <w:ind w:firstLine="560" w:firstLineChars="200"/>
        <w:rPr>
          <w:rFonts w:ascii="仿宋" w:eastAsia="仿宋" w:hAnsi="仿宋" w:hint="eastAsia"/>
          <w:sz w:val="28"/>
        </w:rPr>
      </w:pPr>
      <w:r w:rsidRPr="00C96692">
        <w:rPr>
          <w:rFonts w:ascii="仿宋" w:eastAsia="仿宋" w:hAnsi="仿宋" w:hint="eastAsia"/>
          <w:sz w:val="28"/>
        </w:rPr>
        <w:t>在电磁学计量标准器具项目中，制定薪酬策略需考虑企业的发展</w:t>
      </w:r>
      <w:r w:rsidRPr="00C96692">
        <w:rPr>
          <w:rFonts w:ascii="仿宋" w:eastAsia="仿宋" w:hAnsi="仿宋" w:hint="eastAsia"/>
          <w:sz w:val="28"/>
        </w:rPr>
        <w:br/>
      </w:r>
      <w:r w:rsidRPr="00C9669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https://d.book118.com/448003127071006046</w:t>
        </w:r>
      </w:hyperlink>
    </w:p>
    <w:p w:rsidR="00C96692" w:rsidRPr="00C96692" w:rsidP="00C9669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966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9669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9669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9669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9669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9669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9669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9669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9669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9669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9669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9669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9669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9669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9669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9669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9669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9669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9669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9669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9669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9669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9669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9669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669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P="00316E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9669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rsidRPr="00C96692" w:rsidP="00C96692">
    <w:pPr>
      <w:pStyle w:val="Header"/>
      <w:rPr>
        <w:rFonts w:ascii="仿宋" w:eastAsia="仿宋" w:hAnsi="仿宋"/>
      </w:rPr>
    </w:pPr>
    <w:r w:rsidRPr="00C96692">
      <w:rPr>
        <w:rFonts w:ascii="仿宋" w:eastAsia="仿宋" w:hAnsi="仿宋" w:hint="eastAsia"/>
      </w:rPr>
      <w:t>电磁学计量标准器具投资回报分析报告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66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692"/>
    <w:rsid w:val="00316E7D"/>
    <w:rsid w:val="00883E19"/>
    <w:rsid w:val="009B05B4"/>
    <w:rsid w:val="00C9669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9669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966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96692"/>
    <w:rPr>
      <w:b/>
      <w:bCs/>
      <w:kern w:val="44"/>
      <w:sz w:val="44"/>
      <w:szCs w:val="44"/>
    </w:rPr>
  </w:style>
  <w:style w:type="character" w:customStyle="1" w:styleId="2Char">
    <w:name w:val="标题 2 Char"/>
    <w:basedOn w:val="DefaultParagraphFont"/>
    <w:link w:val="Heading2"/>
    <w:uiPriority w:val="9"/>
    <w:rsid w:val="00C9669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966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96692"/>
    <w:rPr>
      <w:sz w:val="18"/>
      <w:szCs w:val="18"/>
    </w:rPr>
  </w:style>
  <w:style w:type="paragraph" w:styleId="Footer">
    <w:name w:val="footer"/>
    <w:basedOn w:val="Normal"/>
    <w:link w:val="Char0"/>
    <w:uiPriority w:val="99"/>
    <w:unhideWhenUsed/>
    <w:rsid w:val="00C966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96692"/>
    <w:rPr>
      <w:sz w:val="18"/>
      <w:szCs w:val="18"/>
    </w:rPr>
  </w:style>
  <w:style w:type="character" w:styleId="PageNumber">
    <w:name w:val="page number"/>
    <w:basedOn w:val="DefaultParagraphFont"/>
    <w:uiPriority w:val="99"/>
    <w:semiHidden/>
    <w:unhideWhenUsed/>
    <w:rsid w:val="00C96692"/>
  </w:style>
  <w:style w:type="paragraph" w:styleId="TOC1">
    <w:name w:val="toc 1"/>
    <w:basedOn w:val="Normal"/>
    <w:next w:val="Normal"/>
    <w:autoRedefine/>
    <w:uiPriority w:val="39"/>
    <w:unhideWhenUsed/>
    <w:rsid w:val="00C96692"/>
  </w:style>
  <w:style w:type="paragraph" w:styleId="TOC2">
    <w:name w:val="toc 2"/>
    <w:basedOn w:val="Normal"/>
    <w:next w:val="Normal"/>
    <w:autoRedefine/>
    <w:uiPriority w:val="39"/>
    <w:unhideWhenUsed/>
    <w:rsid w:val="00C966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8003127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6735</Words>
  <Characters>38394</Characters>
  <Application>Microsoft Office Word</Application>
  <DocSecurity>0</DocSecurity>
  <Lines>319</Lines>
  <Paragraphs>90</Paragraphs>
  <ScaleCrop>false</ScaleCrop>
  <Company>Microsoft</Company>
  <LinksUpToDate>false</LinksUpToDate>
  <CharactersWithSpaces>45039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2024-03-15T12:36:00Z</dcterms:created>
  <dcterms:modified xsi:type="dcterms:W3CDTF">2024-03-15T12:37:00Z</dcterms:modified>
</cp:coreProperties>
</file>