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工程射灯项目建设方案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20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_Toc12083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76" w:history="1">
        <w:r>
          <w:rPr>
            <w:rFonts w:ascii="仿宋" w:eastAsia="仿宋" w:hAnsi="仿宋" w:cs="仿宋" w:hint="eastAsia"/>
            <w:lang w:eastAsia="zh-CN"/>
          </w:rPr>
          <w:t>一、财务管理与成本控制</w:t>
        </w:r>
        <w:r>
          <w:tab/>
        </w:r>
        <w:r>
          <w:fldChar w:fldCharType="begin"/>
        </w:r>
        <w:r>
          <w:instrText xml:space="preserve"> PAGEREF _Toc8276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86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_Toc18886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_Toc27419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6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_Toc5263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_Toc26477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6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_Toc24166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三、环境和生态影响分析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6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_Toc15964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_Toc8236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5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_Toc21859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_Toc8726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_Toc23556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7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_Toc12576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04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_Toc32404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12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_Toc30312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1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_Toc27521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04" w:history="1">
        <w:r>
          <w:rPr>
            <w:rFonts w:ascii="仿宋" w:eastAsia="仿宋" w:hAnsi="仿宋" w:cs="仿宋" w:hint="eastAsia"/>
            <w:lang w:eastAsia="zh-CN"/>
          </w:rPr>
          <w:t>六、工程射灯项目概论</w:t>
        </w:r>
        <w:r>
          <w:tab/>
        </w:r>
        <w:r>
          <w:fldChar w:fldCharType="begin"/>
        </w:r>
        <w:r>
          <w:instrText xml:space="preserve"> PAGEREF _Toc27204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_Toc5699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4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_Toc4644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_Toc2011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_Toc29686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66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_Toc4866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_Toc11827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_Toc2639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8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_Toc26848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_Toc16557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九、资金管理与财务规划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40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_Toc30840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42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_Toc28242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76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_Toc29763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0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_Toc6290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74" w:history="1">
        <w:r>
          <w:rPr>
            <w:rFonts w:ascii="仿宋" w:eastAsia="仿宋" w:hAnsi="仿宋" w:cs="仿宋" w:hint="eastAsia"/>
            <w:lang w:eastAsia="zh-CN"/>
          </w:rPr>
          <w:t>十一、土地利用与规划方案</w:t>
        </w:r>
        <w:r>
          <w:tab/>
        </w:r>
        <w:r>
          <w:fldChar w:fldCharType="begin"/>
        </w:r>
        <w:r>
          <w:instrText xml:space="preserve"> PAGEREF _Toc9074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8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_Toc3288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6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_Toc7746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91" w:history="1">
        <w:r>
          <w:rPr>
            <w:rFonts w:ascii="仿宋" w:eastAsia="仿宋" w:hAnsi="仿宋" w:cs="仿宋" w:hint="eastAsia"/>
            <w:lang w:eastAsia="zh-CN"/>
          </w:rPr>
          <w:t>十二、项目实施与管理方案</w:t>
        </w:r>
        <w:r>
          <w:tab/>
        </w:r>
        <w:r>
          <w:fldChar w:fldCharType="begin"/>
        </w:r>
        <w:r>
          <w:instrText xml:space="preserve"> PAGEREF _Toc32291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_Toc27471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4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_Toc25040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5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_Toc22255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11" w:history="1">
        <w:r>
          <w:rPr>
            <w:rFonts w:ascii="仿宋" w:eastAsia="仿宋" w:hAnsi="仿宋" w:cs="仿宋" w:hint="eastAsia"/>
            <w:lang w:eastAsia="zh-CN"/>
          </w:rPr>
          <w:t>十三、设施与设备管理</w:t>
        </w:r>
        <w:r>
          <w:tab/>
        </w:r>
        <w:r>
          <w:fldChar w:fldCharType="begin"/>
        </w:r>
        <w:r>
          <w:instrText xml:space="preserve"> PAGEREF _Toc30111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_Toc18329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4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_Toc3834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0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_Toc27290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8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_Toc17758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_Toc9047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01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_Toc22801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58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_Toc14758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_Toc141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_Toc26641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17" w:history="1">
        <w:r>
          <w:rPr>
            <w:rFonts w:ascii="仿宋" w:eastAsia="仿宋" w:hAnsi="仿宋" w:cs="仿宋" w:hint="eastAsia"/>
            <w:lang w:eastAsia="zh-CN"/>
          </w:rPr>
          <w:t>十六、产业协同与集群发展</w:t>
        </w:r>
        <w:r>
          <w:tab/>
        </w:r>
        <w:r>
          <w:fldChar w:fldCharType="begin"/>
        </w:r>
        <w:r>
          <w:instrText xml:space="preserve"> PAGEREF _Toc23117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_Toc12533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6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_Toc28116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10" w:history="1">
        <w:r>
          <w:rPr>
            <w:rFonts w:ascii="仿宋" w:eastAsia="仿宋" w:hAnsi="仿宋" w:cs="仿宋" w:hint="eastAsia"/>
            <w:lang w:eastAsia="zh-CN"/>
          </w:rPr>
          <w:t>十七、知识产权管理与保护</w:t>
        </w:r>
        <w:r>
          <w:tab/>
        </w:r>
        <w:r>
          <w:fldChar w:fldCharType="begin"/>
        </w:r>
        <w:r>
          <w:instrText xml:space="preserve"> PAGEREF _Toc23010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6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_Toc15916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8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_Toc9889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693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_Toc16693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_Toc31182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0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_Toc27250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20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276"/>
      <w:r>
        <w:rPr>
          <w:rFonts w:ascii="仿宋" w:eastAsia="仿宋" w:hAnsi="仿宋" w:cs="仿宋" w:hint="eastAsia"/>
          <w:sz w:val="28"/>
          <w:lang w:eastAsia="zh-CN"/>
        </w:rPr>
        <w:t>一、财务管理与成本控制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886"/>
      <w:r>
        <w:rPr>
          <w:rFonts w:ascii="仿宋" w:eastAsia="仿宋" w:hAnsi="仿宋" w:cs="仿宋" w:hint="eastAsia"/>
          <w:lang w:eastAsia="zh-CN"/>
        </w:rPr>
        <w:t>(一)、财务管理体系建设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优化财务流程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致力于提高财务管理效率，其中关键在于对财务流程的精心设计和优化。引入高效的财务管理软件和信息化系统，实现自动化的财务数据处理，从而减轻手工操作负担，提高工作效率。同时，建立科学的财务审核机制，确保财务流程规范有序，整体财务管理水平得以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精细预算管理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项目将建立完善的预算管理体系，目标在于全面了解项目的财务状况和资金运作情况。通过制定详实的年度财务预算，项目能够更有效地规划资源的使用和支出，降低经营风险。同时，设立预算执行监控机制，及时对比实际财务数据与预算计划，灵活调整经营策略，确保财务活动在合理轨道上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构建内部控制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加强对财务风险的管控，工程射灯项目将建设完备的内部控制体系。通过明晰财务职责和权限，建立严密的财务核算和审计规章，降低潜在的财务误差和不当行为。同时，强化对关键财务环节的监管，如资金管理和成本控制，确保内部控制体系全方位、有效地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精准资金风险管理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注重对资金风险的精准管理。通过建立完善的资金计划机制，实时监测项目的资金流向，主动防范潜在的资金风险。同时，加强与金融机构的协作，优化资金结构，以达到更低的资金成本。在面对市场波动和外部经济变化时，项目将采用灵活的资金应对策略，确保资金的安全性和流动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419"/>
      <w:r>
        <w:rPr>
          <w:rFonts w:ascii="仿宋" w:eastAsia="仿宋" w:hAnsi="仿宋" w:cs="仿宋" w:hint="eastAsia"/>
          <w:sz w:val="28"/>
          <w:lang w:eastAsia="zh-CN"/>
        </w:rPr>
        <w:t>(二)、成本控制措施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供应链优化： 我们通过与供应商建立紧密的合作关系，优化采购流程，降低原材料和物流成本。同时，通过合理的库存管理，减少库存占用资金，提高资金周转率。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生产效率提升： 我们持续关注生产流程，引入先进的生产技术和自动化设备，提高生产效率，降低人工成本。通过员工培训和技能提升，确保生产团队具备高效的操作技能。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成本核算和分析： 我们建立完善的成本核算系统，对各个环节的成本进行详细分析。通过精确的数据，及时发现和解决成本异常波动，确保成本控制在可控范围内。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能源管理： 我们致力于提高能源利用效率，采用节能设备和技术，减少能源浪费。通过定期的能源审计，寻找潜在的节能机会，降低生产和运营中的能源成本。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人力资源优化： 我们通过合理的组织架构设计和人才培养计划，确保团队的高效运作。根据市场需求和业务发展，灵活调整人力资源结构，避免不必要的用人成本。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技术创新： 我们鼓励技术创新和研发投入，通过引入新技术、新工艺，提高产品质量和生产效率。技术创新不仅有助于降低生产成本，还提高了产品附加值。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采购策略： 我们采用灵活的采购策略，与供应商协商获取更有竞争力的价格和支付条件。同时，寻找多元化的供应渠道，降低对单一供应商的依赖。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定期成本审查： 我们设立定期的成本审查机制，定期对各项费用进行审查和评估。通过对成本的全面监控，及时调整和优化经营策略。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686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5263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477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4166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16688"/>
      <w:r>
        <w:rPr>
          <w:rFonts w:ascii="仿宋" w:eastAsia="仿宋" w:hAnsi="仿宋" w:cs="仿宋" w:hint="eastAsia"/>
          <w:sz w:val="28"/>
          <w:lang w:eastAsia="zh-CN"/>
        </w:rPr>
        <w:t>三、环境和生态影响分析</w:t>
      </w:r>
      <w:bookmarkEnd w:id="9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0" w:name="_Toc1596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工程射灯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823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工程射灯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土壤和地质影响：工程射灯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工程射灯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07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工程射灯项目将举办环保教育研讨会，向员工和当地社区普及环保知识，提升对环境保护重要性的认识。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https://d.book118.com/448022005064006046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工程射灯项目建设方案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912F74"/>
    <w:rsid w:val="11912F7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4802200506400604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2024-03-04T21:30:00Z</dcterms:created>
  <dcterms:modified xsi:type="dcterms:W3CDTF">2024-03-04T21:31:15Z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9611E6E9CD7E4A3CB5C1C23D05F42692_11</vt:lpwstr>
  </property>
  <property fmtid="{D5CDD505-2E9C-101B-9397-08002B2CF9AE}" pid="3" name="KSOProductBuildVer">
    <vt:lpwstr>2052-12.1.0.16250</vt:lpwstr>
  </property>
</Properties>
</file>