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29" w:line="221" w:lineRule="auto"/>
        <w:ind w:left="2208"/>
        <w:outlineLvl w:val="0"/>
        <w:rPr>
          <w:sz w:val="35"/>
          <w:szCs w:val="35"/>
        </w:rPr>
      </w:pPr>
      <w:bookmarkStart w:id="0" w:name="bookmark1"/>
      <w:bookmarkEnd w:id="0"/>
      <w:r>
        <w:rPr>
          <w:b/>
          <w:bCs/>
          <w:spacing w:val="3"/>
          <w:sz w:val="35"/>
          <w:szCs w:val="35"/>
        </w:rPr>
        <w:t>万达院线的偿债风险分析</w:t>
      </w:r>
    </w:p>
    <w:sdt>
      <w:sdtPr>
        <w:rPr>
          <w:rFonts w:ascii="Times New Roman" w:eastAsia="Times New Roman" w:hAnsi="Times New Roman" w:cs="Times New Roman"/>
          <w:sz w:val="24"/>
          <w:szCs w:val="24"/>
        </w:rPr>
        <w:id w:val="1532961736"/>
        <w:docPartObj>
          <w:docPartGallery w:val="Table of Contents"/>
          <w:docPartUnique/>
        </w:docPartObj>
      </w:sdtPr>
      <w:sdtEndPr>
        <w:rPr>
          <w:rFonts w:ascii="Times New Roman" w:eastAsia="Times New Roman" w:hAnsi="Times New Roman" w:cs="Times New Roman"/>
          <w:sz w:val="24"/>
          <w:szCs w:val="24"/>
        </w:rPr>
      </w:sdtEndPr>
      <w:sdtContent>
        <w:p>
          <w:pPr>
            <w:pStyle w:val="BodyText"/>
            <w:tabs>
              <w:tab w:val="right" w:leader="dot" w:pos="8285"/>
            </w:tabs>
            <w:spacing w:before="144" w:line="224" w:lineRule="auto"/>
            <w:ind w:left="3"/>
            <w:rPr>
              <w:rFonts w:ascii="Times New Roman" w:eastAsia="Times New Roman" w:hAnsi="Times New Roman" w:cs="Times New Roman"/>
            </w:rPr>
          </w:pPr>
          <w:r>
            <w:rPr>
              <w:rFonts w:ascii="Times New Roman" w:eastAsia="Times New Roman" w:hAnsi="Times New Roman" w:cs="Times New Roman"/>
              <w:spacing w:val="-32"/>
              <w:w w:val="93"/>
            </w:rPr>
            <w:t>1.</w:t>
          </w:r>
          <w:r>
            <w:rPr>
              <w:rFonts w:ascii="Times New Roman" w:eastAsia="Times New Roman" w:hAnsi="Times New Roman" w:cs="Times New Roman"/>
              <w:spacing w:val="20"/>
            </w:rPr>
            <w:t xml:space="preserve">  </w:t>
          </w:r>
          <w:r>
            <w:rPr>
              <w:spacing w:val="-32"/>
              <w:w w:val="93"/>
            </w:rPr>
            <w:t>引言</w:t>
          </w:r>
          <w:r>
            <w:rPr>
              <w:spacing w:val="-97"/>
            </w:rPr>
            <w:t xml:space="preserve"> </w:t>
          </w:r>
          <w:r>
            <w:tab/>
          </w:r>
          <w:r>
            <w:rPr>
              <w:spacing w:val="-13"/>
            </w:rPr>
            <w:t xml:space="preserve"> </w:t>
          </w:r>
          <w:hyperlink w:anchor="bookmark1" w:history="1">
            <w:r>
              <w:rPr>
                <w:rFonts w:ascii="Times New Roman" w:eastAsia="Times New Roman" w:hAnsi="Times New Roman" w:cs="Times New Roman"/>
              </w:rPr>
              <w:t>1</w:t>
            </w:r>
          </w:hyperlink>
        </w:p>
        <w:p>
          <w:pPr>
            <w:pStyle w:val="BodyText"/>
            <w:tabs>
              <w:tab w:val="right" w:leader="dot" w:pos="8277"/>
            </w:tabs>
            <w:spacing w:before="101" w:line="218" w:lineRule="auto"/>
            <w:ind w:left="3"/>
            <w:rPr>
              <w:rFonts w:ascii="Times New Roman" w:eastAsia="Times New Roman" w:hAnsi="Times New Roman" w:cs="Times New Roman"/>
            </w:rPr>
          </w:pPr>
          <w:r>
            <w:rPr>
              <w:rFonts w:ascii="Times New Roman" w:eastAsia="Times New Roman" w:hAnsi="Times New Roman" w:cs="Times New Roman"/>
              <w:spacing w:val="-2"/>
            </w:rPr>
            <w:t>2.</w:t>
          </w:r>
          <w:r>
            <w:rPr>
              <w:spacing w:val="-2"/>
            </w:rPr>
            <w:t>万达院线的偿债风险的基本理论及文献综述</w:t>
          </w:r>
          <w:r>
            <w:rPr>
              <w:spacing w:val="-69"/>
            </w:rPr>
            <w:t xml:space="preserve"> </w:t>
          </w:r>
          <w:r>
            <w:tab/>
          </w:r>
          <w:r>
            <w:rPr>
              <w:spacing w:val="-43"/>
            </w:rPr>
            <w:t xml:space="preserve"> </w:t>
          </w:r>
          <w:hyperlink w:anchor="bookmark2" w:history="1">
            <w:r>
              <w:rPr>
                <w:rFonts w:ascii="Times New Roman" w:eastAsia="Times New Roman" w:hAnsi="Times New Roman" w:cs="Times New Roman"/>
              </w:rPr>
              <w:t>2</w:t>
            </w:r>
          </w:hyperlink>
        </w:p>
        <w:p>
          <w:pPr>
            <w:pStyle w:val="BodyText"/>
            <w:tabs>
              <w:tab w:val="right" w:leader="dot" w:pos="8267"/>
            </w:tabs>
            <w:spacing w:before="96" w:line="218" w:lineRule="auto"/>
            <w:ind w:left="423"/>
            <w:rPr>
              <w:rFonts w:ascii="Times New Roman" w:eastAsia="Times New Roman" w:hAnsi="Times New Roman" w:cs="Times New Roman"/>
            </w:rPr>
          </w:pPr>
          <w:r>
            <w:rPr>
              <w:rFonts w:ascii="Times New Roman" w:eastAsia="Times New Roman" w:hAnsi="Times New Roman" w:cs="Times New Roman"/>
              <w:spacing w:val="2"/>
            </w:rPr>
            <w:t>2.1</w:t>
          </w:r>
          <w:r>
            <w:rPr>
              <w:rFonts w:ascii="Times New Roman" w:eastAsia="Times New Roman" w:hAnsi="Times New Roman" w:cs="Times New Roman"/>
              <w:spacing w:val="-30"/>
            </w:rPr>
            <w:t xml:space="preserve"> </w:t>
          </w:r>
          <w:r>
            <w:rPr>
              <w:spacing w:val="2"/>
            </w:rPr>
            <w:t>文献综述</w:t>
          </w:r>
          <w:r>
            <w:rPr>
              <w:spacing w:val="-96"/>
            </w:rPr>
            <w:t xml:space="preserve"> </w:t>
          </w:r>
          <w:r>
            <w:tab/>
          </w:r>
          <w:hyperlink w:anchor="bookmark3" w:history="1">
            <w:r>
              <w:rPr>
                <w:rFonts w:ascii="Times New Roman" w:eastAsia="Times New Roman" w:hAnsi="Times New Roman" w:cs="Times New Roman"/>
              </w:rPr>
              <w:t>2</w:t>
            </w:r>
          </w:hyperlink>
        </w:p>
        <w:p>
          <w:pPr>
            <w:pStyle w:val="BodyText"/>
            <w:tabs>
              <w:tab w:val="right" w:leader="dot" w:pos="8267"/>
            </w:tabs>
            <w:spacing w:before="116" w:line="218" w:lineRule="auto"/>
            <w:ind w:left="833"/>
            <w:rPr>
              <w:rFonts w:ascii="Times New Roman" w:eastAsia="Times New Roman" w:hAnsi="Times New Roman" w:cs="Times New Roman"/>
            </w:rPr>
          </w:pPr>
          <w:r>
            <w:rPr>
              <w:rFonts w:ascii="Times New Roman" w:eastAsia="Times New Roman" w:hAnsi="Times New Roman" w:cs="Times New Roman"/>
              <w:spacing w:val="3"/>
            </w:rPr>
            <w:t>2.1.1</w:t>
          </w:r>
          <w:r>
            <w:rPr>
              <w:spacing w:val="3"/>
            </w:rPr>
            <w:t>国内文献综述</w:t>
          </w:r>
          <w:r>
            <w:rPr>
              <w:spacing w:val="-94"/>
            </w:rPr>
            <w:t xml:space="preserve"> </w:t>
          </w:r>
          <w:r>
            <w:tab/>
          </w:r>
          <w:r>
            <w:rPr>
              <w:spacing w:val="-33"/>
            </w:rPr>
            <w:t xml:space="preserve"> </w:t>
          </w:r>
          <w:hyperlink w:anchor="bookmark4" w:history="1">
            <w:r>
              <w:rPr>
                <w:rFonts w:ascii="Times New Roman" w:eastAsia="Times New Roman" w:hAnsi="Times New Roman" w:cs="Times New Roman"/>
              </w:rPr>
              <w:t>2</w:t>
            </w:r>
          </w:hyperlink>
        </w:p>
        <w:p>
          <w:pPr>
            <w:pStyle w:val="BodyText"/>
            <w:tabs>
              <w:tab w:val="right" w:leader="dot" w:pos="8277"/>
            </w:tabs>
            <w:spacing w:before="97" w:line="218" w:lineRule="auto"/>
            <w:ind w:left="833"/>
            <w:rPr>
              <w:rFonts w:ascii="Times New Roman" w:eastAsia="Times New Roman" w:hAnsi="Times New Roman" w:cs="Times New Roman"/>
            </w:rPr>
          </w:pPr>
          <w:r>
            <w:rPr>
              <w:rFonts w:ascii="Times New Roman" w:eastAsia="Times New Roman" w:hAnsi="Times New Roman" w:cs="Times New Roman"/>
            </w:rPr>
            <w:t>2.1.2</w:t>
          </w:r>
          <w:r>
            <w:rPr>
              <w:rFonts w:ascii="Times New Roman" w:eastAsia="Times New Roman" w:hAnsi="Times New Roman" w:cs="Times New Roman"/>
              <w:spacing w:val="-15"/>
            </w:rPr>
            <w:t xml:space="preserve"> </w:t>
          </w:r>
          <w:r>
            <w:t>国外文献综述</w:t>
          </w:r>
          <w:r>
            <w:rPr>
              <w:spacing w:val="-96"/>
            </w:rPr>
            <w:t xml:space="preserve"> </w:t>
          </w:r>
          <w:r>
            <w:tab/>
          </w:r>
          <w:r>
            <w:rPr>
              <w:spacing w:val="-33"/>
            </w:rPr>
            <w:t xml:space="preserve"> </w:t>
          </w:r>
          <w:hyperlink w:anchor="bookmark5" w:history="1">
            <w:r>
              <w:rPr>
                <w:rFonts w:ascii="Times New Roman" w:eastAsia="Times New Roman" w:hAnsi="Times New Roman" w:cs="Times New Roman"/>
              </w:rPr>
              <w:t>2</w:t>
            </w:r>
          </w:hyperlink>
        </w:p>
        <w:p>
          <w:pPr>
            <w:pStyle w:val="BodyText"/>
            <w:tabs>
              <w:tab w:val="right" w:leader="dot" w:pos="8272"/>
            </w:tabs>
            <w:spacing w:before="105" w:line="216" w:lineRule="auto"/>
            <w:ind w:left="423"/>
            <w:rPr>
              <w:rFonts w:ascii="Times New Roman" w:eastAsia="Times New Roman" w:hAnsi="Times New Roman" w:cs="Times New Roman"/>
            </w:rPr>
          </w:pPr>
          <w:r>
            <w:rPr>
              <w:rFonts w:ascii="Times New Roman" w:eastAsia="Times New Roman" w:hAnsi="Times New Roman" w:cs="Times New Roman"/>
              <w:spacing w:val="2"/>
            </w:rPr>
            <w:t>2.2</w:t>
          </w:r>
          <w:r>
            <w:rPr>
              <w:rFonts w:ascii="Times New Roman" w:eastAsia="Times New Roman" w:hAnsi="Times New Roman" w:cs="Times New Roman"/>
              <w:spacing w:val="-35"/>
            </w:rPr>
            <w:t xml:space="preserve"> </w:t>
          </w:r>
          <w:r>
            <w:rPr>
              <w:spacing w:val="2"/>
            </w:rPr>
            <w:t>短期偿债能力指标的理论基础</w:t>
          </w:r>
          <w:r>
            <w:rPr>
              <w:spacing w:val="-109"/>
            </w:rPr>
            <w:t xml:space="preserve"> </w:t>
          </w:r>
          <w:r>
            <w:tab/>
          </w:r>
          <w:hyperlink w:anchor="bookmark6" w:history="1">
            <w:r>
              <w:rPr>
                <w:rFonts w:ascii="Times New Roman" w:eastAsia="Times New Roman" w:hAnsi="Times New Roman" w:cs="Times New Roman"/>
              </w:rPr>
              <w:t>3</w:t>
            </w:r>
          </w:hyperlink>
        </w:p>
        <w:p>
          <w:pPr>
            <w:pStyle w:val="BodyText"/>
            <w:tabs>
              <w:tab w:val="right" w:leader="dot" w:pos="8272"/>
            </w:tabs>
            <w:spacing w:before="127" w:line="222" w:lineRule="auto"/>
            <w:ind w:left="833"/>
            <w:rPr>
              <w:rFonts w:ascii="Times New Roman" w:eastAsia="Times New Roman" w:hAnsi="Times New Roman" w:cs="Times New Roman"/>
            </w:rPr>
          </w:pPr>
          <w:r>
            <w:rPr>
              <w:rFonts w:ascii="Times New Roman" w:eastAsia="Times New Roman" w:hAnsi="Times New Roman" w:cs="Times New Roman"/>
              <w:spacing w:val="2"/>
            </w:rPr>
            <w:t>2.2.1</w:t>
          </w:r>
          <w:r>
            <w:rPr>
              <w:rFonts w:ascii="Times New Roman" w:eastAsia="Times New Roman" w:hAnsi="Times New Roman" w:cs="Times New Roman"/>
              <w:spacing w:val="-28"/>
            </w:rPr>
            <w:t xml:space="preserve"> </w:t>
          </w:r>
          <w:r>
            <w:rPr>
              <w:spacing w:val="2"/>
            </w:rPr>
            <w:t>流动比率</w:t>
          </w:r>
          <w:r>
            <w:rPr>
              <w:spacing w:val="-101"/>
            </w:rPr>
            <w:t xml:space="preserve"> </w:t>
          </w:r>
          <w:r>
            <w:tab/>
          </w:r>
          <w:r>
            <w:rPr>
              <w:spacing w:val="-33"/>
            </w:rPr>
            <w:t xml:space="preserve"> </w:t>
          </w:r>
          <w:hyperlink w:anchor="bookmark7" w:history="1">
            <w:r>
              <w:rPr>
                <w:rFonts w:ascii="Times New Roman" w:eastAsia="Times New Roman" w:hAnsi="Times New Roman" w:cs="Times New Roman"/>
              </w:rPr>
              <w:t>3</w:t>
            </w:r>
          </w:hyperlink>
        </w:p>
        <w:p>
          <w:pPr>
            <w:pStyle w:val="BodyText"/>
            <w:tabs>
              <w:tab w:val="right" w:leader="dot" w:pos="8262"/>
            </w:tabs>
            <w:spacing w:before="91" w:line="222" w:lineRule="auto"/>
            <w:ind w:left="833"/>
            <w:rPr>
              <w:rFonts w:ascii="Times New Roman" w:eastAsia="Times New Roman" w:hAnsi="Times New Roman" w:cs="Times New Roman"/>
            </w:rPr>
          </w:pPr>
          <w:r>
            <w:rPr>
              <w:rFonts w:ascii="Times New Roman" w:eastAsia="Times New Roman" w:hAnsi="Times New Roman" w:cs="Times New Roman"/>
              <w:spacing w:val="1"/>
            </w:rPr>
            <w:t>2.2.2</w:t>
          </w:r>
          <w:r>
            <w:rPr>
              <w:rFonts w:ascii="Times New Roman" w:eastAsia="Times New Roman" w:hAnsi="Times New Roman" w:cs="Times New Roman"/>
              <w:spacing w:val="-19"/>
            </w:rPr>
            <w:t xml:space="preserve"> </w:t>
          </w:r>
          <w:r>
            <w:rPr>
              <w:spacing w:val="1"/>
            </w:rPr>
            <w:t>速动比率</w:t>
          </w:r>
          <w:r>
            <w:rPr>
              <w:spacing w:val="-101"/>
            </w:rPr>
            <w:t xml:space="preserve"> </w:t>
          </w:r>
          <w:r>
            <w:tab/>
          </w:r>
          <w:r>
            <w:rPr>
              <w:spacing w:val="-43"/>
            </w:rPr>
            <w:t xml:space="preserve"> </w:t>
          </w:r>
          <w:hyperlink w:anchor="bookmark8" w:history="1">
            <w:r>
              <w:rPr>
                <w:rFonts w:ascii="Times New Roman" w:eastAsia="Times New Roman" w:hAnsi="Times New Roman" w:cs="Times New Roman"/>
              </w:rPr>
              <w:t>3</w:t>
            </w:r>
          </w:hyperlink>
        </w:p>
        <w:p>
          <w:pPr>
            <w:pStyle w:val="BodyText"/>
            <w:tabs>
              <w:tab w:val="right" w:leader="dot" w:pos="8259"/>
            </w:tabs>
            <w:spacing w:before="116" w:line="227" w:lineRule="auto"/>
            <w:ind w:left="833"/>
            <w:rPr>
              <w:rFonts w:ascii="Times New Roman" w:eastAsia="Times New Roman" w:hAnsi="Times New Roman" w:cs="Times New Roman"/>
            </w:rPr>
          </w:pPr>
          <w:r>
            <w:rPr>
              <w:rFonts w:ascii="Times New Roman" w:eastAsia="Times New Roman" w:hAnsi="Times New Roman" w:cs="Times New Roman"/>
              <w:spacing w:val="1"/>
            </w:rPr>
            <w:t xml:space="preserve">2.2.3 </w:t>
          </w:r>
          <w:r>
            <w:rPr>
              <w:spacing w:val="1"/>
            </w:rPr>
            <w:t>现金比率</w:t>
          </w:r>
          <w:r>
            <w:rPr>
              <w:spacing w:val="-101"/>
            </w:rPr>
            <w:t xml:space="preserve"> </w:t>
          </w:r>
          <w:r>
            <w:tab/>
          </w:r>
          <w:r>
            <w:rPr>
              <w:spacing w:val="-73"/>
            </w:rPr>
            <w:t xml:space="preserve"> </w:t>
          </w:r>
          <w:hyperlink w:anchor="bookmark9" w:history="1">
            <w:r>
              <w:rPr>
                <w:rFonts w:ascii="Times New Roman" w:eastAsia="Times New Roman" w:hAnsi="Times New Roman" w:cs="Times New Roman"/>
              </w:rPr>
              <w:t>4</w:t>
            </w:r>
          </w:hyperlink>
        </w:p>
        <w:p>
          <w:pPr>
            <w:pStyle w:val="BodyText"/>
            <w:tabs>
              <w:tab w:val="right" w:leader="dot" w:pos="8269"/>
            </w:tabs>
            <w:spacing w:before="93" w:line="216" w:lineRule="auto"/>
            <w:ind w:left="423"/>
            <w:rPr>
              <w:rFonts w:ascii="Times New Roman" w:eastAsia="Times New Roman" w:hAnsi="Times New Roman" w:cs="Times New Roman"/>
            </w:rPr>
          </w:pPr>
          <w:r>
            <w:rPr>
              <w:rFonts w:ascii="Times New Roman" w:eastAsia="Times New Roman" w:hAnsi="Times New Roman" w:cs="Times New Roman"/>
            </w:rPr>
            <w:t>2.3</w:t>
          </w:r>
          <w:r>
            <w:rPr>
              <w:rFonts w:ascii="Times New Roman" w:eastAsia="Times New Roman" w:hAnsi="Times New Roman" w:cs="Times New Roman"/>
              <w:spacing w:val="-13"/>
            </w:rPr>
            <w:t xml:space="preserve"> </w:t>
          </w:r>
          <w:r>
            <w:t>长期偿债能力指标的理论基础</w:t>
          </w:r>
          <w:r>
            <w:rPr>
              <w:spacing w:val="-109"/>
            </w:rPr>
            <w:t xml:space="preserve"> </w:t>
          </w:r>
          <w:r>
            <w:tab/>
          </w:r>
          <w:hyperlink w:anchor="bookmark10" w:history="1">
            <w:r>
              <w:rPr>
                <w:rFonts w:ascii="Times New Roman" w:eastAsia="Times New Roman" w:hAnsi="Times New Roman" w:cs="Times New Roman"/>
              </w:rPr>
              <w:t>4</w:t>
            </w:r>
          </w:hyperlink>
        </w:p>
        <w:p>
          <w:pPr>
            <w:pStyle w:val="BodyText"/>
            <w:tabs>
              <w:tab w:val="right" w:leader="dot" w:pos="8269"/>
            </w:tabs>
            <w:spacing w:before="106" w:line="222" w:lineRule="auto"/>
            <w:ind w:left="833"/>
            <w:rPr>
              <w:rFonts w:ascii="Times New Roman" w:eastAsia="Times New Roman" w:hAnsi="Times New Roman" w:cs="Times New Roman"/>
            </w:rPr>
          </w:pPr>
          <w:r>
            <w:rPr>
              <w:rFonts w:ascii="Times New Roman" w:eastAsia="Times New Roman" w:hAnsi="Times New Roman" w:cs="Times New Roman"/>
              <w:spacing w:val="2"/>
            </w:rPr>
            <w:t>2.3.1</w:t>
          </w:r>
          <w:r>
            <w:rPr>
              <w:spacing w:val="2"/>
            </w:rPr>
            <w:t>长期资产用长期负债和股东权益来</w:t>
          </w:r>
          <w:r>
            <w:rPr>
              <w:spacing w:val="1"/>
            </w:rPr>
            <w:t>筹措资金</w:t>
          </w:r>
          <w:r>
            <w:rPr>
              <w:spacing w:val="-96"/>
            </w:rPr>
            <w:t xml:space="preserve"> </w:t>
          </w:r>
          <w:r>
            <w:tab/>
          </w:r>
          <w:r>
            <w:rPr>
              <w:spacing w:val="-43"/>
            </w:rPr>
            <w:t xml:space="preserve"> </w:t>
          </w:r>
          <w:hyperlink w:anchor="bookmark11" w:history="1">
            <w:r>
              <w:rPr>
                <w:rFonts w:ascii="Times New Roman" w:eastAsia="Times New Roman" w:hAnsi="Times New Roman" w:cs="Times New Roman"/>
              </w:rPr>
              <w:t>4</w:t>
            </w:r>
          </w:hyperlink>
        </w:p>
        <w:p>
          <w:pPr>
            <w:pStyle w:val="BodyText"/>
            <w:tabs>
              <w:tab w:val="right" w:leader="dot" w:pos="8270"/>
            </w:tabs>
            <w:spacing w:before="103" w:line="224" w:lineRule="auto"/>
            <w:ind w:left="833"/>
            <w:rPr>
              <w:rFonts w:ascii="Times New Roman" w:eastAsia="Times New Roman" w:hAnsi="Times New Roman" w:cs="Times New Roman"/>
            </w:rPr>
          </w:pPr>
          <w:r>
            <w:rPr>
              <w:rFonts w:ascii="Times New Roman" w:eastAsia="Times New Roman" w:hAnsi="Times New Roman" w:cs="Times New Roman"/>
              <w:spacing w:val="1"/>
            </w:rPr>
            <w:t>2.3.2</w:t>
          </w:r>
          <w:r>
            <w:rPr>
              <w:rFonts w:ascii="Times New Roman" w:eastAsia="Times New Roman" w:hAnsi="Times New Roman" w:cs="Times New Roman"/>
              <w:spacing w:val="-17"/>
            </w:rPr>
            <w:t xml:space="preserve"> </w:t>
          </w:r>
          <w:r>
            <w:rPr>
              <w:spacing w:val="1"/>
            </w:rPr>
            <w:t>利息保障倍数</w:t>
          </w:r>
          <w:r>
            <w:rPr>
              <w:spacing w:val="-95"/>
            </w:rPr>
            <w:t xml:space="preserve"> </w:t>
          </w:r>
          <w:r>
            <w:tab/>
          </w:r>
          <w:r>
            <w:rPr>
              <w:spacing w:val="-43"/>
            </w:rPr>
            <w:t xml:space="preserve"> </w:t>
          </w:r>
          <w:hyperlink w:anchor="bookmark12" w:history="1">
            <w:r>
              <w:rPr>
                <w:rFonts w:ascii="Times New Roman" w:eastAsia="Times New Roman" w:hAnsi="Times New Roman" w:cs="Times New Roman"/>
              </w:rPr>
              <w:t>5</w:t>
            </w:r>
          </w:hyperlink>
        </w:p>
        <w:p>
          <w:pPr>
            <w:pStyle w:val="BodyText"/>
            <w:tabs>
              <w:tab w:val="right" w:leader="dot" w:pos="8270"/>
            </w:tabs>
            <w:spacing w:before="85" w:line="221" w:lineRule="auto"/>
            <w:ind w:left="3"/>
            <w:rPr>
              <w:rFonts w:ascii="Times New Roman" w:eastAsia="Times New Roman" w:hAnsi="Times New Roman" w:cs="Times New Roman"/>
            </w:rPr>
          </w:pPr>
          <w:r>
            <w:rPr>
              <w:rFonts w:ascii="Times New Roman" w:eastAsia="Times New Roman" w:hAnsi="Times New Roman" w:cs="Times New Roman"/>
            </w:rPr>
            <w:t>3.</w:t>
          </w:r>
          <w:r>
            <w:t>万达院线偿债风险过程中产生的现状</w:t>
          </w:r>
          <w:r>
            <w:rPr>
              <w:spacing w:val="-92"/>
            </w:rPr>
            <w:t xml:space="preserve"> </w:t>
          </w:r>
          <w:r>
            <w:tab/>
          </w:r>
          <w:r>
            <w:rPr>
              <w:spacing w:val="-63"/>
            </w:rPr>
            <w:t xml:space="preserve"> </w:t>
          </w:r>
          <w:hyperlink w:anchor="bookmark13" w:history="1">
            <w:r>
              <w:rPr>
                <w:rFonts w:ascii="Times New Roman" w:eastAsia="Times New Roman" w:hAnsi="Times New Roman" w:cs="Times New Roman"/>
              </w:rPr>
              <w:t>5</w:t>
            </w:r>
          </w:hyperlink>
        </w:p>
        <w:p>
          <w:pPr>
            <w:pStyle w:val="BodyText"/>
            <w:tabs>
              <w:tab w:val="right" w:leader="dot" w:pos="8280"/>
            </w:tabs>
            <w:spacing w:before="127" w:line="224" w:lineRule="auto"/>
            <w:ind w:left="423"/>
            <w:rPr>
              <w:rFonts w:ascii="Times New Roman" w:eastAsia="Times New Roman" w:hAnsi="Times New Roman" w:cs="Times New Roman"/>
            </w:rPr>
          </w:pPr>
          <w:r>
            <w:rPr>
              <w:rFonts w:ascii="Times New Roman" w:eastAsia="Times New Roman" w:hAnsi="Times New Roman" w:cs="Times New Roman"/>
              <w:spacing w:val="1"/>
            </w:rPr>
            <w:t>3.1</w:t>
          </w:r>
          <w:r>
            <w:rPr>
              <w:rFonts w:ascii="Times New Roman" w:eastAsia="Times New Roman" w:hAnsi="Times New Roman" w:cs="Times New Roman"/>
              <w:spacing w:val="-15"/>
            </w:rPr>
            <w:t xml:space="preserve"> </w:t>
          </w:r>
          <w:r>
            <w:rPr>
              <w:spacing w:val="1"/>
            </w:rPr>
            <w:t>公司简介</w:t>
          </w:r>
          <w:r>
            <w:rPr>
              <w:spacing w:val="-94"/>
            </w:rPr>
            <w:t xml:space="preserve"> </w:t>
          </w:r>
          <w:r>
            <w:tab/>
          </w:r>
          <w:hyperlink w:anchor="bookmark14" w:history="1">
            <w:r>
              <w:rPr>
                <w:rFonts w:ascii="Times New Roman" w:eastAsia="Times New Roman" w:hAnsi="Times New Roman" w:cs="Times New Roman"/>
              </w:rPr>
              <w:t>5</w:t>
            </w:r>
          </w:hyperlink>
        </w:p>
        <w:p>
          <w:pPr>
            <w:pStyle w:val="BodyText"/>
            <w:tabs>
              <w:tab w:val="right" w:leader="dot" w:pos="8262"/>
            </w:tabs>
            <w:spacing w:before="90" w:line="216" w:lineRule="auto"/>
            <w:ind w:left="423"/>
            <w:rPr>
              <w:rFonts w:ascii="Times New Roman" w:eastAsia="Times New Roman" w:hAnsi="Times New Roman" w:cs="Times New Roman"/>
            </w:rPr>
          </w:pPr>
          <w:r>
            <w:rPr>
              <w:rFonts w:ascii="Times New Roman" w:eastAsia="Times New Roman" w:hAnsi="Times New Roman" w:cs="Times New Roman"/>
              <w:spacing w:val="1"/>
            </w:rPr>
            <w:t>3.2</w:t>
          </w:r>
          <w:r>
            <w:rPr>
              <w:rFonts w:ascii="Times New Roman" w:eastAsia="Times New Roman" w:hAnsi="Times New Roman" w:cs="Times New Roman"/>
              <w:spacing w:val="-17"/>
            </w:rPr>
            <w:t xml:space="preserve"> </w:t>
          </w:r>
          <w:r>
            <w:rPr>
              <w:spacing w:val="1"/>
            </w:rPr>
            <w:t>偿债能力分析</w:t>
          </w:r>
          <w:r>
            <w:rPr>
              <w:spacing w:val="-94"/>
            </w:rPr>
            <w:t xml:space="preserve"> </w:t>
          </w:r>
          <w:r>
            <w:tab/>
          </w:r>
          <w:hyperlink w:anchor="bookmark15" w:history="1">
            <w:r>
              <w:rPr>
                <w:rFonts w:ascii="Times New Roman" w:eastAsia="Times New Roman" w:hAnsi="Times New Roman" w:cs="Times New Roman"/>
              </w:rPr>
              <w:t>6</w:t>
            </w:r>
          </w:hyperlink>
        </w:p>
        <w:p>
          <w:pPr>
            <w:pStyle w:val="BodyText"/>
            <w:tabs>
              <w:tab w:val="right" w:leader="dot" w:pos="8262"/>
            </w:tabs>
            <w:spacing w:before="99" w:line="216" w:lineRule="auto"/>
            <w:ind w:left="833"/>
            <w:rPr>
              <w:rFonts w:ascii="Times New Roman" w:eastAsia="Times New Roman" w:hAnsi="Times New Roman" w:cs="Times New Roman"/>
            </w:rPr>
          </w:pPr>
          <w:r>
            <w:rPr>
              <w:rFonts w:ascii="Times New Roman" w:eastAsia="Times New Roman" w:hAnsi="Times New Roman" w:cs="Times New Roman"/>
              <w:spacing w:val="2"/>
            </w:rPr>
            <w:t>3.2.1</w:t>
          </w:r>
          <w:r>
            <w:rPr>
              <w:spacing w:val="2"/>
            </w:rPr>
            <w:t>短期偿债能力分析</w:t>
          </w:r>
          <w:r>
            <w:rPr>
              <w:spacing w:val="-87"/>
            </w:rPr>
            <w:t xml:space="preserve"> </w:t>
          </w:r>
          <w:r>
            <w:tab/>
          </w:r>
          <w:r>
            <w:rPr>
              <w:spacing w:val="-33"/>
            </w:rPr>
            <w:t xml:space="preserve"> </w:t>
          </w:r>
          <w:hyperlink w:anchor="bookmark16" w:history="1">
            <w:r>
              <w:rPr>
                <w:rFonts w:ascii="Times New Roman" w:eastAsia="Times New Roman" w:hAnsi="Times New Roman" w:cs="Times New Roman"/>
              </w:rPr>
              <w:t>6</w:t>
            </w:r>
          </w:hyperlink>
        </w:p>
        <w:p>
          <w:pPr>
            <w:pStyle w:val="BodyText"/>
            <w:tabs>
              <w:tab w:val="right" w:leader="dot" w:pos="8272"/>
            </w:tabs>
            <w:spacing w:before="110" w:line="216" w:lineRule="auto"/>
            <w:ind w:left="833"/>
            <w:rPr>
              <w:rFonts w:ascii="Times New Roman" w:eastAsia="Times New Roman" w:hAnsi="Times New Roman" w:cs="Times New Roman"/>
            </w:rPr>
          </w:pPr>
          <w:r>
            <w:rPr>
              <w:rFonts w:ascii="Times New Roman" w:eastAsia="Times New Roman" w:hAnsi="Times New Roman" w:cs="Times New Roman"/>
              <w:spacing w:val="2"/>
            </w:rPr>
            <w:t>3.2.2</w:t>
          </w:r>
          <w:r>
            <w:rPr>
              <w:spacing w:val="2"/>
            </w:rPr>
            <w:t>长期偿债能力分析</w:t>
          </w:r>
          <w:r>
            <w:rPr>
              <w:spacing w:val="-87"/>
            </w:rPr>
            <w:t xml:space="preserve"> </w:t>
          </w:r>
          <w:r>
            <w:tab/>
          </w:r>
          <w:r>
            <w:rPr>
              <w:spacing w:val="-23"/>
            </w:rPr>
            <w:t xml:space="preserve"> </w:t>
          </w:r>
          <w:hyperlink w:anchor="bookmark17" w:history="1">
            <w:r>
              <w:rPr>
                <w:rFonts w:ascii="Times New Roman" w:eastAsia="Times New Roman" w:hAnsi="Times New Roman" w:cs="Times New Roman"/>
              </w:rPr>
              <w:t>9</w:t>
            </w:r>
          </w:hyperlink>
        </w:p>
        <w:p>
          <w:pPr>
            <w:pStyle w:val="BodyText"/>
            <w:tabs>
              <w:tab w:val="right" w:leader="dot" w:pos="8185"/>
            </w:tabs>
            <w:spacing w:before="113" w:line="221" w:lineRule="auto"/>
            <w:ind w:left="3"/>
            <w:rPr>
              <w:rFonts w:ascii="Times New Roman" w:eastAsia="Times New Roman" w:hAnsi="Times New Roman" w:cs="Times New Roman"/>
            </w:rPr>
          </w:pPr>
          <w:r>
            <w:rPr>
              <w:rFonts w:ascii="Times New Roman" w:eastAsia="Times New Roman" w:hAnsi="Times New Roman" w:cs="Times New Roman"/>
              <w:spacing w:val="1"/>
            </w:rPr>
            <w:t>4</w:t>
          </w:r>
          <w:r>
            <w:rPr>
              <w:rFonts w:ascii="Times New Roman" w:eastAsia="Times New Roman" w:hAnsi="Times New Roman" w:cs="Times New Roman"/>
              <w:spacing w:val="-21"/>
            </w:rPr>
            <w:t xml:space="preserve"> </w:t>
          </w:r>
          <w:r>
            <w:rPr>
              <w:spacing w:val="1"/>
            </w:rPr>
            <w:t>万达院线偿债风险过程中产生的问题及原因</w:t>
          </w:r>
          <w:r>
            <w:rPr>
              <w:spacing w:val="-110"/>
            </w:rPr>
            <w:t xml:space="preserve"> </w:t>
          </w:r>
          <w:r>
            <w:tab/>
          </w:r>
          <w:hyperlink w:anchor="bookmark18" w:history="1">
            <w:r>
              <w:rPr>
                <w:rFonts w:ascii="Times New Roman" w:eastAsia="Times New Roman" w:hAnsi="Times New Roman" w:cs="Times New Roman"/>
                <w:spacing w:val="-6"/>
              </w:rPr>
              <w:t>10</w:t>
            </w:r>
          </w:hyperlink>
        </w:p>
        <w:p>
          <w:pPr>
            <w:pStyle w:val="BodyText"/>
            <w:tabs>
              <w:tab w:val="right" w:leader="dot" w:pos="8175"/>
            </w:tabs>
            <w:spacing w:before="119" w:line="225" w:lineRule="auto"/>
            <w:ind w:left="423"/>
            <w:rPr>
              <w:rFonts w:ascii="Times New Roman" w:eastAsia="Times New Roman" w:hAnsi="Times New Roman" w:cs="Times New Roman"/>
            </w:rPr>
          </w:pPr>
          <w:r>
            <w:rPr>
              <w:rFonts w:ascii="Times New Roman" w:eastAsia="Times New Roman" w:hAnsi="Times New Roman" w:cs="Times New Roman"/>
              <w:spacing w:val="1"/>
            </w:rPr>
            <w:t>4.1</w:t>
          </w:r>
          <w:r>
            <w:rPr>
              <w:rFonts w:ascii="Times New Roman" w:eastAsia="Times New Roman" w:hAnsi="Times New Roman" w:cs="Times New Roman"/>
              <w:spacing w:val="-11"/>
            </w:rPr>
            <w:t xml:space="preserve"> </w:t>
          </w:r>
          <w:r>
            <w:rPr>
              <w:spacing w:val="1"/>
            </w:rPr>
            <w:t>资金低效运营</w:t>
          </w:r>
          <w:r>
            <w:rPr>
              <w:spacing w:val="-100"/>
            </w:rPr>
            <w:t xml:space="preserve"> </w:t>
          </w:r>
          <w:r>
            <w:tab/>
          </w:r>
          <w:hyperlink w:anchor="bookmark19" w:history="1">
            <w:r>
              <w:rPr>
                <w:rFonts w:ascii="Times New Roman" w:eastAsia="Times New Roman" w:hAnsi="Times New Roman" w:cs="Times New Roman"/>
                <w:spacing w:val="-11"/>
              </w:rPr>
              <w:t>10</w:t>
            </w:r>
          </w:hyperlink>
        </w:p>
        <w:p>
          <w:pPr>
            <w:pStyle w:val="BodyText"/>
            <w:tabs>
              <w:tab w:val="right" w:leader="dot" w:pos="8295"/>
            </w:tabs>
            <w:spacing w:before="95" w:line="224" w:lineRule="auto"/>
            <w:ind w:left="423"/>
            <w:rPr>
              <w:rFonts w:ascii="Times New Roman" w:eastAsia="Times New Roman" w:hAnsi="Times New Roman" w:cs="Times New Roman"/>
            </w:rPr>
          </w:pPr>
          <w:r>
            <w:rPr>
              <w:rFonts w:ascii="Times New Roman" w:eastAsia="Times New Roman" w:hAnsi="Times New Roman" w:cs="Times New Roman"/>
              <w:spacing w:val="1"/>
            </w:rPr>
            <w:t>4.2</w:t>
          </w:r>
          <w:r>
            <w:rPr>
              <w:rFonts w:ascii="Times New Roman" w:eastAsia="Times New Roman" w:hAnsi="Times New Roman" w:cs="Times New Roman"/>
              <w:spacing w:val="-9"/>
            </w:rPr>
            <w:t xml:space="preserve"> </w:t>
          </w:r>
          <w:r>
            <w:rPr>
              <w:spacing w:val="1"/>
            </w:rPr>
            <w:t>组织管理模式存在缺陷□□</w:t>
          </w:r>
          <w:r>
            <w:rPr>
              <w:spacing w:val="-97"/>
            </w:rPr>
            <w:t xml:space="preserve"> </w:t>
          </w:r>
          <w:r>
            <w:tab/>
          </w:r>
          <w:r>
            <w:rPr>
              <w:spacing w:val="-22"/>
            </w:rPr>
            <w:t xml:space="preserve"> </w:t>
          </w:r>
          <w:hyperlink w:anchor="bookmark20" w:history="1">
            <w:r>
              <w:rPr>
                <w:rFonts w:ascii="Times New Roman" w:eastAsia="Times New Roman" w:hAnsi="Times New Roman" w:cs="Times New Roman"/>
                <w:spacing w:val="-8"/>
              </w:rPr>
              <w:t>11</w:t>
            </w:r>
          </w:hyperlink>
        </w:p>
        <w:p>
          <w:pPr>
            <w:pStyle w:val="BodyText"/>
            <w:tabs>
              <w:tab w:val="right" w:leader="dot" w:pos="8295"/>
            </w:tabs>
            <w:spacing w:before="91" w:line="216" w:lineRule="auto"/>
            <w:ind w:left="423"/>
            <w:rPr>
              <w:rFonts w:ascii="Times New Roman" w:eastAsia="Times New Roman" w:hAnsi="Times New Roman" w:cs="Times New Roman"/>
            </w:rPr>
          </w:pPr>
          <w:r>
            <w:rPr>
              <w:rFonts w:ascii="Times New Roman" w:eastAsia="Times New Roman" w:hAnsi="Times New Roman" w:cs="Times New Roman"/>
              <w:spacing w:val="1"/>
            </w:rPr>
            <w:t>4.3</w:t>
          </w:r>
          <w:r>
            <w:rPr>
              <w:rFonts w:ascii="Times New Roman" w:eastAsia="Times New Roman" w:hAnsi="Times New Roman" w:cs="Times New Roman"/>
              <w:spacing w:val="-23"/>
            </w:rPr>
            <w:t xml:space="preserve"> </w:t>
          </w:r>
          <w:r>
            <w:rPr>
              <w:spacing w:val="1"/>
            </w:rPr>
            <w:t>偿债风险控制能力不足</w:t>
          </w:r>
          <w:r>
            <w:rPr>
              <w:spacing w:val="-101"/>
            </w:rPr>
            <w:t xml:space="preserve"> </w:t>
          </w:r>
          <w:r>
            <w:tab/>
          </w:r>
          <w:r>
            <w:rPr>
              <w:spacing w:val="-2"/>
            </w:rPr>
            <w:t xml:space="preserve"> </w:t>
          </w:r>
          <w:hyperlink w:anchor="bookmark21" w:history="1">
            <w:r>
              <w:rPr>
                <w:rFonts w:ascii="Times New Roman" w:eastAsia="Times New Roman" w:hAnsi="Times New Roman" w:cs="Times New Roman"/>
                <w:spacing w:val="-8"/>
              </w:rPr>
              <w:t>11</w:t>
            </w:r>
          </w:hyperlink>
        </w:p>
        <w:p>
          <w:pPr>
            <w:pStyle w:val="BodyText"/>
            <w:tabs>
              <w:tab w:val="right" w:leader="dot" w:pos="8265"/>
            </w:tabs>
            <w:spacing w:before="112" w:line="219" w:lineRule="auto"/>
            <w:ind w:left="3"/>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spacing w:val="-6"/>
            </w:rPr>
            <w:t xml:space="preserve"> </w:t>
          </w:r>
          <w:r>
            <w:t>对于万达影院存在的财务问题的解决方法</w:t>
          </w:r>
          <w:r>
            <w:rPr>
              <w:spacing w:val="-95"/>
            </w:rPr>
            <w:t xml:space="preserve"> </w:t>
          </w:r>
          <w:r>
            <w:tab/>
          </w:r>
          <w:hyperlink w:anchor="bookmark22" w:history="1">
            <w:r>
              <w:rPr>
                <w:rFonts w:ascii="Times New Roman" w:eastAsia="Times New Roman" w:hAnsi="Times New Roman" w:cs="Times New Roman"/>
                <w:spacing w:val="-7"/>
              </w:rPr>
              <w:t>12</w:t>
            </w:r>
          </w:hyperlink>
        </w:p>
        <w:p>
          <w:pPr>
            <w:pStyle w:val="BodyText"/>
            <w:tabs>
              <w:tab w:val="right" w:leader="dot" w:pos="8185"/>
            </w:tabs>
            <w:spacing w:before="106" w:line="219" w:lineRule="auto"/>
            <w:ind w:left="423"/>
            <w:rPr>
              <w:rFonts w:ascii="Times New Roman" w:eastAsia="Times New Roman" w:hAnsi="Times New Roman" w:cs="Times New Roman"/>
            </w:rPr>
          </w:pPr>
          <w:r>
            <w:rPr>
              <w:rFonts w:ascii="Times New Roman" w:eastAsia="Times New Roman" w:hAnsi="Times New Roman" w:cs="Times New Roman"/>
              <w:spacing w:val="-1"/>
            </w:rPr>
            <w:t xml:space="preserve">5.1 </w:t>
          </w:r>
          <w:r>
            <w:rPr>
              <w:spacing w:val="-1"/>
            </w:rPr>
            <w:t>改善资产比例，提高资本营运效率</w:t>
          </w:r>
          <w:r>
            <w:rPr>
              <w:spacing w:val="-93"/>
            </w:rPr>
            <w:t xml:space="preserve"> </w:t>
          </w:r>
          <w:r>
            <w:tab/>
          </w:r>
          <w:hyperlink w:anchor="bookmark23" w:history="1">
            <w:r>
              <w:rPr>
                <w:rFonts w:ascii="Times New Roman" w:eastAsia="Times New Roman" w:hAnsi="Times New Roman" w:cs="Times New Roman"/>
                <w:spacing w:val="-6"/>
              </w:rPr>
              <w:t>12</w:t>
            </w:r>
          </w:hyperlink>
        </w:p>
        <w:p>
          <w:pPr>
            <w:pStyle w:val="BodyText"/>
            <w:tabs>
              <w:tab w:val="right" w:leader="dot" w:pos="8265"/>
            </w:tabs>
            <w:spacing w:before="109" w:line="222" w:lineRule="auto"/>
            <w:ind w:left="423"/>
            <w:rPr>
              <w:rFonts w:ascii="Times New Roman" w:eastAsia="Times New Roman" w:hAnsi="Times New Roman" w:cs="Times New Roman"/>
            </w:rPr>
          </w:pPr>
          <w:r>
            <w:rPr>
              <w:rFonts w:ascii="Times New Roman" w:eastAsia="Times New Roman" w:hAnsi="Times New Roman" w:cs="Times New Roman"/>
              <w:spacing w:val="-1"/>
            </w:rPr>
            <w:t>5.2</w:t>
          </w:r>
          <w:r>
            <w:rPr>
              <w:rFonts w:ascii="Times New Roman" w:eastAsia="Times New Roman" w:hAnsi="Times New Roman" w:cs="Times New Roman"/>
              <w:spacing w:val="-19"/>
            </w:rPr>
            <w:t xml:space="preserve"> </w:t>
          </w:r>
          <w:r>
            <w:rPr>
              <w:spacing w:val="-1"/>
            </w:rPr>
            <w:t>抓好资本管理模式，优化配套制度</w:t>
          </w:r>
          <w:r>
            <w:rPr>
              <w:spacing w:val="-75"/>
            </w:rPr>
            <w:t xml:space="preserve"> </w:t>
          </w:r>
          <w:r>
            <w:tab/>
          </w:r>
          <w:r>
            <w:rPr>
              <w:spacing w:val="-32"/>
            </w:rPr>
            <w:t xml:space="preserve"> </w:t>
          </w:r>
          <w:hyperlink w:anchor="bookmark24" w:history="1">
            <w:r>
              <w:rPr>
                <w:rFonts w:ascii="Times New Roman" w:eastAsia="Times New Roman" w:hAnsi="Times New Roman" w:cs="Times New Roman"/>
                <w:spacing w:val="-8"/>
              </w:rPr>
              <w:t>12</w:t>
            </w:r>
          </w:hyperlink>
        </w:p>
        <w:p>
          <w:pPr>
            <w:pStyle w:val="BodyText"/>
            <w:tabs>
              <w:tab w:val="right" w:leader="dot" w:pos="8265"/>
            </w:tabs>
            <w:spacing w:before="84" w:line="216" w:lineRule="auto"/>
            <w:ind w:left="423"/>
            <w:rPr>
              <w:rFonts w:ascii="Times New Roman" w:eastAsia="Times New Roman" w:hAnsi="Times New Roman" w:cs="Times New Roman"/>
            </w:rPr>
          </w:pPr>
          <w:r>
            <w:rPr>
              <w:rFonts w:ascii="Times New Roman" w:eastAsia="Times New Roman" w:hAnsi="Times New Roman" w:cs="Times New Roman"/>
            </w:rPr>
            <w:t>5.3</w:t>
          </w:r>
          <w:r>
            <w:rPr>
              <w:rFonts w:ascii="Times New Roman" w:eastAsia="Times New Roman" w:hAnsi="Times New Roman" w:cs="Times New Roman"/>
              <w:spacing w:val="-18"/>
            </w:rPr>
            <w:t xml:space="preserve"> </w:t>
          </w:r>
          <w:r>
            <w:t>加强财务风险管理力度</w:t>
          </w:r>
          <w:r>
            <w:rPr>
              <w:spacing w:val="-93"/>
            </w:rPr>
            <w:t xml:space="preserve"> </w:t>
          </w:r>
          <w:r>
            <w:tab/>
          </w:r>
          <w:r>
            <w:rPr>
              <w:spacing w:val="-32"/>
            </w:rPr>
            <w:t xml:space="preserve"> </w:t>
          </w:r>
          <w:hyperlink w:anchor="bookmark25" w:history="1">
            <w:r>
              <w:rPr>
                <w:rFonts w:ascii="Times New Roman" w:eastAsia="Times New Roman" w:hAnsi="Times New Roman" w:cs="Times New Roman"/>
                <w:spacing w:val="-8"/>
              </w:rPr>
              <w:t>13</w:t>
            </w:r>
          </w:hyperlink>
        </w:p>
        <w:p>
          <w:pPr>
            <w:pStyle w:val="BodyText"/>
            <w:tabs>
              <w:tab w:val="right" w:leader="dot" w:pos="8185"/>
            </w:tabs>
            <w:spacing w:before="120" w:line="225" w:lineRule="auto"/>
            <w:ind w:left="423"/>
            <w:rPr>
              <w:rFonts w:ascii="Times New Roman" w:eastAsia="Times New Roman" w:hAnsi="Times New Roman" w:cs="Times New Roman"/>
            </w:rPr>
          </w:pPr>
          <w:r>
            <w:rPr>
              <w:spacing w:val="-3"/>
            </w:rPr>
            <w:t>结论</w:t>
          </w:r>
          <w:r>
            <w:rPr>
              <w:spacing w:val="-85"/>
            </w:rPr>
            <w:t xml:space="preserve"> </w:t>
          </w:r>
          <w:r>
            <w:tab/>
          </w:r>
          <w:r>
            <w:rPr>
              <w:spacing w:val="-12"/>
            </w:rPr>
            <w:t xml:space="preserve"> </w:t>
          </w:r>
          <w:hyperlink w:anchor="bookmark26" w:history="1">
            <w:r>
              <w:rPr>
                <w:rFonts w:ascii="Times New Roman" w:eastAsia="Times New Roman" w:hAnsi="Times New Roman" w:cs="Times New Roman"/>
                <w:spacing w:val="-8"/>
              </w:rPr>
              <w:t>14</w:t>
            </w:r>
          </w:hyperlink>
        </w:p>
        <w:p>
          <w:pPr>
            <w:pStyle w:val="BodyText"/>
            <w:tabs>
              <w:tab w:val="right" w:leader="dot" w:pos="8255"/>
            </w:tabs>
            <w:spacing w:before="87" w:line="216" w:lineRule="auto"/>
            <w:ind w:left="423"/>
            <w:rPr>
              <w:rFonts w:ascii="Times New Roman" w:eastAsia="Times New Roman" w:hAnsi="Times New Roman" w:cs="Times New Roman"/>
            </w:rPr>
          </w:pPr>
          <w:r>
            <w:t>参考文献</w:t>
          </w:r>
          <w:r>
            <w:rPr>
              <w:spacing w:val="-81"/>
            </w:rPr>
            <w:t xml:space="preserve"> </w:t>
          </w:r>
          <w:r>
            <w:tab/>
          </w:r>
          <w:hyperlink w:anchor="bookmark27" w:history="1">
            <w:r>
              <w:rPr>
                <w:rFonts w:ascii="Times New Roman" w:eastAsia="Times New Roman" w:hAnsi="Times New Roman" w:cs="Times New Roman"/>
                <w:spacing w:val="-7"/>
              </w:rPr>
              <w:t>14</w:t>
            </w:r>
          </w:hyperlink>
        </w:p>
      </w:sdtContent>
    </w:sdt>
    <w:p>
      <w:pPr>
        <w:spacing w:line="216" w:lineRule="auto"/>
        <w:rPr>
          <w:rFonts w:ascii="Times New Roman" w:eastAsia="Times New Roman" w:hAnsi="Times New Roman" w:cs="Times New Roman"/>
        </w:rPr>
        <w:sectPr>
          <w:pgSz w:w="11910" w:h="16840"/>
          <w:pgMar w:top="1431" w:right="1786" w:bottom="0" w:left="1786" w:header="0" w:footer="0" w:gutter="0"/>
          <w:cols w:space="708"/>
        </w:sectPr>
      </w:pPr>
    </w:p>
    <w:p>
      <w:pPr>
        <w:pStyle w:val="BodyText"/>
        <w:spacing w:before="166" w:line="224" w:lineRule="auto"/>
        <w:ind w:left="377"/>
        <w:outlineLvl w:val="0"/>
        <w:rPr>
          <w:sz w:val="31"/>
          <w:szCs w:val="31"/>
        </w:rPr>
      </w:pPr>
      <w:bookmarkStart w:id="1" w:name="bookmark2"/>
      <w:bookmarkEnd w:id="1"/>
      <w:bookmarkStart w:id="2" w:name="bookmark3"/>
      <w:bookmarkEnd w:id="2"/>
      <w:bookmarkStart w:id="3" w:name="bookmark4"/>
      <w:bookmarkEnd w:id="3"/>
      <w:bookmarkStart w:id="4" w:name="bookmark5"/>
      <w:bookmarkEnd w:id="4"/>
      <w:r>
        <w:rPr>
          <w:b/>
          <w:bCs/>
          <w:spacing w:val="-16"/>
          <w:sz w:val="31"/>
          <w:szCs w:val="31"/>
        </w:rPr>
        <w:t>1.引言</w:t>
      </w:r>
    </w:p>
    <w:p>
      <w:pPr>
        <w:pStyle w:val="BodyText"/>
        <w:spacing w:before="166" w:line="362" w:lineRule="auto"/>
        <w:ind w:left="3" w:firstLine="490"/>
        <w:jc w:val="both"/>
      </w:pPr>
      <w:r>
        <w:rPr>
          <w:spacing w:val="-4"/>
        </w:rPr>
        <w:t>近年来我国电影产业高速发展，电影票房节节攀升，也带动了中国影院投资</w:t>
      </w:r>
      <w:r>
        <w:rPr>
          <w:spacing w:val="10"/>
        </w:rPr>
        <w:t xml:space="preserve"> </w:t>
      </w:r>
      <w:r>
        <w:rPr>
          <w:spacing w:val="-2"/>
        </w:rPr>
        <w:t>进入高速发展期。据了解，去年共有四家院线背景的企业排队上市，包括万达、</w:t>
      </w:r>
      <w:r>
        <w:t xml:space="preserve"> </w:t>
      </w:r>
      <w:r>
        <w:rPr>
          <w:spacing w:val="-4"/>
        </w:rPr>
        <w:t>金逸、中影、上影，不过目前只有万达顺利过会，金逸则因上会前爆出的“武汉</w:t>
      </w:r>
      <w:r>
        <w:rPr>
          <w:spacing w:val="-4"/>
        </w:rPr>
        <w:t xml:space="preserve"> </w:t>
      </w:r>
      <w:r>
        <w:rPr>
          <w:spacing w:val="-4"/>
        </w:rPr>
        <w:t>国资委”事件而被临时取消审核。有业内人士表示，目前院线公司相对分散，市</w:t>
      </w:r>
      <w:r>
        <w:rPr>
          <w:spacing w:val="-4"/>
        </w:rPr>
        <w:t xml:space="preserve"> </w:t>
      </w:r>
      <w:r>
        <w:rPr>
          <w:spacing w:val="-4"/>
        </w:rPr>
        <w:t>场集中度不够，恶性竞争较多，租金等成本却居高不下，影院盈利期过长甚至长</w:t>
      </w:r>
      <w:r>
        <w:rPr>
          <w:spacing w:val="-4"/>
        </w:rPr>
        <w:t xml:space="preserve"> </w:t>
      </w:r>
      <w:r>
        <w:rPr>
          <w:spacing w:val="-3"/>
        </w:rPr>
        <w:t>期亏损，高风险下未来很可能会有一批影院倒下或被</w:t>
      </w:r>
      <w:r>
        <w:rPr>
          <w:spacing w:val="-4"/>
        </w:rPr>
        <w:t>兼并。企业偿债能力的强弱</w:t>
      </w:r>
      <w:r>
        <w:t xml:space="preserve"> </w:t>
      </w:r>
      <w:r>
        <w:rPr>
          <w:spacing w:val="-4"/>
        </w:rPr>
        <w:t>关乎企业的生死存亡，不能偿还到期债务且严重资不抵债的企业将面临破产清算</w:t>
      </w:r>
      <w:r>
        <w:rPr>
          <w:spacing w:val="-4"/>
        </w:rPr>
        <w:t xml:space="preserve"> </w:t>
      </w:r>
      <w:r>
        <w:rPr>
          <w:spacing w:val="-8"/>
        </w:rPr>
        <w:t>的窘境。因此，企业偿债能力与偿债风险呈反比例关系，了解企业偿债风险现状、</w:t>
      </w:r>
      <w:r>
        <w:rPr>
          <w:spacing w:val="7"/>
        </w:rPr>
        <w:t xml:space="preserve"> </w:t>
      </w:r>
      <w:r>
        <w:rPr>
          <w:spacing w:val="-4"/>
        </w:rPr>
        <w:t>存在问题及影响因素，对上市公司有至关重要的作用。偿付能力是现代企业财务</w:t>
      </w:r>
      <w:r>
        <w:rPr>
          <w:spacing w:val="-4"/>
        </w:rPr>
        <w:t xml:space="preserve"> </w:t>
      </w:r>
      <w:r>
        <w:rPr>
          <w:spacing w:val="-9"/>
        </w:rPr>
        <w:t>能力评价的一个重要内容，它是企业偿还债务的能力，</w:t>
      </w:r>
      <w:r>
        <w:rPr>
          <w:spacing w:val="67"/>
        </w:rPr>
        <w:t xml:space="preserve"> </w:t>
      </w:r>
      <w:r>
        <w:rPr>
          <w:spacing w:val="-9"/>
        </w:rPr>
        <w:t>一般情况下，企业</w:t>
      </w:r>
      <w:r>
        <w:rPr>
          <w:spacing w:val="-10"/>
        </w:rPr>
        <w:t>的应及</w:t>
      </w:r>
      <w:r>
        <w:rPr>
          <w:spacing w:val="-10"/>
        </w:rPr>
        <w:t xml:space="preserve"> </w:t>
      </w:r>
      <w:r>
        <w:rPr>
          <w:spacing w:val="-5"/>
        </w:rPr>
        <w:t>时足额偿还流动负债，</w:t>
      </w:r>
      <w:r>
        <w:rPr>
          <w:rFonts w:ascii="Times New Roman" w:eastAsia="Times New Roman" w:hAnsi="Times New Roman" w:cs="Times New Roman"/>
          <w:spacing w:val="-5"/>
        </w:rPr>
        <w:t xml:space="preserve">FR </w:t>
      </w:r>
      <w:r>
        <w:rPr>
          <w:spacing w:val="-5"/>
        </w:rPr>
        <w:t>的正常运行其早期。在评价企业的生存和未来发展中，</w:t>
      </w:r>
      <w:r>
        <w:t xml:space="preserve"> </w:t>
      </w:r>
      <w:r>
        <w:rPr>
          <w:spacing w:val="-4"/>
        </w:rPr>
        <w:t>企业的偿债能力是一个非常重要的研究点，如果一个企业的偿债能力好，财务状</w:t>
      </w:r>
      <w:r>
        <w:rPr>
          <w:spacing w:val="-4"/>
        </w:rPr>
        <w:t xml:space="preserve"> </w:t>
      </w:r>
      <w:r>
        <w:rPr>
          <w:spacing w:val="-2"/>
        </w:rPr>
        <w:t>况好，长期稳定运行能力。企业应加强偿债能力的管理，保证资金的顺利筹集，</w:t>
      </w:r>
      <w:r>
        <w:rPr>
          <w:spacing w:val="3"/>
        </w:rPr>
        <w:t xml:space="preserve"> </w:t>
      </w:r>
      <w:r>
        <w:rPr>
          <w:spacing w:val="-3"/>
        </w:rPr>
        <w:t>实现生产经营。先进的经营理念和营销模式导致每个屏幕的收</w:t>
      </w:r>
      <w:r>
        <w:rPr>
          <w:spacing w:val="-4"/>
        </w:rPr>
        <w:t>入基本上是同行的</w:t>
      </w:r>
    </w:p>
    <w:p>
      <w:pPr>
        <w:pStyle w:val="BodyText"/>
        <w:spacing w:line="219" w:lineRule="auto"/>
        <w:ind w:left="3"/>
      </w:pPr>
      <w:r>
        <w:rPr>
          <w:spacing w:val="-6"/>
        </w:rPr>
        <w:t>两倍，利润是同行业的三倍。</w:t>
      </w:r>
    </w:p>
    <w:p>
      <w:pPr>
        <w:pStyle w:val="BodyText"/>
        <w:spacing w:before="163" w:line="362" w:lineRule="auto"/>
        <w:ind w:left="3" w:right="64" w:firstLine="490"/>
        <w:jc w:val="both"/>
      </w:pPr>
      <w:r>
        <w:rPr>
          <w:spacing w:val="-4"/>
        </w:rPr>
        <w:t>本篇论文通过文献法以及案例分析对万达院线的偿债能力的探究。财务分析</w:t>
      </w:r>
      <w:r>
        <w:rPr>
          <w:spacing w:val="14"/>
        </w:rPr>
        <w:t xml:space="preserve"> </w:t>
      </w:r>
      <w:r>
        <w:rPr>
          <w:spacing w:val="-3"/>
        </w:rPr>
        <w:t>不仅是企业内部的一项基础工作，企业内部控制计划和财务行为，对企业当前财</w:t>
      </w:r>
      <w:r>
        <w:t xml:space="preserve"> </w:t>
      </w:r>
      <w:r>
        <w:rPr>
          <w:spacing w:val="-4"/>
        </w:rPr>
        <w:t>务状况的估计，对各种投资机会的评估，提高各类投资资产回报率和管理水平发</w:t>
      </w:r>
      <w:r>
        <w:rPr>
          <w:spacing w:val="14"/>
        </w:rPr>
        <w:t xml:space="preserve"> </w:t>
      </w:r>
      <w:r>
        <w:rPr>
          <w:spacing w:val="-4"/>
        </w:rPr>
        <w:t>挥了重要作用，并对财政、税务、银行、审计与业务部门和投资者全面了解企业</w:t>
      </w:r>
      <w:r>
        <w:rPr>
          <w:spacing w:val="18"/>
        </w:rPr>
        <w:t xml:space="preserve"> </w:t>
      </w:r>
      <w:r>
        <w:rPr>
          <w:spacing w:val="-3"/>
        </w:rPr>
        <w:t>的生产经营，企业业绩的正确评价，从外部</w:t>
      </w:r>
      <w:r>
        <w:rPr>
          <w:spacing w:val="-4"/>
        </w:rPr>
        <w:t>促进企业改善经营管理的潜力，发挥</w:t>
      </w:r>
    </w:p>
    <w:p>
      <w:pPr>
        <w:pStyle w:val="BodyText"/>
        <w:spacing w:before="1" w:line="220" w:lineRule="auto"/>
        <w:ind w:left="3"/>
      </w:pPr>
      <w:r>
        <w:rPr>
          <w:spacing w:val="-5"/>
        </w:rPr>
        <w:t>着不可替代的作用。</w:t>
      </w:r>
    </w:p>
    <w:p>
      <w:pPr>
        <w:pStyle w:val="BodyText"/>
        <w:spacing w:before="171" w:line="361" w:lineRule="auto"/>
        <w:ind w:left="3" w:right="30" w:firstLine="490"/>
        <w:jc w:val="both"/>
        <w:sectPr>
          <w:footerReference w:type="default" r:id="rId4"/>
          <w:pgSz w:w="11910" w:h="16840"/>
          <w:pgMar w:top="1431" w:right="1759" w:bottom="1328" w:left="1786" w:header="0" w:footer="1189" w:gutter="0"/>
          <w:pgNumType w:start="2"/>
          <w:cols w:space="708"/>
        </w:sectPr>
      </w:pPr>
      <w:r>
        <w:rPr>
          <w:spacing w:val="-4"/>
        </w:rPr>
        <w:t>首先从债务结构进行分析，非流动负债占负债比重、非经营性负债占比等分</w:t>
      </w:r>
      <w:r>
        <w:rPr>
          <w:spacing w:val="14"/>
        </w:rPr>
        <w:t xml:space="preserve"> </w:t>
      </w:r>
      <w:r>
        <w:rPr>
          <w:spacing w:val="-4"/>
        </w:rPr>
        <w:t>析公司债务结构情况；然后通过指标进行分析：资产负债率、已获利息倍数和偿</w:t>
      </w:r>
      <w:r>
        <w:rPr>
          <w:spacing w:val="12"/>
        </w:rPr>
        <w:t xml:space="preserve"> </w:t>
      </w:r>
      <w:r>
        <w:rPr>
          <w:spacing w:val="-3"/>
        </w:rPr>
        <w:t>债保障比率；再通过现金流分析现金偿债能力</w:t>
      </w:r>
      <w:r>
        <w:rPr>
          <w:spacing w:val="-4"/>
        </w:rPr>
        <w:t>，筹资现金流入占现金总流入的占</w:t>
      </w:r>
      <w:r>
        <w:t xml:space="preserve"> </w:t>
      </w:r>
      <w:r>
        <w:rPr>
          <w:spacing w:val="-3"/>
        </w:rPr>
        <w:t>比，分析公司现金流入来源情况，同时结合利润构成和经营活动现金流入情况，</w:t>
      </w:r>
      <w:r>
        <w:rPr>
          <w:spacing w:val="15"/>
        </w:rPr>
        <w:t xml:space="preserve"> </w:t>
      </w:r>
    </w:p>
    <w:p>
      <w:pPr>
        <w:pStyle w:val="BodyText"/>
        <w:spacing w:before="171" w:line="361" w:lineRule="auto"/>
        <w:ind w:left="3" w:right="30" w:firstLine="490"/>
        <w:jc w:val="both"/>
      </w:pPr>
      <w:r>
        <w:rPr>
          <w:spacing w:val="-4"/>
        </w:rPr>
        <w:t>分析公司现金流入是否持续稳定，有利于保证持续的长期债务的偿还；筹资现金</w:t>
      </w:r>
      <w:r>
        <w:rPr>
          <w:spacing w:val="14"/>
        </w:rPr>
        <w:t xml:space="preserve"> </w:t>
      </w:r>
      <w:r>
        <w:rPr>
          <w:spacing w:val="-2"/>
        </w:rPr>
        <w:t>流出占现金总流出占比，分析筹资偿还整体压力；最后结合公司所处行业情况、</w:t>
      </w:r>
    </w:p>
    <w:p>
      <w:pPr>
        <w:pStyle w:val="BodyText"/>
        <w:spacing w:before="1" w:line="216" w:lineRule="auto"/>
        <w:ind w:left="3"/>
      </w:pPr>
      <w:r>
        <w:rPr>
          <w:spacing w:val="-2"/>
        </w:rPr>
        <w:t>公司战略发展等情况深入分析长期偿债预计将面临的压力。</w:t>
      </w:r>
    </w:p>
    <w:p>
      <w:pPr>
        <w:spacing w:line="216" w:lineRule="auto"/>
        <w:sectPr>
          <w:footerReference w:type="default" r:id="rId5"/>
          <w:type w:val="nextPage"/>
          <w:pgSz w:w="11910" w:h="16840"/>
          <w:pgMar w:top="1431" w:right="1759" w:bottom="1328" w:left="1786" w:header="0" w:footer="1189" w:gutter="0"/>
          <w:pgNumType w:start="3"/>
          <w:cols w:space="708"/>
          <w:titlePg w:val="0"/>
        </w:sectPr>
      </w:pPr>
    </w:p>
    <w:p>
      <w:pPr>
        <w:pStyle w:val="BodyText"/>
        <w:spacing w:before="137" w:line="585" w:lineRule="exact"/>
        <w:ind w:left="384"/>
        <w:rPr>
          <w:sz w:val="32"/>
          <w:szCs w:val="32"/>
        </w:rPr>
      </w:pPr>
      <w:r>
        <w:drawing>
          <wp:anchor distT="0" distB="0" distL="0" distR="0" simplePos="0" relativeHeight="251658240" behindDoc="0" locked="0" layoutInCell="0" allowOverlap="1">
            <wp:simplePos x="0" y="0"/>
            <wp:positionH relativeFrom="page">
              <wp:posOffset>1130268</wp:posOffset>
            </wp:positionH>
            <wp:positionV relativeFrom="page">
              <wp:posOffset>9410706</wp:posOffset>
            </wp:positionV>
            <wp:extent cx="1854259"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854259" cy="6350"/>
                    </a:xfrm>
                    <a:prstGeom prst="rect">
                      <a:avLst/>
                    </a:prstGeom>
                  </pic:spPr>
                </pic:pic>
              </a:graphicData>
            </a:graphic>
          </wp:anchor>
        </w:drawing>
      </w:r>
      <w:bookmarkStart w:id="5" w:name="bookmark6"/>
      <w:bookmarkEnd w:id="5"/>
      <w:bookmarkStart w:id="6" w:name="bookmark7"/>
      <w:bookmarkEnd w:id="6"/>
      <w:bookmarkStart w:id="7" w:name="bookmark8"/>
      <w:bookmarkEnd w:id="7"/>
      <w:r>
        <w:rPr>
          <w:b/>
          <w:bCs/>
          <w:spacing w:val="-9"/>
          <w:position w:val="19"/>
          <w:sz w:val="32"/>
          <w:szCs w:val="32"/>
        </w:rPr>
        <w:t>2.万达院线的偿债风险的基本理论及文献综述</w:t>
      </w:r>
    </w:p>
    <w:p>
      <w:pPr>
        <w:pStyle w:val="BodyText"/>
        <w:spacing w:before="1" w:line="217" w:lineRule="auto"/>
        <w:ind w:left="13"/>
      </w:pPr>
      <w:r>
        <w:rPr>
          <w:b/>
          <w:bCs/>
          <w:spacing w:val="-8"/>
        </w:rPr>
        <w:t>2.1文献综述</w:t>
      </w:r>
    </w:p>
    <w:p>
      <w:pPr>
        <w:pStyle w:val="BodyText"/>
        <w:spacing w:before="110" w:line="218" w:lineRule="auto"/>
        <w:ind w:left="380"/>
      </w:pPr>
      <w:r>
        <w:rPr>
          <w:spacing w:val="-18"/>
        </w:rPr>
        <w:t>2.1.1</w:t>
      </w:r>
      <w:r>
        <w:rPr>
          <w:spacing w:val="-31"/>
        </w:rPr>
        <w:t xml:space="preserve"> </w:t>
      </w:r>
      <w:r>
        <w:rPr>
          <w:spacing w:val="-18"/>
        </w:rPr>
        <w:t>国内文献综述</w:t>
      </w:r>
    </w:p>
    <w:p>
      <w:pPr>
        <w:pStyle w:val="BodyText"/>
        <w:spacing w:before="107" w:line="354" w:lineRule="auto"/>
        <w:ind w:left="10" w:right="3" w:firstLine="510"/>
        <w:jc w:val="both"/>
      </w:pPr>
      <w:r>
        <w:rPr>
          <w:spacing w:val="3"/>
        </w:rPr>
        <w:t>中国学者裴博颖和陈巩蓉(2012)指出，在这项研究</w:t>
      </w:r>
      <w:r>
        <w:rPr>
          <w:spacing w:val="2"/>
        </w:rPr>
        <w:t>中，首选的对象是各种</w:t>
      </w:r>
      <w:r>
        <w:t xml:space="preserve"> </w:t>
      </w:r>
      <w:r>
        <w:rPr>
          <w:spacing w:val="-9"/>
        </w:rPr>
        <w:t>类型的债务融资，以最低的成本不应考虑企业债务结构的确定，应作为次要因素，</w:t>
      </w:r>
      <w:r>
        <w:rPr>
          <w:spacing w:val="13"/>
        </w:rPr>
        <w:t xml:space="preserve"> </w:t>
      </w:r>
      <w:r>
        <w:rPr>
          <w:spacing w:val="-3"/>
        </w:rPr>
        <w:t>主要因素应该是债务的风险，只有保证企业债务的风险，我们可以谈结构合理成</w:t>
      </w:r>
      <w:r>
        <w:rPr>
          <w:spacing w:val="5"/>
        </w:rPr>
        <w:t xml:space="preserve"> </w:t>
      </w:r>
      <w:r>
        <w:rPr>
          <w:spacing w:val="-9"/>
        </w:rPr>
        <w:t>本的问题，从而确定债务。指出债务期限结构与资产负债率正相关。有学者指出，</w:t>
      </w:r>
      <w:r>
        <w:rPr>
          <w:spacing w:val="13"/>
        </w:rPr>
        <w:t xml:space="preserve"> </w:t>
      </w:r>
      <w:r>
        <w:rPr>
          <w:spacing w:val="-4"/>
        </w:rPr>
        <w:t>公司债务期限结构对资产和负债的积极作用应理解为企业加强债务风险，对债务</w:t>
      </w:r>
      <w:r>
        <w:rPr>
          <w:spacing w:val="12"/>
        </w:rPr>
        <w:t xml:space="preserve"> </w:t>
      </w:r>
      <w:r>
        <w:rPr>
          <w:spacing w:val="-3"/>
        </w:rPr>
        <w:t>融资结构对企业债务风险的影响的研究不多，但没有债务融资结构的实证分</w:t>
      </w:r>
      <w:r>
        <w:rPr>
          <w:spacing w:val="-4"/>
        </w:rPr>
        <w:t>析与</w:t>
      </w:r>
      <w:r>
        <w:t xml:space="preserve"> </w:t>
      </w:r>
      <w:r>
        <w:rPr>
          <w:spacing w:val="5"/>
        </w:rPr>
        <w:t>债务风险，袁伟秋的原因(2011)研究人</w:t>
      </w:r>
      <w:r>
        <w:rPr>
          <w:spacing w:val="4"/>
        </w:rPr>
        <w:t>员没有详细研究企业的债务融资结构，</w:t>
      </w:r>
      <w:r>
        <w:t xml:space="preserve"> </w:t>
      </w:r>
      <w:r>
        <w:rPr>
          <w:spacing w:val="3"/>
        </w:rPr>
        <w:t>但通常金融知识的主观判断。曹婷秋，孙文翔，和(2010)采用主成分分析法构</w:t>
      </w:r>
      <w:r>
        <w:rPr>
          <w:spacing w:val="11"/>
        </w:rPr>
        <w:t xml:space="preserve"> </w:t>
      </w:r>
      <w:r>
        <w:rPr>
          <w:spacing w:val="7"/>
        </w:rPr>
        <w:t>建综合绩效指标</w:t>
      </w:r>
      <w:r>
        <w:rPr>
          <w:spacing w:val="7"/>
        </w:rPr>
        <w:t xml:space="preserve"> </w:t>
      </w:r>
      <w:r>
        <w:rPr>
          <w:rFonts w:ascii="Times New Roman" w:eastAsia="Times New Roman" w:hAnsi="Times New Roman" w:cs="Times New Roman"/>
          <w:spacing w:val="7"/>
        </w:rPr>
        <w:t>(</w:t>
      </w:r>
      <w:r>
        <w:rPr>
          <w:rFonts w:ascii="Times New Roman" w:eastAsia="Times New Roman" w:hAnsi="Times New Roman" w:cs="Times New Roman"/>
        </w:rPr>
        <w:t>PCA</w:t>
      </w:r>
      <w:r>
        <w:rPr>
          <w:rFonts w:ascii="Times New Roman" w:eastAsia="Times New Roman" w:hAnsi="Times New Roman" w:cs="Times New Roman"/>
          <w:spacing w:val="7"/>
        </w:rPr>
        <w:t xml:space="preserve">),    </w:t>
      </w:r>
      <w:r>
        <w:rPr>
          <w:spacing w:val="7"/>
        </w:rPr>
        <w:t>研究资本结构对公司绩效</w:t>
      </w:r>
      <w:r>
        <w:rPr>
          <w:spacing w:val="6"/>
        </w:rPr>
        <w:t>的影响。蒋丽彪(2011)提</w:t>
      </w:r>
      <w:r>
        <w:t xml:space="preserve"> </w:t>
      </w:r>
      <w:r>
        <w:rPr>
          <w:spacing w:val="-4"/>
        </w:rPr>
        <w:t>出，在市场经济条件下，负债经营是现代企业的基本经营策略。结果表明，资产</w:t>
      </w:r>
      <w:r>
        <w:rPr>
          <w:spacing w:val="3"/>
        </w:rPr>
        <w:t xml:space="preserve"> </w:t>
      </w:r>
      <w:r>
        <w:rPr>
          <w:spacing w:val="-4"/>
        </w:rPr>
        <w:t>负债率的提高对公司绩效有负向影响，且对于公司的成长性较差，这种效应更显</w:t>
      </w:r>
      <w:r>
        <w:rPr>
          <w:spacing w:val="12"/>
        </w:rPr>
        <w:t xml:space="preserve"> </w:t>
      </w:r>
      <w:r>
        <w:rPr>
          <w:spacing w:val="-4"/>
        </w:rPr>
        <w:t>著。作者认为，债务低成长型公司的制约作用没有发挥出来，这可能是在中国上</w:t>
      </w:r>
    </w:p>
    <w:p>
      <w:pPr>
        <w:pStyle w:val="BodyText"/>
        <w:spacing w:before="1" w:line="220" w:lineRule="auto"/>
        <w:ind w:left="10"/>
      </w:pPr>
      <w:r>
        <w:rPr>
          <w:spacing w:val="-8"/>
        </w:rPr>
        <w:t>市企业的软约束有关①。</w:t>
      </w:r>
    </w:p>
    <w:p>
      <w:pPr>
        <w:pStyle w:val="BodyText"/>
        <w:spacing w:before="209" w:line="218" w:lineRule="auto"/>
        <w:ind w:left="380"/>
      </w:pPr>
      <w:r>
        <w:rPr>
          <w:spacing w:val="-8"/>
        </w:rPr>
        <w:t>2.1.2国外文献综述</w:t>
      </w:r>
    </w:p>
    <w:p>
      <w:pPr>
        <w:pStyle w:val="BodyText"/>
        <w:spacing w:before="90" w:line="362" w:lineRule="auto"/>
        <w:ind w:left="10" w:right="3" w:firstLine="490"/>
        <w:sectPr>
          <w:footerReference w:type="default" r:id="rId7"/>
          <w:pgSz w:w="11910" w:h="16840"/>
          <w:pgMar w:top="1431" w:right="1786" w:bottom="1328" w:left="1779" w:header="0" w:footer="1189" w:gutter="0"/>
          <w:pgNumType w:start="4"/>
          <w:cols w:space="708"/>
        </w:sectPr>
      </w:pPr>
      <w:r>
        <w:rPr>
          <w:rFonts w:ascii="SimSun" w:eastAsia="SimSun" w:hAnsi="SimSun" w:cs="SimSun"/>
        </w:rPr>
        <w:t>Modi</w:t>
      </w:r>
      <w:r>
        <w:rPr>
          <w:rFonts w:ascii="SimSun" w:eastAsia="SimSun" w:hAnsi="SimSun" w:cs="SimSun"/>
          <w:spacing w:val="43"/>
        </w:rPr>
        <w:t xml:space="preserve">  </w:t>
      </w:r>
      <w:r>
        <w:rPr>
          <w:rFonts w:ascii="SimSun" w:eastAsia="SimSun" w:hAnsi="SimSun" w:cs="SimSun"/>
        </w:rPr>
        <w:t>LINIA</w:t>
      </w:r>
      <w:r>
        <w:rPr>
          <w:rFonts w:ascii="SimSun" w:eastAsia="SimSun" w:hAnsi="SimSun" w:cs="SimSun"/>
          <w:spacing w:val="1"/>
        </w:rPr>
        <w:t>(2012)</w:t>
      </w:r>
      <w:r>
        <w:rPr>
          <w:spacing w:val="1"/>
        </w:rPr>
        <w:t>和</w:t>
      </w:r>
      <w:r>
        <w:rPr>
          <w:spacing w:val="-36"/>
        </w:rPr>
        <w:t xml:space="preserve"> </w:t>
      </w:r>
      <w:r>
        <w:rPr>
          <w:rFonts w:ascii="Times New Roman" w:eastAsia="Times New Roman" w:hAnsi="Times New Roman" w:cs="Times New Roman"/>
        </w:rPr>
        <w:t>Miller</w:t>
      </w:r>
      <w:r>
        <w:rPr>
          <w:rFonts w:ascii="Times New Roman" w:eastAsia="Times New Roman" w:hAnsi="Times New Roman" w:cs="Times New Roman"/>
          <w:spacing w:val="1"/>
        </w:rPr>
        <w:t xml:space="preserve">(2011)    </w:t>
      </w:r>
      <w:r>
        <w:rPr>
          <w:spacing w:val="1"/>
        </w:rPr>
        <w:t>是在一月的现代资本结构理论的创始</w:t>
      </w:r>
      <w:r>
        <w:t xml:space="preserve"> </w:t>
      </w:r>
      <w:r>
        <w:rPr>
          <w:spacing w:val="-10"/>
        </w:rPr>
        <w:t>人，《美国经济评论》发表的《资本成本、公司财务和投资理论》2010一文；《美</w:t>
      </w:r>
      <w:r>
        <w:rPr>
          <w:spacing w:val="16"/>
        </w:rPr>
        <w:t xml:space="preserve"> </w:t>
      </w:r>
      <w:r>
        <w:rPr>
          <w:spacing w:val="-4"/>
        </w:rPr>
        <w:t>国经济评论》又发表了“税收与资本成本：“校正论文。这两篇文章第一次以严</w:t>
      </w:r>
      <w:r>
        <w:rPr>
          <w:spacing w:val="2"/>
        </w:rPr>
        <w:t xml:space="preserve"> </w:t>
      </w:r>
      <w:r>
        <w:rPr>
          <w:spacing w:val="-3"/>
        </w:rPr>
        <w:t>谨、科学的方式研究资本结构与企业价值的关系。</w:t>
      </w:r>
      <w:r>
        <w:rPr>
          <w:rFonts w:ascii="Times New Roman" w:eastAsia="Times New Roman" w:hAnsi="Times New Roman" w:cs="Times New Roman"/>
          <w:spacing w:val="-3"/>
        </w:rPr>
        <w:t xml:space="preserve">Boxster(2012),     </w:t>
      </w:r>
      <w:r>
        <w:rPr>
          <w:spacing w:val="-3"/>
        </w:rPr>
        <w:t>克劳斯，</w:t>
      </w:r>
      <w:r>
        <w:rPr>
          <w:spacing w:val="-38"/>
        </w:rPr>
        <w:t xml:space="preserve"> </w:t>
      </w:r>
      <w:r>
        <w:rPr>
          <w:spacing w:val="-3"/>
        </w:rPr>
        <w:t>Liz</w:t>
      </w:r>
      <w:r>
        <w:t xml:space="preserve"> </w:t>
      </w:r>
      <w:r>
        <w:rPr>
          <w:rFonts w:ascii="SimSun" w:eastAsia="SimSun" w:hAnsi="SimSun" w:cs="SimSun"/>
          <w:spacing w:val="-1"/>
        </w:rPr>
        <w:t>Berg,</w:t>
      </w:r>
      <w:r>
        <w:rPr>
          <w:rFonts w:ascii="SimSun" w:eastAsia="SimSun" w:hAnsi="SimSun" w:cs="SimSun"/>
          <w:spacing w:val="-46"/>
        </w:rPr>
        <w:t xml:space="preserve"> </w:t>
      </w:r>
      <w:r>
        <w:rPr>
          <w:spacing w:val="-1"/>
        </w:rPr>
        <w:t>史葛，戈登和马尔基尔作为财务困</w:t>
      </w:r>
      <w:r>
        <w:rPr>
          <w:spacing w:val="-2"/>
        </w:rPr>
        <w:t>境成本的代表，在理论上对财务困境成</w:t>
      </w:r>
      <w:r>
        <w:t xml:space="preserve"> </w:t>
      </w:r>
      <w:r>
        <w:rPr>
          <w:spacing w:val="-3"/>
        </w:rPr>
        <w:t>本。财务困境成本是指企业没有足够的债务风</w:t>
      </w:r>
      <w:r>
        <w:rPr>
          <w:spacing w:val="-4"/>
        </w:rPr>
        <w:t>险，不能及时偿还债务，这就造成</w:t>
      </w:r>
      <w:r>
        <w:t xml:space="preserve"> </w:t>
      </w:r>
      <w:r>
        <w:rPr>
          <w:spacing w:val="-9"/>
        </w:rPr>
        <w:t>了企业正常的经营困难，产生大量的额外成本或机会的机会，甚至可能导致破产。</w:t>
      </w:r>
      <w:r>
        <w:rPr>
          <w:spacing w:val="13"/>
        </w:rPr>
        <w:t xml:space="preserve"> </w:t>
      </w:r>
      <w:r>
        <w:rPr>
          <w:spacing w:val="-3"/>
        </w:rPr>
        <w:t>米迦勒认为，债务风险的最重要衡量标准是揭示一家</w:t>
      </w:r>
      <w:r>
        <w:rPr>
          <w:spacing w:val="-4"/>
        </w:rPr>
        <w:t>公司能够为到期债务支付的</w:t>
      </w:r>
      <w:r>
        <w:t xml:space="preserve"> </w:t>
      </w:r>
      <w:r>
        <w:rPr>
          <w:spacing w:val="-4"/>
        </w:rPr>
        <w:t>资金数额。王鸿认为，企业的短期债务风险是企业资产的变现，是企业自身资源</w:t>
      </w:r>
      <w:r>
        <w:rPr>
          <w:spacing w:val="16"/>
        </w:rPr>
        <w:t xml:space="preserve"> </w:t>
      </w:r>
      <w:r>
        <w:rPr>
          <w:spacing w:val="-3"/>
        </w:rPr>
        <w:t>获取现金或资产转化为现金来偿还短期债务风险。卢占峰认为，企业更重要的是</w:t>
      </w:r>
    </w:p>
    <w:p>
      <w:pPr>
        <w:pStyle w:val="BodyText"/>
        <w:spacing w:before="1" w:line="217" w:lineRule="auto"/>
        <w:ind w:left="10"/>
      </w:pPr>
      <w:r>
        <w:rPr>
          <w:spacing w:val="6"/>
        </w:rPr>
        <w:t>长期债务，所以它是评价企业的综合债务风险更重要。</w:t>
      </w:r>
    </w:p>
    <w:p>
      <w:pPr>
        <w:spacing w:line="283" w:lineRule="auto"/>
        <w:rPr>
          <w:rFonts w:ascii="Arial"/>
          <w:sz w:val="21"/>
        </w:rPr>
      </w:pPr>
    </w:p>
    <w:p>
      <w:pPr>
        <w:spacing w:line="284" w:lineRule="auto"/>
        <w:rPr>
          <w:rFonts w:ascii="Arial"/>
          <w:sz w:val="21"/>
        </w:rPr>
      </w:pPr>
    </w:p>
    <w:p>
      <w:pPr>
        <w:spacing w:before="59" w:line="212" w:lineRule="auto"/>
        <w:ind w:left="10"/>
        <w:rPr>
          <w:rFonts w:ascii="SimSun" w:eastAsia="SimSun" w:hAnsi="SimSun" w:cs="SimSun"/>
          <w:sz w:val="18"/>
          <w:szCs w:val="18"/>
        </w:rPr>
      </w:pPr>
      <w:r>
        <w:rPr>
          <w:rFonts w:ascii="SimSun" w:eastAsia="SimSun" w:hAnsi="SimSun" w:cs="SimSun"/>
          <w:spacing w:val="-6"/>
          <w:sz w:val="18"/>
          <w:szCs w:val="18"/>
        </w:rPr>
        <w:t>①马欢腾.</w:t>
      </w:r>
      <w:r>
        <w:rPr>
          <w:rFonts w:ascii="Times New Roman" w:eastAsia="Times New Roman" w:hAnsi="Times New Roman" w:cs="Times New Roman"/>
          <w:spacing w:val="-6"/>
          <w:sz w:val="18"/>
          <w:szCs w:val="18"/>
        </w:rPr>
        <w:t xml:space="preserve">RS </w:t>
      </w:r>
      <w:r>
        <w:rPr>
          <w:rFonts w:ascii="SimSun" w:eastAsia="SimSun" w:hAnsi="SimSun" w:cs="SimSun"/>
          <w:spacing w:val="-6"/>
          <w:sz w:val="18"/>
          <w:szCs w:val="18"/>
        </w:rPr>
        <w:t>公司偿债风险分析</w:t>
      </w:r>
      <w:r>
        <w:rPr>
          <w:rFonts w:ascii="Times New Roman" w:eastAsia="Times New Roman" w:hAnsi="Times New Roman" w:cs="Times New Roman"/>
          <w:spacing w:val="-6"/>
          <w:sz w:val="18"/>
          <w:szCs w:val="18"/>
        </w:rPr>
        <w:t>[J].</w:t>
      </w:r>
      <w:r>
        <w:rPr>
          <w:rFonts w:ascii="SimSun" w:eastAsia="SimSun" w:hAnsi="SimSun" w:cs="SimSun"/>
          <w:spacing w:val="-6"/>
          <w:sz w:val="18"/>
          <w:szCs w:val="18"/>
        </w:rPr>
        <w:t>财经纵览-会计审计.2</w:t>
      </w:r>
      <w:r>
        <w:rPr>
          <w:rFonts w:ascii="SimSun" w:eastAsia="SimSun" w:hAnsi="SimSun" w:cs="SimSun"/>
          <w:spacing w:val="-7"/>
          <w:sz w:val="18"/>
          <w:szCs w:val="18"/>
        </w:rPr>
        <w:t>016(31).</w:t>
      </w:r>
    </w:p>
    <w:p>
      <w:pPr>
        <w:spacing w:before="59" w:line="217" w:lineRule="auto"/>
        <w:ind w:left="10"/>
        <w:rPr>
          <w:rFonts w:ascii="SimSun" w:eastAsia="SimSun" w:hAnsi="SimSun" w:cs="SimSun"/>
          <w:sz w:val="18"/>
          <w:szCs w:val="18"/>
        </w:rPr>
      </w:pPr>
      <w:r>
        <w:rPr>
          <w:rFonts w:ascii="SimSun" w:eastAsia="SimSun" w:hAnsi="SimSun" w:cs="SimSun"/>
          <w:spacing w:val="-14"/>
          <w:sz w:val="18"/>
          <w:szCs w:val="18"/>
        </w:rPr>
        <w:t>②王雨松.杨洋，浅析偿债风险分析方法对企业的影响[J].商，财经纵览-财政经融.2016(05).</w:t>
      </w:r>
    </w:p>
    <w:p>
      <w:pPr>
        <w:spacing w:line="217" w:lineRule="auto"/>
        <w:rPr>
          <w:rFonts w:ascii="SimSun" w:eastAsia="SimSun" w:hAnsi="SimSun" w:cs="SimSun"/>
          <w:sz w:val="18"/>
          <w:szCs w:val="18"/>
        </w:rPr>
        <w:sectPr>
          <w:footerReference w:type="default" r:id="rId8"/>
          <w:type w:val="nextPage"/>
          <w:pgSz w:w="11910" w:h="16840"/>
          <w:pgMar w:top="1431" w:right="1786" w:bottom="1328" w:left="1779" w:header="0" w:footer="1189" w:gutter="0"/>
          <w:pgNumType w:start="5"/>
          <w:cols w:space="708"/>
          <w:titlePg w:val="0"/>
        </w:sectPr>
      </w:pPr>
    </w:p>
    <w:p>
      <w:pPr>
        <w:pStyle w:val="BodyText"/>
        <w:spacing w:before="101" w:line="216" w:lineRule="auto"/>
        <w:ind w:left="16"/>
        <w:outlineLvl w:val="1"/>
      </w:pPr>
      <w:bookmarkStart w:id="8" w:name="bookmark10"/>
      <w:bookmarkEnd w:id="8"/>
      <w:bookmarkStart w:id="9" w:name="bookmark11"/>
      <w:bookmarkEnd w:id="9"/>
      <w:bookmarkStart w:id="10" w:name="bookmark9"/>
      <w:bookmarkEnd w:id="10"/>
      <w:r>
        <w:rPr>
          <w:b/>
          <w:bCs/>
          <w:spacing w:val="-4"/>
        </w:rPr>
        <w:t>2.2短期偿债能力指标的理论基础</w:t>
      </w:r>
    </w:p>
    <w:p>
      <w:pPr>
        <w:pStyle w:val="BodyText"/>
        <w:spacing w:before="186" w:line="481" w:lineRule="exact"/>
        <w:ind w:left="493"/>
      </w:pPr>
      <w:r>
        <w:rPr>
          <w:spacing w:val="-4"/>
          <w:position w:val="18"/>
        </w:rPr>
        <w:t>短期偿债能力主要表现在公司到期债务与可支配流动资产之间的关系，主要</w:t>
      </w:r>
    </w:p>
    <w:p>
      <w:pPr>
        <w:pStyle w:val="BodyText"/>
        <w:spacing w:before="1" w:line="220" w:lineRule="auto"/>
        <w:ind w:left="13"/>
      </w:pPr>
      <w:r>
        <w:rPr>
          <w:spacing w:val="-3"/>
        </w:rPr>
        <w:t>的衡量指标有流动比率和速动比率，另外还有现金比率。</w:t>
      </w:r>
    </w:p>
    <w:p>
      <w:pPr>
        <w:pStyle w:val="BodyText"/>
        <w:spacing w:before="95" w:line="222" w:lineRule="auto"/>
        <w:ind w:left="363"/>
      </w:pPr>
      <w:r>
        <w:rPr>
          <w:spacing w:val="-7"/>
        </w:rPr>
        <w:t>2.2.1流动比率</w:t>
      </w:r>
    </w:p>
    <w:p>
      <w:pPr>
        <w:pStyle w:val="BodyText"/>
        <w:spacing w:before="101" w:line="355" w:lineRule="auto"/>
        <w:ind w:left="13" w:right="16" w:firstLine="480"/>
      </w:pPr>
      <w:r>
        <w:rPr>
          <w:spacing w:val="4"/>
        </w:rPr>
        <w:t>流动比率是流动资产与流动负债的比率，是衡量短期偿债能力最常用的指</w:t>
      </w:r>
      <w:r>
        <w:rPr>
          <w:spacing w:val="4"/>
        </w:rPr>
        <w:t xml:space="preserve"> </w:t>
      </w:r>
      <w:r>
        <w:rPr>
          <w:spacing w:val="-8"/>
        </w:rPr>
        <w:t>标。公司从债权人的角度来看，公司的资产负债率尽可能低，而流动比率是</w:t>
      </w:r>
      <w:r>
        <w:rPr>
          <w:spacing w:val="-9"/>
        </w:rPr>
        <w:t>好的，</w:t>
      </w:r>
      <w:r>
        <w:t xml:space="preserve"> </w:t>
      </w:r>
      <w:r>
        <w:rPr>
          <w:spacing w:val="-5"/>
        </w:rPr>
        <w:t>那么,公司的偿债能力是有保障的，贷款的安全系数要高；从运营商的角度来看，</w:t>
      </w:r>
      <w:r>
        <w:rPr>
          <w:spacing w:val="9"/>
        </w:rPr>
        <w:t xml:space="preserve"> </w:t>
      </w:r>
      <w:r>
        <w:rPr>
          <w:spacing w:val="-4"/>
        </w:rPr>
        <w:t>如果资产负债率太高，超出债权人的心理承受水平，公司借钱；如果公司资产负</w:t>
      </w:r>
      <w:r>
        <w:rPr>
          <w:spacing w:val="12"/>
        </w:rPr>
        <w:t xml:space="preserve"> </w:t>
      </w:r>
      <w:r>
        <w:rPr>
          <w:spacing w:val="-4"/>
        </w:rPr>
        <w:t>债率过低，说明公司在经营过程中更加谨慎，不容易借到投入自有资金，或是更</w:t>
      </w:r>
    </w:p>
    <w:p>
      <w:pPr>
        <w:pStyle w:val="BodyText"/>
        <w:spacing w:before="1" w:line="220" w:lineRule="auto"/>
        <w:ind w:left="13"/>
      </w:pPr>
      <w:r>
        <w:rPr>
          <w:spacing w:val="-3"/>
        </w:rPr>
        <w:t>合适的，但不需要大规模举债其公式为：</w:t>
      </w:r>
    </w:p>
    <w:p>
      <w:pPr>
        <w:pStyle w:val="BodyText"/>
        <w:spacing w:before="225" w:line="222" w:lineRule="auto"/>
        <w:ind w:left="493"/>
      </w:pPr>
      <w:r>
        <w:rPr>
          <w:spacing w:val="-1"/>
        </w:rPr>
        <w:t>流动比率=流动资产/流动负债*100%</w:t>
      </w:r>
    </w:p>
    <w:p>
      <w:pPr>
        <w:pStyle w:val="BodyText"/>
        <w:spacing w:before="172" w:line="354" w:lineRule="auto"/>
        <w:ind w:left="13" w:right="80" w:firstLine="480"/>
      </w:pPr>
      <w:r>
        <w:rPr>
          <w:spacing w:val="-9"/>
        </w:rPr>
        <w:t>也就是说，流动性强的流动性偿还短期债务。指数越高，偿债能力越</w:t>
      </w:r>
      <w:r>
        <w:rPr>
          <w:spacing w:val="-10"/>
        </w:rPr>
        <w:t>强。</w:t>
      </w:r>
      <w:r>
        <w:rPr>
          <w:spacing w:val="48"/>
        </w:rPr>
        <w:t xml:space="preserve"> </w:t>
      </w:r>
      <w:r>
        <w:rPr>
          <w:spacing w:val="-10"/>
        </w:rPr>
        <w:t>一</w:t>
      </w:r>
      <w:r>
        <w:t xml:space="preserve"> </w:t>
      </w:r>
      <w:r>
        <w:rPr>
          <w:spacing w:val="3"/>
        </w:rPr>
        <w:t>般认为，目前的比例应维持在200%左右。但比不能太高，太高，</w:t>
      </w:r>
      <w:r>
        <w:rPr>
          <w:spacing w:val="2"/>
        </w:rPr>
        <w:t>企业可以充分</w:t>
      </w:r>
      <w:r>
        <w:t xml:space="preserve"> </w:t>
      </w:r>
      <w:r>
        <w:rPr>
          <w:spacing w:val="-3"/>
        </w:rPr>
        <w:t>利用低成本的流动负债，也表明企业流动资金占用较多</w:t>
      </w:r>
      <w:r>
        <w:rPr>
          <w:spacing w:val="-4"/>
        </w:rPr>
        <w:t>，会影响企业的资金使用</w:t>
      </w:r>
      <w:r>
        <w:t xml:space="preserve"> </w:t>
      </w:r>
      <w:r>
        <w:rPr>
          <w:spacing w:val="-4"/>
        </w:rPr>
        <w:t>效率和盈利能力；流动比率过高也可能是多余的库存，应收账款过多，收集和延</w:t>
      </w:r>
      <w:r>
        <w:rPr>
          <w:spacing w:val="8"/>
        </w:rPr>
        <w:t xml:space="preserve"> </w:t>
      </w:r>
      <w:r>
        <w:rPr>
          <w:spacing w:val="-9"/>
        </w:rPr>
        <w:t>长，预付费用增加所致。但真正的债务可用于资金和存款是一个严重短缺。</w:t>
      </w:r>
      <w:r>
        <w:rPr>
          <w:spacing w:val="63"/>
        </w:rPr>
        <w:t xml:space="preserve"> </w:t>
      </w:r>
      <w:r>
        <w:rPr>
          <w:spacing w:val="-9"/>
        </w:rPr>
        <w:t>一般</w:t>
      </w:r>
    </w:p>
    <w:p>
      <w:pPr>
        <w:pStyle w:val="BodyText"/>
        <w:spacing w:before="1" w:line="216" w:lineRule="auto"/>
        <w:ind w:left="13"/>
      </w:pPr>
      <w:r>
        <w:rPr>
          <w:spacing w:val="-1"/>
        </w:rPr>
        <w:t>来说，营业周期周转率、应收账款和存货周转率是影响流动</w:t>
      </w:r>
      <w:r>
        <w:rPr>
          <w:spacing w:val="-2"/>
        </w:rPr>
        <w:t>比率的主要因素。</w:t>
      </w:r>
    </w:p>
    <w:p>
      <w:pPr>
        <w:pStyle w:val="BodyText"/>
        <w:spacing w:before="156" w:line="222" w:lineRule="auto"/>
        <w:ind w:left="373"/>
      </w:pPr>
      <w:r>
        <w:rPr>
          <w:spacing w:val="-11"/>
        </w:rPr>
        <w:t>2.2.2速动比率</w:t>
      </w:r>
    </w:p>
    <w:p>
      <w:pPr>
        <w:pStyle w:val="BodyText"/>
        <w:spacing w:before="89" w:line="221" w:lineRule="auto"/>
        <w:ind w:right="7"/>
        <w:jc w:val="right"/>
      </w:pPr>
      <w:r>
        <w:rPr>
          <w:spacing w:val="-1"/>
        </w:rPr>
        <w:t>速动比率是速动资产与流动资产的比率，也称酸性测</w:t>
      </w:r>
      <w:r>
        <w:rPr>
          <w:spacing w:val="-2"/>
        </w:rPr>
        <w:t>试比率。计算公式为：</w:t>
      </w:r>
    </w:p>
    <w:p>
      <w:pPr>
        <w:pStyle w:val="BodyText"/>
        <w:spacing w:before="195" w:line="222" w:lineRule="auto"/>
        <w:ind w:left="493"/>
      </w:pPr>
      <w:r>
        <w:rPr>
          <w:spacing w:val="-6"/>
        </w:rPr>
        <w:t>速动比率=速动资产/流动负债</w:t>
      </w:r>
    </w:p>
    <w:p>
      <w:pPr>
        <w:pStyle w:val="BodyText"/>
        <w:spacing w:before="180" w:line="353" w:lineRule="auto"/>
        <w:ind w:left="13" w:firstLine="480"/>
        <w:sectPr>
          <w:footerReference w:type="default" r:id="rId9"/>
          <w:pgSz w:w="11910" w:h="16840"/>
          <w:pgMar w:top="1431" w:right="1743" w:bottom="1328" w:left="1786" w:header="0" w:footer="1189" w:gutter="0"/>
          <w:pgNumType w:start="6"/>
          <w:cols w:space="708"/>
        </w:sectPr>
      </w:pPr>
      <w:r>
        <w:rPr>
          <w:spacing w:val="-2"/>
        </w:rPr>
        <w:t>速动资产是指迅速可以变现的流动资产，即流动资产扣除存货之后的余额，</w:t>
      </w:r>
      <w:r>
        <w:rPr>
          <w:spacing w:val="3"/>
        </w:rPr>
        <w:t xml:space="preserve"> </w:t>
      </w:r>
      <w:r>
        <w:rPr>
          <w:spacing w:val="-1"/>
        </w:rPr>
        <w:t>有时还扣除待摊费用、预付货款等。流动资产包括货币资金、交易性金融资产、</w:t>
      </w:r>
      <w:r>
        <w:t xml:space="preserve"> </w:t>
      </w:r>
      <w:r>
        <w:rPr>
          <w:spacing w:val="-4"/>
        </w:rPr>
        <w:t>各项应收款等。在速动资产中扣除存货是因为存货的变现速度慢，可能还存在损</w:t>
      </w:r>
      <w:r>
        <w:rPr>
          <w:spacing w:val="-4"/>
        </w:rPr>
        <w:t xml:space="preserve"> </w:t>
      </w:r>
      <w:r>
        <w:rPr>
          <w:spacing w:val="-8"/>
        </w:rPr>
        <w:t>坏、计价等问题；待摊费用、预付货款是已经发生的支出，本身并没有偿付</w:t>
      </w:r>
      <w:r>
        <w:rPr>
          <w:spacing w:val="-9"/>
        </w:rPr>
        <w:t>能力，</w:t>
      </w:r>
      <w:r>
        <w:t xml:space="preserve"> </w:t>
      </w:r>
      <w:r>
        <w:rPr>
          <w:spacing w:val="-4"/>
        </w:rPr>
        <w:t>所以谨慎的投资者在计算速动比率时也可以将之从流动资产中扣除。速动比率越</w:t>
      </w:r>
      <w:r>
        <w:rPr>
          <w:spacing w:val="6"/>
        </w:rPr>
        <w:t xml:space="preserve"> </w:t>
      </w:r>
      <w:r>
        <w:rPr>
          <w:spacing w:val="-3"/>
        </w:rPr>
        <w:t>高，表明企业偿还流动负债的能力越强。通常认为合</w:t>
      </w:r>
      <w:r>
        <w:rPr>
          <w:spacing w:val="-4"/>
        </w:rPr>
        <w:t>理的速动比率为1,此时说明</w:t>
      </w:r>
    </w:p>
    <w:p>
      <w:pPr>
        <w:pStyle w:val="BodyText"/>
        <w:spacing w:before="1" w:line="216" w:lineRule="auto"/>
        <w:ind w:left="13"/>
      </w:pPr>
      <w:r>
        <w:rPr>
          <w:spacing w:val="-2"/>
        </w:rPr>
        <w:t>企业既有良好的债务偿还能力，又有合理的</w:t>
      </w:r>
      <w:r>
        <w:rPr>
          <w:spacing w:val="-3"/>
        </w:rPr>
        <w:t>流动资产结构。</w:t>
      </w:r>
    </w:p>
    <w:p>
      <w:pPr>
        <w:pStyle w:val="BodyText"/>
        <w:spacing w:before="219" w:line="369" w:lineRule="auto"/>
        <w:ind w:left="13" w:right="102" w:firstLine="480"/>
      </w:pPr>
      <w:r>
        <w:rPr>
          <w:spacing w:val="-4"/>
        </w:rPr>
        <w:t>影响速动比率的重要因素是应收账款的变现能力，投资者在分</w:t>
      </w:r>
      <w:r>
        <w:rPr>
          <w:spacing w:val="-5"/>
        </w:rPr>
        <w:t>析时可结合应</w:t>
      </w:r>
      <w:r>
        <w:t xml:space="preserve"> </w:t>
      </w:r>
      <w:r>
        <w:rPr>
          <w:spacing w:val="-1"/>
        </w:rPr>
        <w:t>收账款周转率、坏账准备计提政策一起考虑。长期偿债能力是指企业偿还1年以</w:t>
      </w:r>
    </w:p>
    <w:p>
      <w:pPr>
        <w:pStyle w:val="BodyText"/>
        <w:spacing w:before="1" w:line="216" w:lineRule="auto"/>
        <w:ind w:left="83"/>
      </w:pPr>
      <w:r>
        <w:rPr>
          <w:spacing w:val="-6"/>
        </w:rPr>
        <w:t>上债务的能力，与企业的盈利能力、资金结构有十分密切的关系。企业的长期负</w:t>
      </w:r>
    </w:p>
    <w:p>
      <w:pPr>
        <w:spacing w:line="216" w:lineRule="auto"/>
        <w:sectPr>
          <w:footerReference w:type="default" r:id="rId10"/>
          <w:type w:val="nextPage"/>
          <w:pgSz w:w="11910" w:h="16840"/>
          <w:pgMar w:top="1431" w:right="1743" w:bottom="1328" w:left="1786" w:header="0" w:footer="1189" w:gutter="0"/>
          <w:pgNumType w:start="7"/>
          <w:cols w:space="708"/>
          <w:titlePg w:val="0"/>
        </w:sectPr>
      </w:pPr>
    </w:p>
    <w:p>
      <w:pPr>
        <w:pStyle w:val="BodyText"/>
        <w:spacing w:before="103" w:line="470" w:lineRule="exact"/>
        <w:ind w:left="40"/>
      </w:pPr>
      <w:r>
        <w:drawing>
          <wp:anchor distT="0" distB="0" distL="0" distR="0" simplePos="0" relativeHeight="251659264" behindDoc="0" locked="0" layoutInCell="0" allowOverlap="1">
            <wp:simplePos x="0" y="0"/>
            <wp:positionH relativeFrom="page">
              <wp:posOffset>1117561</wp:posOffset>
            </wp:positionH>
            <wp:positionV relativeFrom="page">
              <wp:posOffset>9423431</wp:posOffset>
            </wp:positionV>
            <wp:extent cx="1860612"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1860612" cy="6350"/>
                    </a:xfrm>
                    <a:prstGeom prst="rect">
                      <a:avLst/>
                    </a:prstGeom>
                  </pic:spPr>
                </pic:pic>
              </a:graphicData>
            </a:graphic>
          </wp:anchor>
        </w:drawing>
      </w:r>
      <w:bookmarkStart w:id="11" w:name="bookmark12"/>
      <w:bookmarkEnd w:id="11"/>
      <w:bookmarkStart w:id="12" w:name="bookmark13"/>
      <w:bookmarkEnd w:id="12"/>
      <w:bookmarkStart w:id="13" w:name="bookmark14"/>
      <w:bookmarkEnd w:id="13"/>
      <w:r>
        <w:rPr>
          <w:spacing w:val="-4"/>
          <w:position w:val="17"/>
        </w:rPr>
        <w:t>债能力可通过资产负债率、长期负债与营运资金的比率及利息保障倍数等指标来</w:t>
      </w:r>
    </w:p>
    <w:p>
      <w:pPr>
        <w:pStyle w:val="BodyText"/>
        <w:spacing w:line="223" w:lineRule="auto"/>
        <w:ind w:left="40"/>
      </w:pPr>
      <w:r>
        <w:rPr>
          <w:spacing w:val="-8"/>
        </w:rPr>
        <w:t>分析9。</w:t>
      </w:r>
    </w:p>
    <w:p>
      <w:pPr>
        <w:pStyle w:val="BodyText"/>
        <w:spacing w:before="112" w:line="227" w:lineRule="auto"/>
        <w:ind w:left="390"/>
      </w:pPr>
      <w:r>
        <w:rPr>
          <w:spacing w:val="-7"/>
        </w:rPr>
        <w:t>2.2.3现金比率</w:t>
      </w:r>
    </w:p>
    <w:p>
      <w:pPr>
        <w:pStyle w:val="BodyText"/>
        <w:spacing w:before="85" w:line="354" w:lineRule="auto"/>
        <w:ind w:left="40" w:firstLine="490"/>
        <w:jc w:val="both"/>
      </w:pPr>
      <w:r>
        <w:rPr>
          <w:spacing w:val="-4"/>
        </w:rPr>
        <w:t>企业在日常生产经营过程中通过经营活动、</w:t>
      </w:r>
      <w:r>
        <w:rPr>
          <w:spacing w:val="-5"/>
        </w:rPr>
        <w:t>投资活动和筹资活动三类活动获</w:t>
      </w:r>
      <w:r>
        <w:rPr>
          <w:spacing w:val="-5"/>
        </w:rPr>
        <w:t xml:space="preserve"> </w:t>
      </w:r>
      <w:r>
        <w:rPr>
          <w:spacing w:val="-10"/>
        </w:rPr>
        <w:t>得现金流量，每类活动又由多个具体项目构成，这些项目从</w:t>
      </w:r>
      <w:r>
        <w:rPr>
          <w:spacing w:val="-11"/>
        </w:rPr>
        <w:t>不同的角度反映企业业</w:t>
      </w:r>
      <w:r>
        <w:rPr>
          <w:spacing w:val="-11"/>
        </w:rPr>
        <w:t xml:space="preserve"> </w:t>
      </w:r>
      <w:r>
        <w:rPr>
          <w:spacing w:val="-3"/>
        </w:rPr>
        <w:t>务活动的现金流入与流出。偿还全部到期债务后，公司的生产经营活动具有更丰</w:t>
      </w:r>
      <w:r>
        <w:rPr>
          <w:spacing w:val="15"/>
        </w:rPr>
        <w:t xml:space="preserve"> </w:t>
      </w:r>
      <w:r>
        <w:rPr>
          <w:spacing w:val="-3"/>
        </w:rPr>
        <w:t>富的流动性。分析公司的偿付能力除了与公司的盈利能力有很</w:t>
      </w:r>
      <w:r>
        <w:rPr>
          <w:spacing w:val="-4"/>
        </w:rPr>
        <w:t>大关系外，还关系</w:t>
      </w:r>
      <w:r>
        <w:t xml:space="preserve"> </w:t>
      </w:r>
      <w:r>
        <w:rPr>
          <w:spacing w:val="-4"/>
        </w:rPr>
        <w:t>到公司的现金流。上市公司盈利能力较强，必须以稳定的现金流为基础，如果上</w:t>
      </w:r>
      <w:r>
        <w:rPr>
          <w:spacing w:val="-4"/>
        </w:rPr>
        <w:t xml:space="preserve"> </w:t>
      </w:r>
      <w:r>
        <w:rPr>
          <w:spacing w:val="-3"/>
        </w:rPr>
        <w:t>市公司现金流不稳定，那么其盈利能力就会受到质疑，但不能保证</w:t>
      </w:r>
      <w:r>
        <w:rPr>
          <w:spacing w:val="-4"/>
        </w:rPr>
        <w:t>偿付能力。因</w:t>
      </w:r>
      <w:r>
        <w:t xml:space="preserve"> </w:t>
      </w:r>
      <w:r>
        <w:rPr>
          <w:spacing w:val="-4"/>
        </w:rPr>
        <w:t>此，公司的偿付能力判断应与上市公司现金流量分析相结合。上市</w:t>
      </w:r>
      <w:r>
        <w:rPr>
          <w:spacing w:val="-5"/>
        </w:rPr>
        <w:t>公司的现金流</w:t>
      </w:r>
      <w:r>
        <w:t xml:space="preserve">  </w:t>
      </w:r>
      <w:r>
        <w:rPr>
          <w:spacing w:val="-3"/>
        </w:rPr>
        <w:t>是一个上市公司的实际现金报告期内，对平衡的流入</w:t>
      </w:r>
      <w:r>
        <w:rPr>
          <w:spacing w:val="-4"/>
        </w:rPr>
        <w:t>和流出的情况，它是公司的</w:t>
      </w:r>
      <w:r>
        <w:t xml:space="preserve"> </w:t>
      </w:r>
      <w:r>
        <w:rPr>
          <w:spacing w:val="-3"/>
        </w:rPr>
        <w:t>偿付能力最直接的反应是，现金流和连续操作是偿还债务的最可靠的保证，</w:t>
      </w:r>
      <w:r>
        <w:rPr>
          <w:spacing w:val="-4"/>
        </w:rPr>
        <w:t>作为</w:t>
      </w:r>
      <w:r>
        <w:t xml:space="preserve"> </w:t>
      </w:r>
      <w:r>
        <w:rPr>
          <w:spacing w:val="-1"/>
        </w:rPr>
        <w:t>偿还债务的主要来源。现金流量分析包括现金流量负债率、现金总</w:t>
      </w:r>
      <w:r>
        <w:rPr>
          <w:spacing w:val="-2"/>
        </w:rPr>
        <w:t>资产比率等。</w:t>
      </w:r>
      <w:r>
        <w:t xml:space="preserve"> </w:t>
      </w:r>
      <w:r>
        <w:rPr>
          <w:spacing w:val="-4"/>
        </w:rPr>
        <w:t>现金流量比率是指企业近年来，由于流动性政策趋于活跃，人们认为净营运资金</w:t>
      </w:r>
    </w:p>
    <w:p>
      <w:pPr>
        <w:pStyle w:val="BodyText"/>
        <w:spacing w:before="1" w:line="220" w:lineRule="auto"/>
        <w:ind w:left="40"/>
      </w:pPr>
      <w:r>
        <w:rPr>
          <w:spacing w:val="-6"/>
        </w:rPr>
        <w:t>的数量应该逐渐减少甚至等于零，即短期资产和短</w:t>
      </w:r>
      <w:r>
        <w:rPr>
          <w:spacing w:val="-7"/>
        </w:rPr>
        <w:t>期债务筹集资金°。</w:t>
      </w:r>
    </w:p>
    <w:p>
      <w:pPr>
        <w:pStyle w:val="BodyText"/>
        <w:spacing w:before="264" w:line="216" w:lineRule="auto"/>
        <w:ind w:left="43"/>
        <w:outlineLvl w:val="1"/>
      </w:pPr>
      <w:r>
        <w:rPr>
          <w:b/>
          <w:bCs/>
          <w:spacing w:val="-4"/>
        </w:rPr>
        <w:t>2.3长期偿债能力指标的理论基础</w:t>
      </w:r>
    </w:p>
    <w:p>
      <w:pPr>
        <w:pStyle w:val="BodyText"/>
        <w:spacing w:before="120" w:line="222" w:lineRule="auto"/>
        <w:ind w:left="390"/>
      </w:pPr>
      <w:r>
        <w:rPr>
          <w:spacing w:val="-4"/>
        </w:rPr>
        <w:t>2.3.1长期资产用长期负债和股东权益来筹措资金</w:t>
      </w:r>
    </w:p>
    <w:p>
      <w:pPr>
        <w:pStyle w:val="BodyText"/>
        <w:spacing w:before="76" w:line="363" w:lineRule="auto"/>
        <w:ind w:left="40" w:right="18" w:firstLine="490"/>
        <w:jc w:val="both"/>
      </w:pPr>
      <w:r>
        <w:rPr>
          <w:spacing w:val="-4"/>
        </w:rPr>
        <w:t>资产负债率的具体表现是负债总额除以资产总额的比率。企业偿债</w:t>
      </w:r>
      <w:r>
        <w:rPr>
          <w:spacing w:val="-5"/>
        </w:rPr>
        <w:t>能力指标</w:t>
      </w:r>
      <w:r>
        <w:t xml:space="preserve"> </w:t>
      </w:r>
      <w:r>
        <w:rPr>
          <w:spacing w:val="-4"/>
        </w:rPr>
        <w:t>的构建首先是资产负债率、资产负债率是指公司的总资产占该公司的总负债，在</w:t>
      </w:r>
      <w:r>
        <w:rPr>
          <w:spacing w:val="14"/>
        </w:rPr>
        <w:t xml:space="preserve"> </w:t>
      </w:r>
      <w:r>
        <w:rPr>
          <w:spacing w:val="-4"/>
        </w:rPr>
        <w:t>源的数量，该公司的资产的整体反应是来自负债。在正常情况下，资产负债率越</w:t>
      </w:r>
      <w:r>
        <w:rPr>
          <w:spacing w:val="16"/>
        </w:rPr>
        <w:t xml:space="preserve"> </w:t>
      </w:r>
      <w:r>
        <w:rPr>
          <w:spacing w:val="-4"/>
        </w:rPr>
        <w:t>高，企业债务越大，企业所面临的财务风险也会相应增加，风险越小。第二，施</w:t>
      </w:r>
      <w:r>
        <w:rPr>
          <w:spacing w:val="12"/>
        </w:rPr>
        <w:t xml:space="preserve"> </w:t>
      </w:r>
      <w:r>
        <w:rPr>
          <w:spacing w:val="-3"/>
        </w:rPr>
        <w:t>工企业偿债能力指标是利息保证率。利息覆盖率也被称为利息金额，是</w:t>
      </w:r>
      <w:r>
        <w:rPr>
          <w:spacing w:val="-4"/>
        </w:rPr>
        <w:t>指税前利</w:t>
      </w:r>
      <w:r>
        <w:t xml:space="preserve"> </w:t>
      </w:r>
      <w:r>
        <w:rPr>
          <w:spacing w:val="-2"/>
        </w:rPr>
        <w:t>润与利息支出之间的比率，该指数通常用来衡量企业支付利息，由于支付能力，</w:t>
      </w:r>
    </w:p>
    <w:p>
      <w:pPr>
        <w:pStyle w:val="BodyText"/>
        <w:spacing w:line="219" w:lineRule="auto"/>
        <w:ind w:left="40"/>
      </w:pPr>
      <w:r>
        <w:rPr>
          <w:spacing w:val="-10"/>
        </w:rPr>
        <w:t>财务风险判断。</w:t>
      </w:r>
    </w:p>
    <w:p>
      <w:pPr>
        <w:pStyle w:val="BodyText"/>
        <w:spacing w:before="189" w:line="222" w:lineRule="auto"/>
        <w:ind w:left="530"/>
        <w:sectPr>
          <w:footerReference w:type="default" r:id="rId12"/>
          <w:pgSz w:w="11910" w:h="16840"/>
          <w:pgMar w:top="1431" w:right="1749" w:bottom="1328" w:left="1759" w:header="0" w:footer="1189" w:gutter="0"/>
          <w:pgNumType w:start="8"/>
          <w:cols w:space="708"/>
        </w:sectPr>
      </w:pPr>
      <w:r>
        <w:rPr>
          <w:spacing w:val="-4"/>
        </w:rPr>
        <w:t>对于债权投资者来说，总是希望负债率越低越好，这样债务就越安全；</w:t>
      </w:r>
      <w:r>
        <w:rPr>
          <w:spacing w:val="-5"/>
        </w:rPr>
        <w:t>如果</w:t>
      </w:r>
    </w:p>
    <w:p>
      <w:pPr>
        <w:pStyle w:val="BodyText"/>
        <w:spacing w:before="164" w:line="354" w:lineRule="auto"/>
        <w:ind w:left="43" w:right="88"/>
        <w:jc w:val="both"/>
      </w:pPr>
      <w:r>
        <w:rPr>
          <w:b/>
          <w:bCs/>
          <w:spacing w:val="-7"/>
        </w:rPr>
        <w:t>比例太高，他会提高更高的利率补偿。股票投资者主要关心的是总资产回报的投</w:t>
      </w:r>
      <w:r>
        <w:rPr>
          <w:spacing w:val="-7"/>
        </w:rPr>
        <w:t xml:space="preserve"> </w:t>
      </w:r>
      <w:r>
        <w:rPr>
          <w:b/>
          <w:bCs/>
          <w:spacing w:val="-6"/>
        </w:rPr>
        <w:t>资回报率，如果企业的负债率大于由企业支付的利</w:t>
      </w:r>
      <w:r>
        <w:rPr>
          <w:b/>
          <w:bCs/>
          <w:spacing w:val="-7"/>
        </w:rPr>
        <w:t>率，然后把借来的股票投资者</w:t>
      </w:r>
      <w:r>
        <w:t xml:space="preserve"> </w:t>
      </w:r>
      <w:r>
        <w:rPr>
          <w:b/>
          <w:bCs/>
          <w:spacing w:val="1"/>
        </w:rPr>
        <w:t>的杠杆资本的积极作用，有利于股东利益的最大化</w:t>
      </w:r>
      <w:r>
        <w:rPr>
          <w:b/>
          <w:bCs/>
        </w:rPr>
        <w:t>。合理的资产负债率通常在</w:t>
      </w:r>
    </w:p>
    <w:p>
      <w:pPr>
        <w:pStyle w:val="BodyText"/>
        <w:spacing w:line="219" w:lineRule="auto"/>
        <w:ind w:left="43"/>
      </w:pPr>
      <w:r>
        <w:rPr>
          <w:b/>
          <w:bCs/>
          <w:spacing w:val="7"/>
        </w:rPr>
        <w:t>40%-60%之间，企业规模比较合适，但金融部门比较特殊，超过</w:t>
      </w:r>
      <w:r>
        <w:rPr>
          <w:b/>
          <w:bCs/>
          <w:spacing w:val="6"/>
        </w:rPr>
        <w:t>90%的资产负</w:t>
      </w:r>
    </w:p>
    <w:p>
      <w:pPr>
        <w:spacing w:line="298" w:lineRule="auto"/>
        <w:rPr>
          <w:rFonts w:ascii="Arial"/>
          <w:sz w:val="21"/>
        </w:rPr>
      </w:pPr>
    </w:p>
    <w:p>
      <w:pPr>
        <w:spacing w:before="60" w:line="212" w:lineRule="auto"/>
        <w:ind w:left="40"/>
        <w:rPr>
          <w:rFonts w:ascii="SimSun" w:eastAsia="SimSun" w:hAnsi="SimSun" w:cs="SimSun"/>
          <w:sz w:val="18"/>
          <w:szCs w:val="18"/>
        </w:rPr>
      </w:pPr>
      <w:r>
        <w:rPr>
          <w:rFonts w:ascii="SimSun" w:eastAsia="SimSun" w:hAnsi="SimSun" w:cs="SimSun"/>
          <w:spacing w:val="-6"/>
          <w:sz w:val="18"/>
          <w:szCs w:val="18"/>
        </w:rPr>
        <w:t>◎郭荣坤.对企业偿债风险分析的探究</w:t>
      </w:r>
      <w:r>
        <w:rPr>
          <w:rFonts w:ascii="Times New Roman" w:eastAsia="Times New Roman" w:hAnsi="Times New Roman" w:cs="Times New Roman"/>
          <w:spacing w:val="-6"/>
          <w:sz w:val="18"/>
          <w:szCs w:val="18"/>
        </w:rPr>
        <w:t>[J].</w:t>
      </w:r>
      <w:r>
        <w:rPr>
          <w:rFonts w:ascii="SimSun" w:eastAsia="SimSun" w:hAnsi="SimSun" w:cs="SimSun"/>
          <w:spacing w:val="-6"/>
          <w:sz w:val="18"/>
          <w:szCs w:val="18"/>
        </w:rPr>
        <w:t>中国外资，经济与法.2012(12).</w:t>
      </w:r>
    </w:p>
    <w:p>
      <w:pPr>
        <w:spacing w:before="48" w:line="216" w:lineRule="auto"/>
        <w:ind w:left="40"/>
        <w:rPr>
          <w:rFonts w:ascii="SimSun" w:eastAsia="SimSun" w:hAnsi="SimSun" w:cs="SimSun"/>
          <w:sz w:val="18"/>
          <w:szCs w:val="18"/>
        </w:rPr>
      </w:pPr>
      <w:r>
        <w:rPr>
          <w:rFonts w:ascii="SimSun" w:eastAsia="SimSun" w:hAnsi="SimSun" w:cs="SimSun"/>
          <w:spacing w:val="-7"/>
          <w:sz w:val="18"/>
          <w:szCs w:val="18"/>
        </w:rPr>
        <w:t>@宋微.蔡伟.上市公司偿债风险的分析与评价[J].重庆科</w:t>
      </w:r>
      <w:r>
        <w:rPr>
          <w:rFonts w:ascii="SimSun" w:eastAsia="SimSun" w:hAnsi="SimSun" w:cs="SimSun"/>
          <w:spacing w:val="-8"/>
          <w:sz w:val="18"/>
          <w:szCs w:val="18"/>
        </w:rPr>
        <w:t>技学院学报(社会科学版),经济管理.2013(12).</w:t>
      </w:r>
    </w:p>
    <w:p>
      <w:pPr>
        <w:spacing w:line="216" w:lineRule="auto"/>
        <w:rPr>
          <w:rFonts w:ascii="SimSun" w:eastAsia="SimSun" w:hAnsi="SimSun" w:cs="SimSun"/>
          <w:sz w:val="18"/>
          <w:szCs w:val="18"/>
        </w:rPr>
        <w:sectPr>
          <w:footerReference w:type="default" r:id="rId13"/>
          <w:type w:val="nextPage"/>
          <w:pgSz w:w="11910" w:h="16840"/>
          <w:pgMar w:top="1431" w:right="1749" w:bottom="1328" w:left="1759" w:header="0" w:footer="1189" w:gutter="0"/>
          <w:pgNumType w:start="9"/>
          <w:cols w:space="708"/>
          <w:titlePg w:val="0"/>
        </w:sectPr>
      </w:pPr>
    </w:p>
    <w:p>
      <w:pPr>
        <w:pStyle w:val="BodyText"/>
        <w:spacing w:before="115" w:line="225" w:lineRule="auto"/>
        <w:ind w:left="114"/>
      </w:pPr>
      <w:r>
        <w:rPr>
          <w:spacing w:val="-6"/>
        </w:rPr>
        <w:t>债率也很正常。</w:t>
      </w:r>
    </w:p>
    <w:p>
      <w:pPr>
        <w:pStyle w:val="BodyText"/>
        <w:spacing w:before="95" w:line="224" w:lineRule="auto"/>
        <w:ind w:left="484"/>
      </w:pPr>
      <w:r>
        <w:rPr>
          <w:spacing w:val="-8"/>
        </w:rPr>
        <w:t>2.3.2利息保障倍数</w:t>
      </w:r>
    </w:p>
    <w:p>
      <w:pPr>
        <w:pStyle w:val="BodyText"/>
        <w:spacing w:before="83" w:line="362" w:lineRule="auto"/>
        <w:ind w:left="114" w:right="131" w:firstLine="490"/>
      </w:pPr>
      <w:r>
        <w:rPr>
          <w:spacing w:val="-4"/>
        </w:rPr>
        <w:t>利息保障倍数是利润总额(税前利润)加利息费用之和与利息费用的比率。其</w:t>
      </w:r>
      <w:r>
        <w:t xml:space="preserve"> </w:t>
      </w:r>
      <w:r>
        <w:rPr>
          <w:spacing w:val="3"/>
        </w:rPr>
        <w:t>计算公式：利息保障倍数=息税前利润/利息费用=(利润总额利息费用)/利息费</w:t>
      </w:r>
      <w:r>
        <w:rPr>
          <w:spacing w:val="11"/>
        </w:rPr>
        <w:t xml:space="preserve"> </w:t>
      </w:r>
      <w:r>
        <w:rPr>
          <w:spacing w:val="-3"/>
        </w:rPr>
        <w:t>用。利息覆盖率是指企业在利息所得税利息支</w:t>
      </w:r>
      <w:r>
        <w:rPr>
          <w:spacing w:val="-4"/>
        </w:rPr>
        <w:t>出增加之前由利息和利息支付的成</w:t>
      </w:r>
      <w:r>
        <w:t xml:space="preserve"> </w:t>
      </w:r>
      <w:r>
        <w:rPr>
          <w:spacing w:val="-4"/>
        </w:rPr>
        <w:t>本的多重关系。该指数确定企业获得利润的能力，以承担借款人的利益，是一个</w:t>
      </w:r>
      <w:r>
        <w:rPr>
          <w:spacing w:val="12"/>
        </w:rPr>
        <w:t xml:space="preserve"> </w:t>
      </w:r>
      <w:r>
        <w:t>重要的指标，投资风险评估的债权人一般，公司的利益保护</w:t>
      </w:r>
      <w:r>
        <w:rPr>
          <w:spacing w:val="-1"/>
        </w:rPr>
        <w:t>倍数至少1。分析通</w:t>
      </w:r>
      <w:r>
        <w:t xml:space="preserve"> </w:t>
      </w:r>
      <w:r>
        <w:rPr>
          <w:spacing w:val="-4"/>
        </w:rPr>
        <w:t>常是与公司的历史水平进行比较，以评估长期偿债能力的稳定性。同时，从稳健</w:t>
      </w:r>
    </w:p>
    <w:p>
      <w:pPr>
        <w:pStyle w:val="BodyText"/>
        <w:spacing w:line="222" w:lineRule="auto"/>
        <w:ind w:left="114"/>
      </w:pPr>
      <w:r>
        <w:rPr>
          <w:spacing w:val="-4"/>
        </w:rPr>
        <w:t>性角度出发，选择最低年度数据作为标准。</w:t>
      </w:r>
    </w:p>
    <w:p>
      <w:pPr>
        <w:pStyle w:val="BodyText"/>
        <w:spacing w:before="211" w:line="221" w:lineRule="auto"/>
        <w:ind w:left="1769"/>
        <w:outlineLvl w:val="6"/>
        <w:rPr>
          <w:sz w:val="32"/>
          <w:szCs w:val="32"/>
        </w:rPr>
      </w:pPr>
      <w:bookmarkStart w:id="14" w:name="bookmark15"/>
      <w:bookmarkEnd w:id="14"/>
      <w:bookmarkStart w:id="15" w:name="bookmark16"/>
      <w:bookmarkEnd w:id="15"/>
      <w:r>
        <w:rPr>
          <w:b/>
          <w:bCs/>
          <w:spacing w:val="-9"/>
          <w:sz w:val="32"/>
          <w:szCs w:val="32"/>
        </w:rPr>
        <w:t>3.万达院线偿债风险过程中产生的现状</w:t>
      </w:r>
    </w:p>
    <w:p>
      <w:pPr>
        <w:pStyle w:val="BodyText"/>
        <w:spacing w:before="214" w:line="224" w:lineRule="auto"/>
        <w:ind w:left="118"/>
        <w:outlineLvl w:val="6"/>
      </w:pPr>
      <w:r>
        <w:rPr>
          <w:b/>
          <w:bCs/>
          <w:spacing w:val="-5"/>
        </w:rPr>
        <w:t>3.1公司简介</w:t>
      </w:r>
    </w:p>
    <w:p>
      <w:pPr>
        <w:pStyle w:val="BodyText"/>
        <w:spacing w:before="162" w:line="361" w:lineRule="auto"/>
        <w:ind w:left="114" w:right="133" w:firstLine="490"/>
        <w:jc w:val="both"/>
      </w:pPr>
      <w:r>
        <w:rPr>
          <w:spacing w:val="-4"/>
        </w:rPr>
        <w:t>万达国际股份有限公司作为大型工业企业，企业类型属于股份有限</w:t>
      </w:r>
      <w:r>
        <w:rPr>
          <w:spacing w:val="-5"/>
        </w:rPr>
        <w:t>公司，注</w:t>
      </w:r>
      <w:r>
        <w:t xml:space="preserve"> </w:t>
      </w:r>
      <w:r>
        <w:rPr>
          <w:spacing w:val="6"/>
        </w:rPr>
        <w:t>册资本为人民币1000万元。主要经营范围是生产销售</w:t>
      </w:r>
      <w:r>
        <w:rPr>
          <w:rFonts w:ascii="SimSun" w:eastAsia="SimSun" w:hAnsi="SimSun" w:cs="SimSun"/>
          <w:spacing w:val="6"/>
        </w:rPr>
        <w:t>C-1</w:t>
      </w:r>
      <w:r>
        <w:rPr>
          <w:rFonts w:ascii="SimSun" w:eastAsia="SimSun" w:hAnsi="SimSun" w:cs="SimSun"/>
          <w:spacing w:val="-63"/>
        </w:rPr>
        <w:t xml:space="preserve"> </w:t>
      </w:r>
      <w:r>
        <w:rPr>
          <w:spacing w:val="6"/>
        </w:rPr>
        <w:t>车床</w:t>
      </w:r>
      <w:r>
        <w:rPr>
          <w:spacing w:val="5"/>
        </w:rPr>
        <w:t>和</w:t>
      </w:r>
      <w:r>
        <w:rPr>
          <w:spacing w:val="-38"/>
        </w:rPr>
        <w:t xml:space="preserve"> </w:t>
      </w:r>
      <w:r>
        <w:rPr>
          <w:rFonts w:ascii="SimSun" w:eastAsia="SimSun" w:hAnsi="SimSun" w:cs="SimSun"/>
          <w:spacing w:val="5"/>
        </w:rPr>
        <w:t>H-1</w:t>
      </w:r>
      <w:r>
        <w:rPr>
          <w:spacing w:val="5"/>
        </w:rPr>
        <w:t>铣床两型</w:t>
      </w:r>
      <w:r>
        <w:t xml:space="preserve"> </w:t>
      </w:r>
      <w:r>
        <w:rPr>
          <w:spacing w:val="-3"/>
        </w:rPr>
        <w:t>号的产品，销售业务为内销。工业是机械制造</w:t>
      </w:r>
      <w:r>
        <w:rPr>
          <w:spacing w:val="-4"/>
        </w:rPr>
        <w:t>业的热门行业，在外部经济环境是</w:t>
      </w:r>
      <w:r>
        <w:t xml:space="preserve"> </w:t>
      </w:r>
      <w:r>
        <w:rPr>
          <w:spacing w:val="3"/>
        </w:rPr>
        <w:t>好的，但前提内部产业的蓬勃发展，生产2009万达国际股份有限公司的稳定发</w:t>
      </w:r>
      <w:r>
        <w:rPr>
          <w:spacing w:val="6"/>
        </w:rPr>
        <w:t xml:space="preserve"> </w:t>
      </w:r>
      <w:r>
        <w:rPr>
          <w:spacing w:val="-4"/>
        </w:rPr>
        <w:t>展状态，并取得了巨大的成就。万达集团的主营业务主要是房地产、酒店、文化</w:t>
      </w:r>
      <w:r>
        <w:rPr>
          <w:spacing w:val="18"/>
        </w:rPr>
        <w:t xml:space="preserve"> </w:t>
      </w:r>
      <w:r>
        <w:rPr>
          <w:spacing w:val="-3"/>
        </w:rPr>
        <w:t>影视产业以及连锁四个部门，公司与这四个业</w:t>
      </w:r>
      <w:r>
        <w:rPr>
          <w:spacing w:val="-4"/>
        </w:rPr>
        <w:t>务板块之间的联系非常紧密，形成</w:t>
      </w:r>
      <w:r>
        <w:t xml:space="preserve"> </w:t>
      </w:r>
      <w:r>
        <w:rPr>
          <w:spacing w:val="-4"/>
        </w:rPr>
        <w:t>了一个有机的整体业务。本商业中心为核心，充分探索城市综合体发展与运营管</w:t>
      </w:r>
    </w:p>
    <w:p>
      <w:pPr>
        <w:pStyle w:val="BodyText"/>
        <w:spacing w:line="219" w:lineRule="auto"/>
        <w:ind w:left="114"/>
      </w:pPr>
      <w:r>
        <w:rPr>
          <w:spacing w:val="-3"/>
        </w:rPr>
        <w:t>理业务环节之间的联动效应，构成旺达集团的核心业务发展模式。</w:t>
      </w:r>
    </w:p>
    <w:p>
      <w:pPr>
        <w:pStyle w:val="BodyText"/>
        <w:spacing w:before="208" w:line="338" w:lineRule="auto"/>
        <w:ind w:left="114" w:right="50" w:firstLine="490"/>
        <w:jc w:val="both"/>
      </w:pPr>
      <w:r>
        <w:rPr>
          <w:spacing w:val="-1"/>
        </w:rPr>
        <w:t>万达集团企业创立于1988年，主营业务主要包括</w:t>
      </w:r>
      <w:r>
        <w:rPr>
          <w:spacing w:val="-2"/>
        </w:rPr>
        <w:t>商业房地产，酒店、百货、</w:t>
      </w:r>
      <w:r>
        <w:t xml:space="preserve"> </w:t>
      </w:r>
      <w:r>
        <w:rPr>
          <w:spacing w:val="-4"/>
        </w:rPr>
        <w:t>文化产业以及旅游业等五大产业，最为出名的就是万达广场、万达影院以及万达</w:t>
      </w:r>
    </w:p>
    <w:p>
      <w:pPr>
        <w:pStyle w:val="BodyText"/>
        <w:spacing w:before="1" w:line="220" w:lineRule="auto"/>
        <w:ind w:left="114"/>
      </w:pPr>
      <w:r>
        <w:t>地产。2016年万达建成与迪士尼乐园一样的</w:t>
      </w:r>
      <w:r>
        <w:rPr>
          <w:spacing w:val="-1"/>
        </w:rPr>
        <w:t>乐园更加备受关注。</w:t>
      </w:r>
    </w:p>
    <w:p>
      <w:pPr>
        <w:spacing w:before="209" w:line="199" w:lineRule="auto"/>
        <w:ind w:left="618"/>
        <w:rPr>
          <w:rFonts w:ascii="SimSun" w:eastAsia="SimSun" w:hAnsi="SimSun" w:cs="SimSun"/>
          <w:sz w:val="24"/>
          <w:szCs w:val="24"/>
        </w:rPr>
      </w:pPr>
      <w:r>
        <w:rPr>
          <w:rFonts w:ascii="SimSun" w:eastAsia="SimSun" w:hAnsi="SimSun" w:cs="SimSun"/>
          <w:b/>
          <w:bCs/>
          <w:spacing w:val="-3"/>
          <w:sz w:val="24"/>
          <w:szCs w:val="24"/>
        </w:rPr>
        <w:t>表1万达集团2014年6月30日至2016年6月30日财务报表</w:t>
      </w:r>
    </w:p>
    <w:tbl>
      <w:tblPr>
        <w:tblStyle w:val="TableNormal0"/>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53"/>
        <w:gridCol w:w="1328"/>
        <w:gridCol w:w="1398"/>
        <w:gridCol w:w="1229"/>
        <w:gridCol w:w="1348"/>
        <w:gridCol w:w="1263"/>
      </w:tblGrid>
      <w:tr>
        <w:tblPrEx>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859"/>
        </w:trPr>
        <w:tc>
          <w:tcPr>
            <w:tcW w:w="1953" w:type="dxa"/>
            <w:vAlign w:val="top"/>
          </w:tcPr>
          <w:p>
            <w:pPr>
              <w:pStyle w:val="TableText"/>
              <w:spacing w:before="184" w:line="220" w:lineRule="auto"/>
              <w:ind w:left="384"/>
              <w:rPr>
                <w:sz w:val="21"/>
                <w:szCs w:val="21"/>
              </w:rPr>
            </w:pPr>
            <w:r>
              <w:rPr>
                <w:spacing w:val="5"/>
                <w:sz w:val="21"/>
                <w:szCs w:val="21"/>
              </w:rPr>
              <w:t>净利润</w:t>
            </w:r>
          </w:p>
        </w:tc>
        <w:tc>
          <w:tcPr>
            <w:tcW w:w="1328" w:type="dxa"/>
            <w:vAlign w:val="top"/>
          </w:tcPr>
          <w:p>
            <w:pPr>
              <w:pStyle w:val="TableText"/>
              <w:spacing w:before="246" w:line="358" w:lineRule="exact"/>
              <w:ind w:left="101"/>
              <w:rPr>
                <w:sz w:val="21"/>
                <w:szCs w:val="21"/>
              </w:rPr>
            </w:pPr>
            <w:r>
              <w:rPr>
                <w:spacing w:val="-1"/>
                <w:position w:val="14"/>
                <w:sz w:val="21"/>
                <w:szCs w:val="21"/>
              </w:rPr>
              <w:t>617500.00</w:t>
            </w:r>
          </w:p>
          <w:p>
            <w:pPr>
              <w:pStyle w:val="TableText"/>
              <w:spacing w:line="215" w:lineRule="auto"/>
              <w:ind w:left="101"/>
              <w:rPr>
                <w:sz w:val="21"/>
                <w:szCs w:val="21"/>
              </w:rPr>
            </w:pPr>
            <w:r>
              <w:rPr>
                <w:spacing w:val="4"/>
                <w:sz w:val="21"/>
                <w:szCs w:val="21"/>
              </w:rPr>
              <w:t>万元</w:t>
            </w:r>
          </w:p>
        </w:tc>
        <w:tc>
          <w:tcPr>
            <w:tcW w:w="1398" w:type="dxa"/>
            <w:vAlign w:val="top"/>
          </w:tcPr>
          <w:p>
            <w:pPr>
              <w:pStyle w:val="TableText"/>
              <w:spacing w:before="256" w:line="348" w:lineRule="exact"/>
              <w:ind w:left="113"/>
              <w:rPr>
                <w:sz w:val="21"/>
                <w:szCs w:val="21"/>
              </w:rPr>
            </w:pPr>
            <w:r>
              <w:rPr>
                <w:spacing w:val="-2"/>
                <w:position w:val="13"/>
                <w:sz w:val="21"/>
                <w:szCs w:val="21"/>
              </w:rPr>
              <w:t>3010800.00</w:t>
            </w:r>
          </w:p>
          <w:p>
            <w:pPr>
              <w:pStyle w:val="TableText"/>
              <w:spacing w:line="215" w:lineRule="auto"/>
              <w:ind w:left="113"/>
              <w:rPr>
                <w:sz w:val="21"/>
                <w:szCs w:val="21"/>
              </w:rPr>
            </w:pPr>
            <w:r>
              <w:rPr>
                <w:spacing w:val="4"/>
                <w:sz w:val="21"/>
                <w:szCs w:val="21"/>
              </w:rPr>
              <w:t>万元</w:t>
            </w:r>
          </w:p>
        </w:tc>
        <w:tc>
          <w:tcPr>
            <w:tcW w:w="1229" w:type="dxa"/>
            <w:vAlign w:val="top"/>
          </w:tcPr>
          <w:p>
            <w:pPr>
              <w:pStyle w:val="TableText"/>
              <w:spacing w:before="246" w:line="378" w:lineRule="exact"/>
              <w:ind w:left="95"/>
              <w:rPr>
                <w:sz w:val="21"/>
                <w:szCs w:val="21"/>
              </w:rPr>
            </w:pPr>
            <w:r>
              <w:rPr>
                <w:spacing w:val="-2"/>
                <w:position w:val="15"/>
                <w:sz w:val="21"/>
                <w:szCs w:val="21"/>
              </w:rPr>
              <w:t>521200.00</w:t>
            </w:r>
          </w:p>
          <w:p>
            <w:pPr>
              <w:pStyle w:val="TableText"/>
              <w:spacing w:line="197" w:lineRule="auto"/>
              <w:ind w:left="105"/>
              <w:rPr>
                <w:sz w:val="21"/>
                <w:szCs w:val="21"/>
              </w:rPr>
            </w:pPr>
            <w:r>
              <w:rPr>
                <w:spacing w:val="4"/>
                <w:sz w:val="21"/>
                <w:szCs w:val="21"/>
              </w:rPr>
              <w:t>万元</w:t>
            </w:r>
          </w:p>
        </w:tc>
        <w:tc>
          <w:tcPr>
            <w:tcW w:w="1348" w:type="dxa"/>
            <w:vAlign w:val="top"/>
          </w:tcPr>
          <w:p>
            <w:pPr>
              <w:pStyle w:val="TableText"/>
              <w:spacing w:before="256" w:line="378" w:lineRule="exact"/>
              <w:ind w:left="107"/>
              <w:rPr>
                <w:sz w:val="21"/>
                <w:szCs w:val="21"/>
              </w:rPr>
            </w:pPr>
            <w:r>
              <w:rPr>
                <w:spacing w:val="-1"/>
                <w:position w:val="15"/>
                <w:sz w:val="21"/>
                <w:szCs w:val="21"/>
              </w:rPr>
              <w:t>2510100.00</w:t>
            </w:r>
          </w:p>
          <w:p>
            <w:pPr>
              <w:pStyle w:val="TableText"/>
              <w:spacing w:line="188" w:lineRule="auto"/>
              <w:ind w:left="107"/>
              <w:rPr>
                <w:sz w:val="21"/>
                <w:szCs w:val="21"/>
              </w:rPr>
            </w:pPr>
            <w:r>
              <w:rPr>
                <w:spacing w:val="4"/>
                <w:sz w:val="21"/>
                <w:szCs w:val="21"/>
              </w:rPr>
              <w:t>万元</w:t>
            </w:r>
          </w:p>
        </w:tc>
        <w:tc>
          <w:tcPr>
            <w:tcW w:w="1263" w:type="dxa"/>
            <w:vAlign w:val="top"/>
          </w:tcPr>
          <w:p>
            <w:pPr>
              <w:pStyle w:val="TableText"/>
              <w:spacing w:before="256" w:line="358" w:lineRule="exact"/>
              <w:ind w:left="109"/>
              <w:rPr>
                <w:sz w:val="21"/>
                <w:szCs w:val="21"/>
              </w:rPr>
            </w:pPr>
            <w:r>
              <w:rPr>
                <w:spacing w:val="-1"/>
                <w:position w:val="14"/>
                <w:sz w:val="21"/>
                <w:szCs w:val="21"/>
              </w:rPr>
              <w:t>491700.00</w:t>
            </w:r>
          </w:p>
          <w:p>
            <w:pPr>
              <w:pStyle w:val="TableText"/>
              <w:spacing w:line="206" w:lineRule="auto"/>
              <w:ind w:left="109"/>
              <w:rPr>
                <w:sz w:val="21"/>
                <w:szCs w:val="21"/>
              </w:rPr>
            </w:pPr>
            <w:r>
              <w:rPr>
                <w:spacing w:val="4"/>
                <w:sz w:val="21"/>
                <w:szCs w:val="21"/>
              </w:rPr>
              <w:t>万元</w:t>
            </w:r>
          </w:p>
        </w:tc>
      </w:tr>
    </w:tbl>
    <w:p>
      <w:pPr>
        <w:spacing w:line="100" w:lineRule="exact"/>
        <w:sectPr>
          <w:footerReference w:type="default" r:id="rId14"/>
          <w:pgSz w:w="11910" w:h="16840"/>
          <w:pgMar w:top="1431" w:right="1695" w:bottom="1327" w:left="1685" w:header="0" w:footer="1189" w:gutter="0"/>
          <w:pgNumType w:start="10"/>
          <w:cols w:space="708"/>
        </w:sectPr>
      </w:pPr>
    </w:p>
    <w:tbl>
      <w:tblPr>
        <w:tblStyle w:val="TableNormal1"/>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953"/>
        <w:gridCol w:w="1328"/>
        <w:gridCol w:w="1398"/>
        <w:gridCol w:w="1229"/>
        <w:gridCol w:w="1348"/>
        <w:gridCol w:w="1263"/>
      </w:tblGrid>
      <w:tr>
        <w:tblPrEx>
          <w:tblW w:w="85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42"/>
        </w:trPr>
        <w:tc>
          <w:tcPr>
            <w:tcW w:w="1953" w:type="dxa"/>
            <w:vAlign w:val="top"/>
          </w:tcPr>
          <w:p>
            <w:pPr>
              <w:pStyle w:val="TableText"/>
              <w:spacing w:before="183" w:line="219" w:lineRule="auto"/>
              <w:ind w:left="605"/>
            </w:pPr>
            <w:r>
              <w:rPr>
                <w:spacing w:val="-3"/>
              </w:rPr>
              <w:t>年份</w:t>
            </w:r>
          </w:p>
        </w:tc>
        <w:tc>
          <w:tcPr>
            <w:tcW w:w="1328" w:type="dxa"/>
            <w:vAlign w:val="top"/>
          </w:tcPr>
          <w:p>
            <w:pPr>
              <w:pStyle w:val="TableText"/>
              <w:spacing w:before="243" w:line="174" w:lineRule="auto"/>
              <w:ind w:left="212"/>
            </w:pPr>
            <w:r>
              <w:rPr>
                <w:spacing w:val="-2"/>
              </w:rPr>
              <w:t>2016.6.30</w:t>
            </w:r>
          </w:p>
        </w:tc>
        <w:tc>
          <w:tcPr>
            <w:tcW w:w="1398" w:type="dxa"/>
            <w:vAlign w:val="top"/>
          </w:tcPr>
          <w:p>
            <w:pPr>
              <w:pStyle w:val="TableText"/>
              <w:spacing w:before="243" w:line="174" w:lineRule="auto"/>
              <w:ind w:left="223"/>
            </w:pPr>
            <w:r>
              <w:rPr>
                <w:spacing w:val="-1"/>
              </w:rPr>
              <w:t>2015.12.31</w:t>
            </w:r>
          </w:p>
        </w:tc>
        <w:tc>
          <w:tcPr>
            <w:tcW w:w="1229" w:type="dxa"/>
            <w:vAlign w:val="top"/>
          </w:tcPr>
          <w:p>
            <w:pPr>
              <w:pStyle w:val="TableText"/>
              <w:spacing w:before="243" w:line="174" w:lineRule="auto"/>
              <w:ind w:left="216"/>
            </w:pPr>
            <w:r>
              <w:rPr>
                <w:spacing w:val="-2"/>
              </w:rPr>
              <w:t>2015.6.30</w:t>
            </w:r>
          </w:p>
        </w:tc>
        <w:tc>
          <w:tcPr>
            <w:tcW w:w="1348" w:type="dxa"/>
            <w:vAlign w:val="top"/>
          </w:tcPr>
          <w:p>
            <w:pPr>
              <w:pStyle w:val="TableText"/>
              <w:spacing w:before="243" w:line="174" w:lineRule="auto"/>
              <w:ind w:left="107"/>
            </w:pPr>
            <w:r>
              <w:rPr>
                <w:spacing w:val="-1"/>
              </w:rPr>
              <w:t>2014.12.31</w:t>
            </w:r>
          </w:p>
        </w:tc>
        <w:tc>
          <w:tcPr>
            <w:tcW w:w="1263" w:type="dxa"/>
            <w:vAlign w:val="top"/>
          </w:tcPr>
          <w:p>
            <w:pPr>
              <w:pStyle w:val="TableText"/>
              <w:spacing w:before="243" w:line="174" w:lineRule="auto"/>
              <w:ind w:left="109"/>
            </w:pPr>
            <w:r>
              <w:rPr>
                <w:spacing w:val="-2"/>
              </w:rPr>
              <w:t>2014.6.30</w:t>
            </w:r>
          </w:p>
        </w:tc>
      </w:tr>
      <w:tr>
        <w:tblPrEx>
          <w:tblW w:w="8519" w:type="dxa"/>
          <w:tblInd w:w="5" w:type="dxa"/>
          <w:tblLayout w:type="fixed"/>
        </w:tblPrEx>
        <w:trPr>
          <w:trHeight w:val="886"/>
        </w:trPr>
        <w:tc>
          <w:tcPr>
            <w:tcW w:w="1953" w:type="dxa"/>
            <w:vAlign w:val="top"/>
          </w:tcPr>
          <w:p>
            <w:pPr>
              <w:pStyle w:val="TableText"/>
              <w:spacing w:before="201" w:line="219" w:lineRule="auto"/>
              <w:ind w:left="295"/>
            </w:pPr>
            <w:r>
              <w:rPr>
                <w:spacing w:val="-2"/>
              </w:rPr>
              <w:t>净资产收益率</w:t>
            </w:r>
          </w:p>
        </w:tc>
        <w:tc>
          <w:tcPr>
            <w:tcW w:w="1328" w:type="dxa"/>
            <w:vAlign w:val="top"/>
          </w:tcPr>
          <w:p>
            <w:pPr>
              <w:pStyle w:val="TableText"/>
              <w:spacing w:before="262" w:line="183" w:lineRule="auto"/>
              <w:ind w:left="212"/>
            </w:pPr>
            <w:r>
              <w:rPr>
                <w:spacing w:val="-3"/>
              </w:rPr>
              <w:t>3.39%</w:t>
            </w:r>
          </w:p>
        </w:tc>
        <w:tc>
          <w:tcPr>
            <w:tcW w:w="1398" w:type="dxa"/>
            <w:vAlign w:val="top"/>
          </w:tcPr>
          <w:p>
            <w:pPr>
              <w:pStyle w:val="TableText"/>
              <w:spacing w:before="261" w:line="184" w:lineRule="auto"/>
              <w:ind w:left="223"/>
            </w:pPr>
            <w:r>
              <w:rPr>
                <w:spacing w:val="-4"/>
              </w:rPr>
              <w:t>16.61%</w:t>
            </w:r>
          </w:p>
        </w:tc>
        <w:tc>
          <w:tcPr>
            <w:tcW w:w="1229" w:type="dxa"/>
            <w:vAlign w:val="top"/>
          </w:tcPr>
          <w:p>
            <w:pPr>
              <w:pStyle w:val="TableText"/>
              <w:spacing w:before="262" w:line="183" w:lineRule="auto"/>
              <w:ind w:left="216"/>
            </w:pPr>
            <w:r>
              <w:rPr>
                <w:spacing w:val="-3"/>
              </w:rPr>
              <w:t>3.33%</w:t>
            </w:r>
          </w:p>
        </w:tc>
        <w:tc>
          <w:tcPr>
            <w:tcW w:w="1348" w:type="dxa"/>
            <w:vAlign w:val="top"/>
          </w:tcPr>
          <w:p>
            <w:pPr>
              <w:pStyle w:val="TableText"/>
              <w:spacing w:before="261" w:line="184" w:lineRule="auto"/>
              <w:ind w:left="367"/>
            </w:pPr>
            <w:r>
              <w:rPr>
                <w:spacing w:val="-4"/>
              </w:rPr>
              <w:t>16.25%</w:t>
            </w:r>
          </w:p>
        </w:tc>
        <w:tc>
          <w:tcPr>
            <w:tcW w:w="1263" w:type="dxa"/>
            <w:vAlign w:val="top"/>
          </w:tcPr>
          <w:p>
            <w:pPr>
              <w:pStyle w:val="TableText"/>
              <w:spacing w:before="262" w:line="183" w:lineRule="auto"/>
              <w:ind w:left="109"/>
            </w:pPr>
            <w:r>
              <w:rPr>
                <w:spacing w:val="-2"/>
              </w:rPr>
              <w:t>4.53%</w:t>
            </w:r>
          </w:p>
        </w:tc>
      </w:tr>
      <w:tr>
        <w:tblPrEx>
          <w:tblW w:w="8519" w:type="dxa"/>
          <w:tblInd w:w="5" w:type="dxa"/>
          <w:tblLayout w:type="fixed"/>
        </w:tblPrEx>
        <w:trPr>
          <w:trHeight w:val="438"/>
        </w:trPr>
        <w:tc>
          <w:tcPr>
            <w:tcW w:w="1953" w:type="dxa"/>
            <w:vAlign w:val="top"/>
          </w:tcPr>
          <w:p>
            <w:pPr>
              <w:pStyle w:val="TableText"/>
              <w:spacing w:before="175" w:line="219" w:lineRule="auto"/>
              <w:ind w:left="295"/>
            </w:pPr>
            <w:r>
              <w:rPr>
                <w:spacing w:val="-2"/>
              </w:rPr>
              <w:t>主营利润率</w:t>
            </w:r>
          </w:p>
        </w:tc>
        <w:tc>
          <w:tcPr>
            <w:tcW w:w="1328" w:type="dxa"/>
            <w:vAlign w:val="top"/>
          </w:tcPr>
          <w:p>
            <w:pPr>
              <w:pStyle w:val="TableText"/>
              <w:spacing w:before="247" w:line="167" w:lineRule="auto"/>
              <w:ind w:left="212"/>
            </w:pPr>
            <w:r>
              <w:rPr>
                <w:spacing w:val="-2"/>
              </w:rPr>
              <w:t>27.84%</w:t>
            </w:r>
          </w:p>
        </w:tc>
        <w:tc>
          <w:tcPr>
            <w:tcW w:w="1398" w:type="dxa"/>
            <w:vAlign w:val="top"/>
          </w:tcPr>
          <w:p>
            <w:pPr>
              <w:pStyle w:val="TableText"/>
              <w:spacing w:before="256" w:line="158" w:lineRule="auto"/>
              <w:ind w:left="223"/>
            </w:pPr>
            <w:r>
              <w:rPr>
                <w:spacing w:val="-2"/>
              </w:rPr>
              <w:t>39.50%</w:t>
            </w:r>
          </w:p>
        </w:tc>
        <w:tc>
          <w:tcPr>
            <w:tcW w:w="1229" w:type="dxa"/>
            <w:vAlign w:val="top"/>
          </w:tcPr>
          <w:p>
            <w:pPr>
              <w:pStyle w:val="TableText"/>
              <w:spacing w:before="246" w:line="168" w:lineRule="auto"/>
              <w:ind w:left="216"/>
            </w:pPr>
            <w:r>
              <w:rPr>
                <w:spacing w:val="-2"/>
              </w:rPr>
              <w:t>30.10%</w:t>
            </w:r>
          </w:p>
        </w:tc>
        <w:tc>
          <w:tcPr>
            <w:tcW w:w="1348" w:type="dxa"/>
            <w:vAlign w:val="top"/>
          </w:tcPr>
          <w:p>
            <w:pPr>
              <w:pStyle w:val="TableText"/>
              <w:spacing w:before="247" w:line="167" w:lineRule="auto"/>
              <w:ind w:left="367"/>
            </w:pPr>
            <w:r>
              <w:rPr>
                <w:spacing w:val="-2"/>
              </w:rPr>
              <w:t>38.75%</w:t>
            </w:r>
          </w:p>
        </w:tc>
        <w:tc>
          <w:tcPr>
            <w:tcW w:w="1263" w:type="dxa"/>
            <w:vAlign w:val="top"/>
          </w:tcPr>
          <w:p>
            <w:pPr>
              <w:pStyle w:val="TableText"/>
              <w:spacing w:before="256" w:line="158" w:lineRule="auto"/>
              <w:ind w:left="109"/>
            </w:pPr>
            <w:r>
              <w:rPr>
                <w:spacing w:val="-2"/>
              </w:rPr>
              <w:t>36.07%</w:t>
            </w:r>
          </w:p>
        </w:tc>
      </w:tr>
      <w:tr>
        <w:tblPrEx>
          <w:tblW w:w="8519" w:type="dxa"/>
          <w:tblInd w:w="5" w:type="dxa"/>
          <w:tblLayout w:type="fixed"/>
        </w:tblPrEx>
        <w:trPr>
          <w:trHeight w:val="443"/>
        </w:trPr>
        <w:tc>
          <w:tcPr>
            <w:tcW w:w="1953" w:type="dxa"/>
            <w:vAlign w:val="top"/>
          </w:tcPr>
          <w:p>
            <w:pPr>
              <w:pStyle w:val="TableText"/>
              <w:spacing w:before="206" w:line="209" w:lineRule="auto"/>
              <w:ind w:left="295"/>
            </w:pPr>
            <w:r>
              <w:rPr>
                <w:spacing w:val="1"/>
              </w:rPr>
              <w:t>资产负债率</w:t>
            </w:r>
          </w:p>
        </w:tc>
        <w:tc>
          <w:tcPr>
            <w:tcW w:w="1328" w:type="dxa"/>
            <w:vAlign w:val="top"/>
          </w:tcPr>
          <w:p>
            <w:pPr>
              <w:pStyle w:val="TableText"/>
              <w:spacing w:before="268" w:line="165" w:lineRule="exact"/>
              <w:ind w:left="212"/>
            </w:pPr>
            <w:r>
              <w:rPr>
                <w:spacing w:val="-3"/>
                <w:position w:val="-2"/>
              </w:rPr>
              <w:t>72.66%</w:t>
            </w:r>
          </w:p>
        </w:tc>
        <w:tc>
          <w:tcPr>
            <w:tcW w:w="1398" w:type="dxa"/>
            <w:vAlign w:val="top"/>
          </w:tcPr>
          <w:p>
            <w:pPr>
              <w:pStyle w:val="TableText"/>
              <w:spacing w:before="268" w:line="165" w:lineRule="exact"/>
              <w:ind w:left="223"/>
            </w:pPr>
            <w:r>
              <w:rPr>
                <w:spacing w:val="-3"/>
                <w:position w:val="-2"/>
              </w:rPr>
              <w:t>70.93%</w:t>
            </w:r>
          </w:p>
        </w:tc>
        <w:tc>
          <w:tcPr>
            <w:tcW w:w="1229" w:type="dxa"/>
            <w:vAlign w:val="top"/>
          </w:tcPr>
          <w:p>
            <w:pPr>
              <w:pStyle w:val="TableText"/>
              <w:spacing w:before="268" w:line="165" w:lineRule="exact"/>
              <w:ind w:left="216"/>
            </w:pPr>
            <w:r>
              <w:rPr>
                <w:spacing w:val="-3"/>
                <w:position w:val="-2"/>
              </w:rPr>
              <w:t>72.68%</w:t>
            </w:r>
          </w:p>
        </w:tc>
        <w:tc>
          <w:tcPr>
            <w:tcW w:w="1348" w:type="dxa"/>
            <w:vAlign w:val="top"/>
          </w:tcPr>
          <w:p>
            <w:pPr>
              <w:pStyle w:val="TableText"/>
              <w:spacing w:before="268" w:line="165" w:lineRule="exact"/>
              <w:ind w:left="367"/>
            </w:pPr>
            <w:r>
              <w:rPr>
                <w:spacing w:val="-3"/>
                <w:position w:val="-2"/>
              </w:rPr>
              <w:t>72.51%</w:t>
            </w:r>
          </w:p>
        </w:tc>
        <w:tc>
          <w:tcPr>
            <w:tcW w:w="1263" w:type="dxa"/>
            <w:vAlign w:val="top"/>
          </w:tcPr>
          <w:p>
            <w:pPr>
              <w:pStyle w:val="TableText"/>
              <w:spacing w:before="248" w:line="170" w:lineRule="auto"/>
              <w:ind w:left="109"/>
            </w:pPr>
            <w:r>
              <w:rPr>
                <w:spacing w:val="-3"/>
              </w:rPr>
              <w:t>77.65%</w:t>
            </w:r>
          </w:p>
        </w:tc>
      </w:tr>
    </w:tbl>
    <w:p>
      <w:pPr>
        <w:spacing w:line="168" w:lineRule="exact"/>
        <w:rPr>
          <w:rFonts w:ascii="Arial"/>
          <w:sz w:val="14"/>
        </w:rPr>
      </w:pPr>
    </w:p>
    <w:p>
      <w:pPr>
        <w:spacing w:line="168" w:lineRule="exact"/>
        <w:rPr>
          <w:rFonts w:ascii="Arial" w:eastAsia="Arial" w:hAnsi="Arial" w:cs="Arial"/>
          <w:sz w:val="14"/>
          <w:szCs w:val="14"/>
        </w:rPr>
        <w:sectPr>
          <w:footerReference w:type="default" r:id="rId15"/>
          <w:type w:val="nextPage"/>
          <w:pgSz w:w="11910" w:h="16840"/>
          <w:pgMar w:top="1431" w:right="1695" w:bottom="1327" w:left="1685" w:header="0" w:footer="1189" w:gutter="0"/>
          <w:pgNumType w:start="11"/>
          <w:cols w:space="708"/>
          <w:titlePg w:val="0"/>
        </w:sectPr>
      </w:pPr>
    </w:p>
    <w:p>
      <w:pPr>
        <w:pStyle w:val="BodyText"/>
        <w:spacing w:before="88" w:line="219" w:lineRule="auto"/>
        <w:ind w:left="13"/>
      </w:pPr>
      <w:r>
        <w:rPr>
          <w:spacing w:val="-15"/>
          <w:w w:val="98"/>
        </w:rPr>
        <w:t>资料来源：根据2014至2016万达财务年报资料整理所得</w:t>
      </w:r>
    </w:p>
    <w:p>
      <w:pPr>
        <w:pStyle w:val="BodyText"/>
        <w:spacing w:before="198" w:line="216" w:lineRule="auto"/>
        <w:ind w:left="16"/>
        <w:outlineLvl w:val="6"/>
      </w:pPr>
      <w:r>
        <w:rPr>
          <w:b/>
          <w:bCs/>
          <w:spacing w:val="-5"/>
        </w:rPr>
        <w:t>3.2偿债能力分析</w:t>
      </w:r>
    </w:p>
    <w:p>
      <w:pPr>
        <w:pStyle w:val="BodyText"/>
        <w:spacing w:before="191" w:line="354" w:lineRule="auto"/>
        <w:ind w:left="13" w:right="116" w:firstLine="490"/>
      </w:pPr>
      <w:r>
        <w:rPr>
          <w:spacing w:val="-4"/>
        </w:rPr>
        <w:t>企业偿债能力是企业偿还债务和现金安全的能力。企业偿债能</w:t>
      </w:r>
      <w:r>
        <w:rPr>
          <w:spacing w:val="-5"/>
        </w:rPr>
        <w:t>力分为短期偿</w:t>
      </w:r>
      <w:r>
        <w:t xml:space="preserve"> </w:t>
      </w:r>
      <w:r>
        <w:rPr>
          <w:spacing w:val="-3"/>
        </w:rPr>
        <w:t>债能力和长期偿债能力。短期偿债能力是指企业能够</w:t>
      </w:r>
      <w:r>
        <w:rPr>
          <w:spacing w:val="-4"/>
        </w:rPr>
        <w:t>以流动资产偿还流动负债的</w:t>
      </w:r>
      <w:r>
        <w:t xml:space="preserve"> </w:t>
      </w:r>
      <w:r>
        <w:rPr>
          <w:spacing w:val="-3"/>
        </w:rPr>
        <w:t>程度。企业短期偿债能力的大小，取决于流动</w:t>
      </w:r>
      <w:r>
        <w:rPr>
          <w:spacing w:val="-4"/>
        </w:rPr>
        <w:t>资产和流动负债的数量和质量。长</w:t>
      </w:r>
      <w:r>
        <w:t xml:space="preserve"> </w:t>
      </w:r>
      <w:r>
        <w:rPr>
          <w:spacing w:val="-3"/>
        </w:rPr>
        <w:t>期偿债能力是指公司支付长期债务的程度。企业偿债能力分析</w:t>
      </w:r>
      <w:r>
        <w:rPr>
          <w:spacing w:val="-4"/>
        </w:rPr>
        <w:t>包括短期偿债能力</w:t>
      </w:r>
    </w:p>
    <w:p>
      <w:pPr>
        <w:pStyle w:val="BodyText"/>
        <w:spacing w:line="216" w:lineRule="auto"/>
        <w:ind w:left="13"/>
      </w:pPr>
      <w:r>
        <w:rPr>
          <w:spacing w:val="-3"/>
        </w:rPr>
        <w:t>分析和长期偿债能力分析两个方面。</w:t>
      </w:r>
    </w:p>
    <w:p>
      <w:pPr>
        <w:pStyle w:val="BodyText"/>
        <w:spacing w:before="139" w:line="216" w:lineRule="auto"/>
        <w:ind w:left="373"/>
      </w:pPr>
      <w:r>
        <w:rPr>
          <w:spacing w:val="-9"/>
        </w:rPr>
        <w:t>3.2.1短期偿债能力分析</w:t>
      </w:r>
    </w:p>
    <w:p>
      <w:pPr>
        <w:pStyle w:val="BodyText"/>
        <w:spacing w:before="117" w:line="354" w:lineRule="auto"/>
        <w:ind w:left="13" w:right="74" w:firstLine="490"/>
      </w:pPr>
      <w:r>
        <w:rPr>
          <w:spacing w:val="3"/>
        </w:rPr>
        <w:t>短期偿债能力是指企业在债务到期前短期(一年或一个经济周期)实现的能</w:t>
      </w:r>
      <w:r>
        <w:rPr>
          <w:spacing w:val="9"/>
        </w:rPr>
        <w:t xml:space="preserve"> </w:t>
      </w:r>
      <w:r>
        <w:rPr>
          <w:spacing w:val="-9"/>
        </w:rPr>
        <w:t>力。短期偿债能力有助于促使企业偿还到期债务，支付股利，降低企业经营风险，</w:t>
      </w:r>
      <w:r>
        <w:rPr>
          <w:spacing w:val="13"/>
        </w:rPr>
        <w:t xml:space="preserve"> </w:t>
      </w:r>
      <w:r>
        <w:rPr>
          <w:spacing w:val="-3"/>
        </w:rPr>
        <w:t>建立良好的企业信用，拓宽融资渠道。短期偿债能</w:t>
      </w:r>
      <w:r>
        <w:rPr>
          <w:spacing w:val="-4"/>
        </w:rPr>
        <w:t>力评价中常用的一种非量化指</w:t>
      </w:r>
      <w:r>
        <w:t xml:space="preserve"> </w:t>
      </w:r>
      <w:r>
        <w:rPr>
          <w:spacing w:val="-4"/>
        </w:rPr>
        <w:t>标，即财务弹性。财务柔性是指企业在面临突发事件时采取有效措施并做出相应</w:t>
      </w:r>
      <w:r>
        <w:rPr>
          <w:spacing w:val="12"/>
        </w:rPr>
        <w:t xml:space="preserve"> </w:t>
      </w:r>
      <w:r>
        <w:rPr>
          <w:spacing w:val="-4"/>
        </w:rPr>
        <w:t>反应的能力。现代经济环境越来越不明朗，企业面临着各种突发事件，需要处理</w:t>
      </w:r>
      <w:r>
        <w:rPr>
          <w:spacing w:val="12"/>
        </w:rPr>
        <w:t xml:space="preserve"> </w:t>
      </w:r>
      <w:r>
        <w:rPr>
          <w:spacing w:val="-3"/>
        </w:rPr>
        <w:t>更多的突发性现金需求。该公司可能会遇到突</w:t>
      </w:r>
      <w:r>
        <w:rPr>
          <w:spacing w:val="-4"/>
        </w:rPr>
        <w:t>然增加的现金流入或突然增加的现</w:t>
      </w:r>
      <w:r>
        <w:t xml:space="preserve"> </w:t>
      </w:r>
      <w:r>
        <w:rPr>
          <w:spacing w:val="-3"/>
        </w:rPr>
        <w:t>金流出，如崩溃的大客户，原材料，重大的政治，经</w:t>
      </w:r>
      <w:r>
        <w:rPr>
          <w:spacing w:val="-4"/>
        </w:rPr>
        <w:t>济，金融活动等。在这一点</w:t>
      </w:r>
    </w:p>
    <w:p>
      <w:pPr>
        <w:pStyle w:val="BodyText"/>
        <w:spacing w:line="216" w:lineRule="auto"/>
        <w:ind w:left="13"/>
      </w:pPr>
      <w:r>
        <w:rPr>
          <w:spacing w:val="-2"/>
        </w:rPr>
        <w:t>上，经营者应该有能力利用企业的资源，采取紧急应对策略。</w:t>
      </w:r>
    </w:p>
    <w:p>
      <w:pPr>
        <w:pStyle w:val="BodyText"/>
        <w:spacing w:before="159" w:line="216" w:lineRule="auto"/>
        <w:ind w:left="413"/>
      </w:pPr>
      <w:r>
        <w:rPr>
          <w:spacing w:val="4"/>
        </w:rPr>
        <w:t>1)短期偿债能力比率分析</w:t>
      </w:r>
    </w:p>
    <w:p>
      <w:pPr>
        <w:pStyle w:val="BodyText"/>
        <w:spacing w:before="99" w:line="487" w:lineRule="exact"/>
        <w:ind w:left="503"/>
      </w:pPr>
      <w:r>
        <w:rPr>
          <w:spacing w:val="-3"/>
          <w:position w:val="19"/>
        </w:rPr>
        <w:t>一般来说，衡量企业短期偿债能力的重要比率主要有如下几个：</w:t>
      </w:r>
      <w:r>
        <w:rPr>
          <w:spacing w:val="44"/>
          <w:position w:val="19"/>
        </w:rPr>
        <w:t xml:space="preserve">  </w:t>
      </w:r>
      <w:r>
        <w:rPr>
          <w:spacing w:val="-3"/>
          <w:position w:val="19"/>
        </w:rPr>
        <w:t>(1)流动</w:t>
      </w:r>
    </w:p>
    <w:p>
      <w:pPr>
        <w:pStyle w:val="BodyText"/>
        <w:spacing w:line="222" w:lineRule="auto"/>
        <w:ind w:left="13"/>
      </w:pPr>
      <w:r>
        <w:rPr>
          <w:spacing w:val="-7"/>
        </w:rPr>
        <w:t>比率=流动资产/流动负债</w:t>
      </w:r>
    </w:p>
    <w:p>
      <w:pPr>
        <w:pStyle w:val="BodyText"/>
        <w:spacing w:before="171" w:line="480" w:lineRule="exact"/>
        <w:ind w:left="633"/>
        <w:rPr>
          <w:rFonts w:ascii="Times New Roman" w:eastAsia="Times New Roman" w:hAnsi="Times New Roman" w:cs="Times New Roman"/>
        </w:rPr>
      </w:pPr>
      <w:r>
        <w:rPr>
          <w:spacing w:val="4"/>
          <w:position w:val="18"/>
        </w:rPr>
        <w:t>(2)速动比率=货币资金+短期投资+应收账款和应收票据/流动负债</w:t>
      </w:r>
      <w:r>
        <w:rPr>
          <w:spacing w:val="101"/>
          <w:position w:val="18"/>
        </w:rPr>
        <w:t xml:space="preserve"> </w:t>
      </w:r>
      <w:r>
        <w:rPr>
          <w:rFonts w:ascii="Times New Roman" w:eastAsia="Times New Roman" w:hAnsi="Times New Roman" w:cs="Times New Roman"/>
          <w:spacing w:val="4"/>
          <w:position w:val="18"/>
        </w:rPr>
        <w:t>(3)</w:t>
      </w:r>
    </w:p>
    <w:p>
      <w:pPr>
        <w:pStyle w:val="BodyText"/>
        <w:spacing w:before="1" w:line="222" w:lineRule="auto"/>
        <w:ind w:left="13"/>
      </w:pPr>
      <w:r>
        <w:rPr>
          <w:spacing w:val="-3"/>
        </w:rPr>
        <w:t>现金比率=现金+现金等价物/流动负债</w:t>
      </w:r>
    </w:p>
    <w:p>
      <w:pPr>
        <w:pStyle w:val="BodyText"/>
        <w:spacing w:before="154" w:line="212" w:lineRule="auto"/>
        <w:ind w:left="2736"/>
      </w:pPr>
      <w:r>
        <w:rPr>
          <w:b/>
          <w:bCs/>
          <w:spacing w:val="3"/>
        </w:rPr>
        <w:t>表2万达院线短期偿债能力指标</w:t>
      </w:r>
    </w:p>
    <w:p>
      <w:pPr>
        <w:spacing w:line="113" w:lineRule="exact"/>
      </w:pPr>
    </w:p>
    <w:tbl>
      <w:tblPr>
        <w:tblStyle w:val="TableNormal2"/>
        <w:tblW w:w="8160" w:type="dxa"/>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03"/>
        <w:gridCol w:w="2057"/>
        <w:gridCol w:w="2048"/>
        <w:gridCol w:w="2052"/>
      </w:tblGrid>
      <w:tr>
        <w:tblPrEx>
          <w:tblW w:w="8160" w:type="dxa"/>
          <w:tblInd w:w="2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4"/>
        </w:trPr>
        <w:tc>
          <w:tcPr>
            <w:tcW w:w="2003" w:type="dxa"/>
            <w:vAlign w:val="top"/>
          </w:tcPr>
          <w:p>
            <w:pPr>
              <w:pStyle w:val="TableText"/>
              <w:spacing w:before="53" w:line="220" w:lineRule="auto"/>
              <w:ind w:left="795"/>
            </w:pPr>
            <w:r>
              <w:rPr>
                <w:spacing w:val="-6"/>
              </w:rPr>
              <w:t>项 目</w:t>
            </w:r>
          </w:p>
        </w:tc>
        <w:tc>
          <w:tcPr>
            <w:tcW w:w="2057" w:type="dxa"/>
            <w:vAlign w:val="top"/>
          </w:tcPr>
          <w:p>
            <w:pPr>
              <w:pStyle w:val="TableText"/>
              <w:spacing w:before="104" w:line="175" w:lineRule="auto"/>
              <w:ind w:left="822"/>
            </w:pPr>
            <w:r>
              <w:rPr>
                <w:spacing w:val="-2"/>
              </w:rPr>
              <w:t>2014</w:t>
            </w:r>
          </w:p>
        </w:tc>
        <w:tc>
          <w:tcPr>
            <w:tcW w:w="2048" w:type="dxa"/>
            <w:vAlign w:val="top"/>
          </w:tcPr>
          <w:p>
            <w:pPr>
              <w:pStyle w:val="TableText"/>
              <w:spacing w:before="104" w:line="175" w:lineRule="auto"/>
              <w:ind w:left="815"/>
            </w:pPr>
            <w:r>
              <w:rPr>
                <w:spacing w:val="-2"/>
              </w:rPr>
              <w:t>2015</w:t>
            </w:r>
          </w:p>
        </w:tc>
        <w:tc>
          <w:tcPr>
            <w:tcW w:w="2052" w:type="dxa"/>
            <w:vAlign w:val="top"/>
          </w:tcPr>
          <w:p>
            <w:pPr>
              <w:pStyle w:val="TableText"/>
              <w:spacing w:before="104" w:line="175" w:lineRule="auto"/>
              <w:ind w:left="817"/>
            </w:pPr>
            <w:r>
              <w:rPr>
                <w:spacing w:val="-2"/>
              </w:rPr>
              <w:t>2016</w:t>
            </w:r>
          </w:p>
        </w:tc>
      </w:tr>
      <w:tr>
        <w:tblPrEx>
          <w:tblW w:w="8160" w:type="dxa"/>
          <w:tblInd w:w="253" w:type="dxa"/>
          <w:tblLayout w:type="fixed"/>
        </w:tblPrEx>
        <w:trPr>
          <w:trHeight w:val="319"/>
        </w:trPr>
        <w:tc>
          <w:tcPr>
            <w:tcW w:w="2003" w:type="dxa"/>
            <w:vAlign w:val="top"/>
          </w:tcPr>
          <w:p>
            <w:pPr>
              <w:pStyle w:val="TableText"/>
              <w:spacing w:before="59" w:line="219" w:lineRule="auto"/>
              <w:ind w:left="595"/>
            </w:pPr>
            <w:r>
              <w:rPr>
                <w:spacing w:val="3"/>
              </w:rPr>
              <w:t>流动资产</w:t>
            </w:r>
          </w:p>
        </w:tc>
        <w:tc>
          <w:tcPr>
            <w:tcW w:w="2057" w:type="dxa"/>
            <w:vAlign w:val="top"/>
          </w:tcPr>
          <w:p>
            <w:pPr>
              <w:pStyle w:val="TableText"/>
              <w:spacing w:before="110" w:line="183" w:lineRule="auto"/>
              <w:ind w:left="622"/>
            </w:pPr>
            <w:r>
              <w:rPr>
                <w:spacing w:val="-2"/>
              </w:rPr>
              <w:t>30646.29</w:t>
            </w:r>
          </w:p>
        </w:tc>
        <w:tc>
          <w:tcPr>
            <w:tcW w:w="2048" w:type="dxa"/>
            <w:vAlign w:val="top"/>
          </w:tcPr>
          <w:p>
            <w:pPr>
              <w:pStyle w:val="TableText"/>
              <w:spacing w:before="109" w:line="184" w:lineRule="auto"/>
              <w:ind w:left="615"/>
            </w:pPr>
            <w:r>
              <w:rPr>
                <w:spacing w:val="-2"/>
              </w:rPr>
              <w:t>38105.56</w:t>
            </w:r>
          </w:p>
        </w:tc>
        <w:tc>
          <w:tcPr>
            <w:tcW w:w="2052" w:type="dxa"/>
            <w:vAlign w:val="top"/>
          </w:tcPr>
          <w:p>
            <w:pPr>
              <w:pStyle w:val="TableText"/>
              <w:spacing w:before="110" w:line="183" w:lineRule="auto"/>
              <w:ind w:left="617"/>
            </w:pPr>
            <w:r>
              <w:rPr>
                <w:spacing w:val="-1"/>
              </w:rPr>
              <w:t>40206.36</w:t>
            </w:r>
          </w:p>
        </w:tc>
      </w:tr>
      <w:tr>
        <w:tblPrEx>
          <w:tblW w:w="8160" w:type="dxa"/>
          <w:tblInd w:w="253" w:type="dxa"/>
          <w:tblLayout w:type="fixed"/>
        </w:tblPrEx>
        <w:trPr>
          <w:trHeight w:val="299"/>
        </w:trPr>
        <w:tc>
          <w:tcPr>
            <w:tcW w:w="2003" w:type="dxa"/>
            <w:vAlign w:val="top"/>
          </w:tcPr>
          <w:p>
            <w:pPr>
              <w:pStyle w:val="TableText"/>
              <w:spacing w:before="50" w:line="219" w:lineRule="auto"/>
              <w:ind w:left="595"/>
            </w:pPr>
            <w:r>
              <w:rPr>
                <w:spacing w:val="-2"/>
              </w:rPr>
              <w:t>速动资产</w:t>
            </w:r>
          </w:p>
        </w:tc>
        <w:tc>
          <w:tcPr>
            <w:tcW w:w="2057" w:type="dxa"/>
            <w:vAlign w:val="top"/>
          </w:tcPr>
          <w:p>
            <w:pPr>
              <w:pStyle w:val="TableText"/>
              <w:spacing w:before="101" w:line="173" w:lineRule="auto"/>
              <w:ind w:left="622"/>
            </w:pPr>
            <w:r>
              <w:rPr>
                <w:spacing w:val="-2"/>
              </w:rPr>
              <w:t>51079.04</w:t>
            </w:r>
          </w:p>
        </w:tc>
        <w:tc>
          <w:tcPr>
            <w:tcW w:w="2048" w:type="dxa"/>
            <w:vAlign w:val="top"/>
          </w:tcPr>
          <w:p>
            <w:pPr>
              <w:pStyle w:val="TableText"/>
              <w:spacing w:before="101" w:line="173" w:lineRule="auto"/>
              <w:ind w:left="615"/>
            </w:pPr>
            <w:r>
              <w:rPr>
                <w:spacing w:val="-2"/>
              </w:rPr>
              <w:t>26948.98</w:t>
            </w:r>
          </w:p>
        </w:tc>
        <w:tc>
          <w:tcPr>
            <w:tcW w:w="2052" w:type="dxa"/>
            <w:vAlign w:val="top"/>
          </w:tcPr>
          <w:p>
            <w:pPr>
              <w:pStyle w:val="TableText"/>
              <w:spacing w:before="101" w:line="173" w:lineRule="auto"/>
              <w:ind w:left="667"/>
            </w:pPr>
            <w:r>
              <w:rPr>
                <w:spacing w:val="-2"/>
              </w:rPr>
              <w:t>39562.3</w:t>
            </w:r>
          </w:p>
        </w:tc>
      </w:tr>
      <w:tr>
        <w:tblPrEx>
          <w:tblW w:w="8160" w:type="dxa"/>
          <w:tblInd w:w="253" w:type="dxa"/>
          <w:tblLayout w:type="fixed"/>
        </w:tblPrEx>
        <w:trPr>
          <w:trHeight w:val="309"/>
        </w:trPr>
        <w:tc>
          <w:tcPr>
            <w:tcW w:w="2003" w:type="dxa"/>
            <w:vAlign w:val="top"/>
          </w:tcPr>
          <w:p>
            <w:pPr>
              <w:pStyle w:val="TableText"/>
              <w:spacing w:before="61" w:line="219" w:lineRule="auto"/>
              <w:ind w:left="195"/>
            </w:pPr>
            <w:r>
              <w:rPr>
                <w:spacing w:val="-2"/>
              </w:rPr>
              <w:t>经营活动现金流量</w:t>
            </w:r>
          </w:p>
        </w:tc>
        <w:tc>
          <w:tcPr>
            <w:tcW w:w="2057" w:type="dxa"/>
            <w:vAlign w:val="top"/>
          </w:tcPr>
          <w:p>
            <w:pPr>
              <w:pStyle w:val="TableText"/>
              <w:spacing w:before="111" w:line="173" w:lineRule="auto"/>
              <w:ind w:left="672"/>
            </w:pPr>
            <w:r>
              <w:rPr>
                <w:spacing w:val="-2"/>
              </w:rPr>
              <w:t>2091.88</w:t>
            </w:r>
          </w:p>
        </w:tc>
        <w:tc>
          <w:tcPr>
            <w:tcW w:w="2048" w:type="dxa"/>
            <w:vAlign w:val="top"/>
          </w:tcPr>
          <w:p>
            <w:pPr>
              <w:pStyle w:val="TableText"/>
              <w:spacing w:before="112" w:line="172" w:lineRule="auto"/>
              <w:ind w:left="665"/>
            </w:pPr>
            <w:r>
              <w:rPr>
                <w:spacing w:val="-2"/>
              </w:rPr>
              <w:t>2850.24</w:t>
            </w:r>
          </w:p>
        </w:tc>
        <w:tc>
          <w:tcPr>
            <w:tcW w:w="2052" w:type="dxa"/>
            <w:vAlign w:val="top"/>
          </w:tcPr>
          <w:p>
            <w:pPr>
              <w:pStyle w:val="TableText"/>
              <w:spacing w:before="112" w:line="172" w:lineRule="auto"/>
              <w:ind w:left="717"/>
            </w:pPr>
            <w:r>
              <w:rPr>
                <w:spacing w:val="-2"/>
              </w:rPr>
              <w:t>3652.3</w:t>
            </w:r>
          </w:p>
        </w:tc>
      </w:tr>
      <w:tr>
        <w:tblPrEx>
          <w:tblW w:w="8160" w:type="dxa"/>
          <w:tblInd w:w="253" w:type="dxa"/>
          <w:tblLayout w:type="fixed"/>
        </w:tblPrEx>
        <w:trPr>
          <w:trHeight w:val="319"/>
        </w:trPr>
        <w:tc>
          <w:tcPr>
            <w:tcW w:w="2003" w:type="dxa"/>
            <w:vAlign w:val="top"/>
          </w:tcPr>
          <w:p>
            <w:pPr>
              <w:pStyle w:val="TableText"/>
              <w:spacing w:before="62" w:line="219" w:lineRule="auto"/>
              <w:ind w:left="595"/>
            </w:pPr>
            <w:r>
              <w:rPr>
                <w:spacing w:val="-2"/>
              </w:rPr>
              <w:t>流动负债</w:t>
            </w:r>
          </w:p>
        </w:tc>
        <w:tc>
          <w:tcPr>
            <w:tcW w:w="2057" w:type="dxa"/>
            <w:vAlign w:val="top"/>
          </w:tcPr>
          <w:p>
            <w:pPr>
              <w:pStyle w:val="TableText"/>
              <w:spacing w:before="112" w:line="181" w:lineRule="auto"/>
              <w:ind w:left="622"/>
            </w:pPr>
            <w:r>
              <w:rPr>
                <w:spacing w:val="-2"/>
              </w:rPr>
              <w:t>20918.88</w:t>
            </w:r>
          </w:p>
        </w:tc>
        <w:tc>
          <w:tcPr>
            <w:tcW w:w="2048" w:type="dxa"/>
            <w:vAlign w:val="top"/>
          </w:tcPr>
          <w:p>
            <w:pPr>
              <w:pStyle w:val="TableText"/>
              <w:spacing w:before="113" w:line="180" w:lineRule="auto"/>
              <w:ind w:left="615"/>
            </w:pPr>
            <w:r>
              <w:rPr>
                <w:spacing w:val="-2"/>
              </w:rPr>
              <w:t>25563.66</w:t>
            </w:r>
          </w:p>
        </w:tc>
        <w:tc>
          <w:tcPr>
            <w:tcW w:w="2052" w:type="dxa"/>
            <w:vAlign w:val="top"/>
          </w:tcPr>
          <w:p>
            <w:pPr>
              <w:pStyle w:val="TableText"/>
              <w:spacing w:before="113" w:line="180" w:lineRule="auto"/>
              <w:ind w:left="617"/>
            </w:pPr>
            <w:r>
              <w:rPr>
                <w:spacing w:val="-2"/>
              </w:rPr>
              <w:t>36534.22</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https://d.book118.com/448036036016006036</w:t>
        </w:r>
      </w:hyperlink>
    </w:p>
    <w:p/>
    <w:sectPr>
      <w:footerReference w:type="default" r:id="rId17"/>
      <w:pgSz w:w="11910" w:h="16840"/>
      <w:pgMar w:top="1431" w:right="1705" w:bottom="1328" w:left="1786" w:header="0" w:footer="1189" w:gutter="0"/>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13"/>
      <w:rPr>
        <w:rFonts w:ascii="SimSun" w:eastAsia="SimSun" w:hAnsi="SimSun" w:cs="SimSun"/>
        <w:sz w:val="14"/>
        <w:szCs w:val="14"/>
      </w:rPr>
    </w:pPr>
    <w:r>
      <w:rPr>
        <w:rFonts w:ascii="SimSun" w:eastAsia="SimSun" w:hAnsi="SimSun" w:cs="SimSun"/>
        <w:sz w:val="14"/>
        <w:szCs w:val="14"/>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4113"/>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10"/>
      <w:rPr>
        <w:rFonts w:ascii="SimSun" w:eastAsia="SimSun" w:hAnsi="SimSun" w:cs="SimSun"/>
        <w:sz w:val="14"/>
        <w:szCs w:val="14"/>
      </w:rPr>
    </w:pPr>
    <w:r>
      <w:rPr>
        <w:rFonts w:ascii="SimSun" w:eastAsia="SimSun" w:hAnsi="SimSun" w:cs="SimSun"/>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10"/>
      <w:rPr>
        <w:rFonts w:ascii="SimSun" w:eastAsia="SimSun" w:hAnsi="SimSun" w:cs="SimSun"/>
        <w:sz w:val="14"/>
        <w:szCs w:val="14"/>
      </w:rPr>
    </w:pPr>
    <w:r>
      <w:rPr>
        <w:rFonts w:ascii="SimSun" w:eastAsia="SimSun" w:hAnsi="SimSun" w:cs="SimSun"/>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30"/>
      <w:rPr>
        <w:rFonts w:ascii="SimSun" w:eastAsia="SimSun" w:hAnsi="SimSun" w:cs="SimSun"/>
        <w:sz w:val="14"/>
        <w:szCs w:val="14"/>
      </w:rPr>
    </w:pPr>
    <w:r>
      <w:rPr>
        <w:rFonts w:ascii="SimSun" w:eastAsia="SimSun" w:hAnsi="SimSun" w:cs="SimSun"/>
        <w:sz w:val="14"/>
        <w:szCs w:val="14"/>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30"/>
      <w:rPr>
        <w:rFonts w:ascii="SimSun" w:eastAsia="SimSun" w:hAnsi="SimSun" w:cs="SimSun"/>
        <w:sz w:val="14"/>
        <w:szCs w:val="14"/>
      </w:rPr>
    </w:pPr>
    <w:r>
      <w:rPr>
        <w:rFonts w:ascii="SimSun" w:eastAsia="SimSun" w:hAnsi="SimSun" w:cs="SimSun"/>
        <w:sz w:val="14"/>
        <w:szCs w:val="14"/>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204"/>
      <w:rPr>
        <w:rFonts w:ascii="SimSun" w:eastAsia="SimSun" w:hAnsi="SimSun" w:cs="SimSun"/>
        <w:sz w:val="14"/>
        <w:szCs w:val="14"/>
      </w:rPr>
    </w:pPr>
    <w:r>
      <w:rPr>
        <w:rFonts w:ascii="SimSun" w:eastAsia="SimSun" w:hAnsi="SimSun" w:cs="SimSun"/>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8" w:lineRule="auto"/>
      <w:ind w:left="4204"/>
      <w:rPr>
        <w:rFonts w:ascii="SimSun" w:eastAsia="SimSun" w:hAnsi="SimSun" w:cs="SimSun"/>
        <w:sz w:val="14"/>
        <w:szCs w:val="14"/>
      </w:rPr>
    </w:pPr>
    <w:r>
      <w:rPr>
        <w:rFonts w:ascii="SimSun" w:eastAsia="SimSun" w:hAnsi="SimSun" w:cs="SimSun"/>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4103"/>
      <w:rPr>
        <w:rFonts w:ascii="SimSun" w:eastAsia="SimSun" w:hAnsi="SimSun" w:cs="SimSun"/>
        <w:sz w:val="14"/>
        <w:szCs w:val="14"/>
      </w:rPr>
    </w:pPr>
    <w:r>
      <w:rPr>
        <w:rFonts w:ascii="SimSun" w:eastAsia="SimSun" w:hAnsi="SimSun" w:cs="SimSun"/>
        <w:sz w:val="14"/>
        <w:szCs w:val="14"/>
      </w:rPr>
      <w:t>6</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YouYuan" w:eastAsia="YouYuan" w:hAnsi="YouYuan" w:cs="YouYua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2.png"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hyperlink" Target="https://d.book118.com/448036036016006036" TargetMode="External" /><Relationship Id="rId17" Type="http://schemas.openxmlformats.org/officeDocument/2006/relationships/footer" Target="footer11.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image" Target="media/image1.jpeg"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2024-02-16T18:18:26Z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2024-02-16T18:18:28Z</vt:filetime>
  </property>
  <property fmtid="{D5CDD505-2E9C-101B-9397-08002B2CF9AE}" pid="3" name="CRO">
    <vt:lpwstr>wqlLaW5nc29mdCBQREYgdG8gV1BTIDkw</vt:lpwstr>
  </property>
  <property fmtid="{D5CDD505-2E9C-101B-9397-08002B2CF9AE}" pid="4" name="UsrData">
    <vt:lpwstr>65cf366b9d6e4a001f3dc006wl</vt:lpwstr>
  </property>
</Properties>
</file>