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宋体" w:eastAsia="宋体" w:hAnsi="宋体" w:cs="宋体" w:hint="eastAsia"/>
          <w:b/>
          <w:sz w:val="60"/>
          <w:lang w:eastAsia="zh-CN"/>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内燃牵引车投资申请报告</w:t>
      </w:r>
    </w:p>
    <w:p>
      <w:pPr>
        <w:jc w:val="center"/>
        <w:rPr>
          <w:rFonts w:ascii="仿宋" w:eastAsia="仿宋" w:hAnsi="仿宋" w:cs="仿宋" w:hint="eastAsia"/>
          <w:b/>
          <w:sz w:val="40"/>
          <w:lang w:eastAsia="zh-CN"/>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8633" w:history="1">
        <w:r>
          <w:rPr>
            <w:rFonts w:ascii="仿宋" w:eastAsia="仿宋" w:hAnsi="仿宋" w:cs="仿宋" w:hint="eastAsia"/>
            <w:lang w:eastAsia="zh-CN"/>
          </w:rPr>
          <w:t>序言</w:t>
        </w:r>
        <w:r>
          <w:tab/>
        </w:r>
        <w:r>
          <w:fldChar w:fldCharType="begin"/>
        </w:r>
        <w:r>
          <w:instrText xml:space="preserve"> PAGEREF _Toc18633 \h </w:instrText>
        </w:r>
        <w:r>
          <w:fldChar w:fldCharType="separate"/>
        </w:r>
        <w:r>
          <w:t>3</w:t>
        </w:r>
        <w:r>
          <w:fldChar w:fldCharType="end"/>
        </w:r>
      </w:hyperlink>
    </w:p>
    <w:p>
      <w:pPr>
        <w:pStyle w:val="TOC1"/>
        <w:tabs>
          <w:tab w:val="right" w:leader="dot" w:pos="8306"/>
        </w:tabs>
      </w:pPr>
      <w:hyperlink w:anchor="_Toc7962" w:history="1">
        <w:r>
          <w:rPr>
            <w:rFonts w:ascii="仿宋" w:eastAsia="仿宋" w:hAnsi="仿宋" w:cs="仿宋" w:hint="eastAsia"/>
            <w:lang w:eastAsia="zh-CN"/>
          </w:rPr>
          <w:t>一、建设内容与产品方案</w:t>
        </w:r>
        <w:r>
          <w:tab/>
        </w:r>
        <w:r>
          <w:fldChar w:fldCharType="begin"/>
        </w:r>
        <w:r>
          <w:instrText xml:space="preserve"> PAGEREF _Toc7962 \h </w:instrText>
        </w:r>
        <w:r>
          <w:fldChar w:fldCharType="separate"/>
        </w:r>
        <w:r>
          <w:t>3</w:t>
        </w:r>
        <w:r>
          <w:fldChar w:fldCharType="end"/>
        </w:r>
      </w:hyperlink>
    </w:p>
    <w:p>
      <w:pPr>
        <w:pStyle w:val="TOC2"/>
        <w:tabs>
          <w:tab w:val="right" w:leader="dot" w:pos="8306"/>
        </w:tabs>
      </w:pPr>
      <w:hyperlink w:anchor="_Toc10838" w:history="1">
        <w:r>
          <w:rPr>
            <w:rFonts w:ascii="仿宋" w:eastAsia="仿宋" w:hAnsi="仿宋" w:cs="仿宋" w:hint="eastAsia"/>
            <w:lang w:eastAsia="zh-CN"/>
          </w:rPr>
          <w:t>(一)、建设规模及主要建设内容</w:t>
        </w:r>
        <w:r>
          <w:tab/>
        </w:r>
        <w:r>
          <w:fldChar w:fldCharType="begin"/>
        </w:r>
        <w:r>
          <w:instrText xml:space="preserve"> PAGEREF _Toc10838 \h </w:instrText>
        </w:r>
        <w:r>
          <w:fldChar w:fldCharType="separate"/>
        </w:r>
        <w:r>
          <w:t>3</w:t>
        </w:r>
        <w:r>
          <w:fldChar w:fldCharType="end"/>
        </w:r>
      </w:hyperlink>
    </w:p>
    <w:p>
      <w:pPr>
        <w:pStyle w:val="TOC2"/>
        <w:tabs>
          <w:tab w:val="right" w:leader="dot" w:pos="8306"/>
        </w:tabs>
      </w:pPr>
      <w:hyperlink w:anchor="_Toc29763" w:history="1">
        <w:r>
          <w:rPr>
            <w:rFonts w:ascii="仿宋" w:eastAsia="仿宋" w:hAnsi="仿宋" w:cs="仿宋" w:hint="eastAsia"/>
            <w:lang w:eastAsia="zh-CN"/>
          </w:rPr>
          <w:t>(二)、内燃牵引车产品规划方案及生产纲领</w:t>
        </w:r>
        <w:r>
          <w:tab/>
        </w:r>
        <w:r>
          <w:fldChar w:fldCharType="begin"/>
        </w:r>
        <w:r>
          <w:instrText xml:space="preserve"> PAGEREF _Toc29763 \h </w:instrText>
        </w:r>
        <w:r>
          <w:fldChar w:fldCharType="separate"/>
        </w:r>
        <w:r>
          <w:t>3</w:t>
        </w:r>
        <w:r>
          <w:fldChar w:fldCharType="end"/>
        </w:r>
      </w:hyperlink>
    </w:p>
    <w:p>
      <w:pPr>
        <w:pStyle w:val="TOC1"/>
        <w:tabs>
          <w:tab w:val="right" w:leader="dot" w:pos="8306"/>
        </w:tabs>
      </w:pPr>
      <w:hyperlink w:anchor="_Toc20746" w:history="1">
        <w:r>
          <w:rPr>
            <w:rFonts w:ascii="仿宋" w:eastAsia="仿宋" w:hAnsi="仿宋" w:cs="仿宋" w:hint="eastAsia"/>
            <w:lang w:eastAsia="zh-CN"/>
          </w:rPr>
          <w:t>二、人才队伍建设</w:t>
        </w:r>
        <w:r>
          <w:tab/>
        </w:r>
        <w:r>
          <w:fldChar w:fldCharType="begin"/>
        </w:r>
        <w:r>
          <w:instrText xml:space="preserve"> PAGEREF _Toc20746 \h </w:instrText>
        </w:r>
        <w:r>
          <w:fldChar w:fldCharType="separate"/>
        </w:r>
        <w:r>
          <w:t>4</w:t>
        </w:r>
        <w:r>
          <w:fldChar w:fldCharType="end"/>
        </w:r>
      </w:hyperlink>
    </w:p>
    <w:p>
      <w:pPr>
        <w:pStyle w:val="TOC2"/>
        <w:tabs>
          <w:tab w:val="right" w:leader="dot" w:pos="8306"/>
        </w:tabs>
      </w:pPr>
      <w:hyperlink w:anchor="_Toc21179" w:history="1">
        <w:r>
          <w:rPr>
            <w:rFonts w:ascii="仿宋" w:eastAsia="仿宋" w:hAnsi="仿宋" w:cs="仿宋" w:hint="eastAsia"/>
            <w:lang w:eastAsia="zh-CN"/>
          </w:rPr>
          <w:t>(一)、人才引进与培养计划</w:t>
        </w:r>
        <w:r>
          <w:tab/>
        </w:r>
        <w:r>
          <w:fldChar w:fldCharType="begin"/>
        </w:r>
        <w:r>
          <w:instrText xml:space="preserve"> PAGEREF _Toc21179 \h </w:instrText>
        </w:r>
        <w:r>
          <w:fldChar w:fldCharType="separate"/>
        </w:r>
        <w:r>
          <w:t>4</w:t>
        </w:r>
        <w:r>
          <w:fldChar w:fldCharType="end"/>
        </w:r>
      </w:hyperlink>
    </w:p>
    <w:p>
      <w:pPr>
        <w:pStyle w:val="TOC2"/>
        <w:tabs>
          <w:tab w:val="right" w:leader="dot" w:pos="8306"/>
        </w:tabs>
      </w:pPr>
      <w:hyperlink w:anchor="_Toc28296" w:history="1">
        <w:r>
          <w:rPr>
            <w:rFonts w:ascii="仿宋" w:eastAsia="仿宋" w:hAnsi="仿宋" w:cs="仿宋" w:hint="eastAsia"/>
            <w:lang w:eastAsia="zh-CN"/>
          </w:rPr>
          <w:t>(二)、员工激励与福利政策</w:t>
        </w:r>
        <w:r>
          <w:tab/>
        </w:r>
        <w:r>
          <w:fldChar w:fldCharType="begin"/>
        </w:r>
        <w:r>
          <w:instrText xml:space="preserve"> PAGEREF _Toc28296 \h </w:instrText>
        </w:r>
        <w:r>
          <w:fldChar w:fldCharType="separate"/>
        </w:r>
        <w:r>
          <w:t>5</w:t>
        </w:r>
        <w:r>
          <w:fldChar w:fldCharType="end"/>
        </w:r>
      </w:hyperlink>
    </w:p>
    <w:p>
      <w:pPr>
        <w:pStyle w:val="TOC2"/>
        <w:tabs>
          <w:tab w:val="right" w:leader="dot" w:pos="8306"/>
        </w:tabs>
      </w:pPr>
      <w:hyperlink w:anchor="_Toc15794" w:history="1">
        <w:r>
          <w:rPr>
            <w:rFonts w:ascii="仿宋" w:eastAsia="仿宋" w:hAnsi="仿宋" w:cs="仿宋" w:hint="eastAsia"/>
            <w:lang w:eastAsia="zh-CN"/>
          </w:rPr>
          <w:t>(三)、团队建设与管理</w:t>
        </w:r>
        <w:r>
          <w:tab/>
        </w:r>
        <w:r>
          <w:fldChar w:fldCharType="begin"/>
        </w:r>
        <w:r>
          <w:instrText xml:space="preserve"> PAGEREF _Toc15794 \h </w:instrText>
        </w:r>
        <w:r>
          <w:fldChar w:fldCharType="separate"/>
        </w:r>
        <w:r>
          <w:t>6</w:t>
        </w:r>
        <w:r>
          <w:fldChar w:fldCharType="end"/>
        </w:r>
      </w:hyperlink>
    </w:p>
    <w:p>
      <w:pPr>
        <w:pStyle w:val="TOC1"/>
        <w:tabs>
          <w:tab w:val="right" w:leader="dot" w:pos="8306"/>
        </w:tabs>
      </w:pPr>
      <w:hyperlink w:anchor="_Toc6386" w:history="1">
        <w:r>
          <w:rPr>
            <w:rFonts w:ascii="仿宋" w:eastAsia="仿宋" w:hAnsi="仿宋" w:cs="仿宋" w:hint="eastAsia"/>
            <w:lang w:eastAsia="zh-CN"/>
          </w:rPr>
          <w:t>三、内燃牵引车行业发展分析</w:t>
        </w:r>
        <w:r>
          <w:tab/>
        </w:r>
        <w:r>
          <w:fldChar w:fldCharType="begin"/>
        </w:r>
        <w:r>
          <w:instrText xml:space="preserve"> PAGEREF _Toc6386 \h </w:instrText>
        </w:r>
        <w:r>
          <w:fldChar w:fldCharType="separate"/>
        </w:r>
        <w:r>
          <w:t>7</w:t>
        </w:r>
        <w:r>
          <w:fldChar w:fldCharType="end"/>
        </w:r>
      </w:hyperlink>
    </w:p>
    <w:p>
      <w:pPr>
        <w:pStyle w:val="TOC2"/>
        <w:tabs>
          <w:tab w:val="right" w:leader="dot" w:pos="8306"/>
        </w:tabs>
      </w:pPr>
      <w:hyperlink w:anchor="_Toc23470" w:history="1">
        <w:r>
          <w:rPr>
            <w:rFonts w:ascii="仿宋" w:eastAsia="仿宋" w:hAnsi="仿宋" w:cs="仿宋" w:hint="eastAsia"/>
            <w:lang w:eastAsia="zh-CN"/>
          </w:rPr>
          <w:t>(一)、内燃牵引车行业发展总体概况</w:t>
        </w:r>
        <w:r>
          <w:tab/>
        </w:r>
        <w:r>
          <w:fldChar w:fldCharType="begin"/>
        </w:r>
        <w:r>
          <w:instrText xml:space="preserve"> PAGEREF _Toc23470 \h </w:instrText>
        </w:r>
        <w:r>
          <w:fldChar w:fldCharType="separate"/>
        </w:r>
        <w:r>
          <w:t>7</w:t>
        </w:r>
        <w:r>
          <w:fldChar w:fldCharType="end"/>
        </w:r>
      </w:hyperlink>
    </w:p>
    <w:p>
      <w:pPr>
        <w:pStyle w:val="TOC2"/>
        <w:tabs>
          <w:tab w:val="right" w:leader="dot" w:pos="8306"/>
        </w:tabs>
      </w:pPr>
      <w:hyperlink w:anchor="_Toc18933" w:history="1">
        <w:r>
          <w:rPr>
            <w:rFonts w:ascii="仿宋" w:eastAsia="仿宋" w:hAnsi="仿宋" w:cs="仿宋" w:hint="eastAsia"/>
            <w:lang w:eastAsia="zh-CN"/>
          </w:rPr>
          <w:t>(二)、内燃牵引车行业发展背景</w:t>
        </w:r>
        <w:r>
          <w:tab/>
        </w:r>
        <w:r>
          <w:fldChar w:fldCharType="begin"/>
        </w:r>
        <w:r>
          <w:instrText xml:space="preserve"> PAGEREF _Toc18933 \h </w:instrText>
        </w:r>
        <w:r>
          <w:fldChar w:fldCharType="separate"/>
        </w:r>
        <w:r>
          <w:t>7</w:t>
        </w:r>
        <w:r>
          <w:fldChar w:fldCharType="end"/>
        </w:r>
      </w:hyperlink>
    </w:p>
    <w:p>
      <w:pPr>
        <w:pStyle w:val="TOC2"/>
        <w:tabs>
          <w:tab w:val="right" w:leader="dot" w:pos="8306"/>
        </w:tabs>
      </w:pPr>
      <w:hyperlink w:anchor="_Toc32733" w:history="1">
        <w:r>
          <w:rPr>
            <w:rFonts w:ascii="仿宋" w:eastAsia="仿宋" w:hAnsi="仿宋" w:cs="仿宋" w:hint="eastAsia"/>
            <w:lang w:eastAsia="zh-CN"/>
          </w:rPr>
          <w:t>(三)、内燃牵引车行业发展前景</w:t>
        </w:r>
        <w:r>
          <w:tab/>
        </w:r>
        <w:r>
          <w:fldChar w:fldCharType="begin"/>
        </w:r>
        <w:r>
          <w:instrText xml:space="preserve"> PAGEREF _Toc32733 \h </w:instrText>
        </w:r>
        <w:r>
          <w:fldChar w:fldCharType="separate"/>
        </w:r>
        <w:r>
          <w:t>7</w:t>
        </w:r>
        <w:r>
          <w:fldChar w:fldCharType="end"/>
        </w:r>
      </w:hyperlink>
    </w:p>
    <w:p>
      <w:pPr>
        <w:pStyle w:val="TOC1"/>
        <w:tabs>
          <w:tab w:val="right" w:leader="dot" w:pos="8306"/>
        </w:tabs>
      </w:pPr>
      <w:hyperlink w:anchor="_Toc12124" w:history="1">
        <w:r>
          <w:rPr>
            <w:rFonts w:ascii="仿宋" w:eastAsia="仿宋" w:hAnsi="仿宋" w:cs="仿宋" w:hint="eastAsia"/>
            <w:lang w:eastAsia="zh-CN"/>
          </w:rPr>
          <w:t>四、建筑物技术方案</w:t>
        </w:r>
        <w:r>
          <w:tab/>
        </w:r>
        <w:r>
          <w:fldChar w:fldCharType="begin"/>
        </w:r>
        <w:r>
          <w:instrText xml:space="preserve"> PAGEREF _Toc12124 \h </w:instrText>
        </w:r>
        <w:r>
          <w:fldChar w:fldCharType="separate"/>
        </w:r>
        <w:r>
          <w:t>8</w:t>
        </w:r>
        <w:r>
          <w:fldChar w:fldCharType="end"/>
        </w:r>
      </w:hyperlink>
    </w:p>
    <w:p>
      <w:pPr>
        <w:pStyle w:val="TOC2"/>
        <w:tabs>
          <w:tab w:val="right" w:leader="dot" w:pos="8306"/>
        </w:tabs>
      </w:pPr>
      <w:hyperlink w:anchor="_Toc29422" w:history="1">
        <w:r>
          <w:rPr>
            <w:rFonts w:ascii="仿宋" w:eastAsia="仿宋" w:hAnsi="仿宋" w:cs="仿宋" w:hint="eastAsia"/>
            <w:lang w:eastAsia="zh-CN"/>
          </w:rPr>
          <w:t>(一)、项目工程设计总体要求</w:t>
        </w:r>
        <w:r>
          <w:tab/>
        </w:r>
        <w:r>
          <w:fldChar w:fldCharType="begin"/>
        </w:r>
        <w:r>
          <w:instrText xml:space="preserve"> PAGEREF _Toc29422 \h </w:instrText>
        </w:r>
        <w:r>
          <w:fldChar w:fldCharType="separate"/>
        </w:r>
        <w:r>
          <w:t>8</w:t>
        </w:r>
        <w:r>
          <w:fldChar w:fldCharType="end"/>
        </w:r>
      </w:hyperlink>
    </w:p>
    <w:p>
      <w:pPr>
        <w:pStyle w:val="TOC2"/>
        <w:tabs>
          <w:tab w:val="right" w:leader="dot" w:pos="8306"/>
        </w:tabs>
      </w:pPr>
      <w:hyperlink w:anchor="_Toc8442" w:history="1">
        <w:r>
          <w:rPr>
            <w:rFonts w:ascii="仿宋" w:eastAsia="仿宋" w:hAnsi="仿宋" w:cs="仿宋" w:hint="eastAsia"/>
            <w:lang w:eastAsia="zh-CN"/>
          </w:rPr>
          <w:t>(二)、建设方案</w:t>
        </w:r>
        <w:r>
          <w:tab/>
        </w:r>
        <w:r>
          <w:fldChar w:fldCharType="begin"/>
        </w:r>
        <w:r>
          <w:instrText xml:space="preserve"> PAGEREF _Toc8442 \h </w:instrText>
        </w:r>
        <w:r>
          <w:fldChar w:fldCharType="separate"/>
        </w:r>
        <w:r>
          <w:t>9</w:t>
        </w:r>
        <w:r>
          <w:fldChar w:fldCharType="end"/>
        </w:r>
      </w:hyperlink>
    </w:p>
    <w:p>
      <w:pPr>
        <w:pStyle w:val="TOC2"/>
        <w:tabs>
          <w:tab w:val="right" w:leader="dot" w:pos="8306"/>
        </w:tabs>
      </w:pPr>
      <w:hyperlink w:anchor="_Toc8125" w:history="1">
        <w:r>
          <w:rPr>
            <w:rFonts w:ascii="仿宋" w:eastAsia="仿宋" w:hAnsi="仿宋" w:cs="仿宋" w:hint="eastAsia"/>
            <w:lang w:eastAsia="zh-CN"/>
          </w:rPr>
          <w:t>(三)、建筑工程建设指标</w:t>
        </w:r>
        <w:r>
          <w:tab/>
        </w:r>
        <w:r>
          <w:fldChar w:fldCharType="begin"/>
        </w:r>
        <w:r>
          <w:instrText xml:space="preserve"> PAGEREF _Toc8125 \h </w:instrText>
        </w:r>
        <w:r>
          <w:fldChar w:fldCharType="separate"/>
        </w:r>
        <w:r>
          <w:t>10</w:t>
        </w:r>
        <w:r>
          <w:fldChar w:fldCharType="end"/>
        </w:r>
      </w:hyperlink>
    </w:p>
    <w:p>
      <w:pPr>
        <w:pStyle w:val="TOC1"/>
        <w:tabs>
          <w:tab w:val="right" w:leader="dot" w:pos="8306"/>
        </w:tabs>
      </w:pPr>
      <w:hyperlink w:anchor="_Toc28463" w:history="1">
        <w:r>
          <w:rPr>
            <w:rFonts w:ascii="仿宋" w:eastAsia="仿宋" w:hAnsi="仿宋" w:cs="仿宋" w:hint="eastAsia"/>
            <w:lang w:eastAsia="zh-CN"/>
          </w:rPr>
          <w:t>五、SWOT分析</w:t>
        </w:r>
        <w:r>
          <w:tab/>
        </w:r>
        <w:r>
          <w:fldChar w:fldCharType="begin"/>
        </w:r>
        <w:r>
          <w:instrText xml:space="preserve"> PAGEREF _Toc28463 \h </w:instrText>
        </w:r>
        <w:r>
          <w:fldChar w:fldCharType="separate"/>
        </w:r>
        <w:r>
          <w:t>10</w:t>
        </w:r>
        <w:r>
          <w:fldChar w:fldCharType="end"/>
        </w:r>
      </w:hyperlink>
    </w:p>
    <w:p>
      <w:pPr>
        <w:pStyle w:val="TOC2"/>
        <w:tabs>
          <w:tab w:val="right" w:leader="dot" w:pos="8306"/>
        </w:tabs>
      </w:pPr>
      <w:hyperlink w:anchor="_Toc5721" w:history="1">
        <w:r>
          <w:rPr>
            <w:rFonts w:ascii="仿宋" w:eastAsia="仿宋" w:hAnsi="仿宋" w:cs="仿宋" w:hint="eastAsia"/>
            <w:lang w:eastAsia="zh-CN"/>
          </w:rPr>
          <w:t>(一)、优势分析(S)</w:t>
        </w:r>
        <w:r>
          <w:tab/>
        </w:r>
        <w:r>
          <w:fldChar w:fldCharType="begin"/>
        </w:r>
        <w:r>
          <w:instrText xml:space="preserve"> PAGEREF _Toc5721 \h </w:instrText>
        </w:r>
        <w:r>
          <w:fldChar w:fldCharType="separate"/>
        </w:r>
        <w:r>
          <w:t>10</w:t>
        </w:r>
        <w:r>
          <w:fldChar w:fldCharType="end"/>
        </w:r>
      </w:hyperlink>
    </w:p>
    <w:p>
      <w:pPr>
        <w:pStyle w:val="TOC2"/>
        <w:tabs>
          <w:tab w:val="right" w:leader="dot" w:pos="8306"/>
        </w:tabs>
      </w:pPr>
      <w:hyperlink w:anchor="_Toc27675" w:history="1">
        <w:r>
          <w:rPr>
            <w:rFonts w:ascii="仿宋" w:eastAsia="仿宋" w:hAnsi="仿宋" w:cs="仿宋" w:hint="eastAsia"/>
            <w:lang w:eastAsia="zh-CN"/>
          </w:rPr>
          <w:t>(二)、劣势分析(W)</w:t>
        </w:r>
        <w:r>
          <w:tab/>
        </w:r>
        <w:r>
          <w:fldChar w:fldCharType="begin"/>
        </w:r>
        <w:r>
          <w:instrText xml:space="preserve"> PAGEREF _Toc27675 \h </w:instrText>
        </w:r>
        <w:r>
          <w:fldChar w:fldCharType="separate"/>
        </w:r>
        <w:r>
          <w:t>11</w:t>
        </w:r>
        <w:r>
          <w:fldChar w:fldCharType="end"/>
        </w:r>
      </w:hyperlink>
    </w:p>
    <w:p>
      <w:pPr>
        <w:pStyle w:val="TOC2"/>
        <w:tabs>
          <w:tab w:val="right" w:leader="dot" w:pos="8306"/>
        </w:tabs>
      </w:pPr>
      <w:hyperlink w:anchor="_Toc1764" w:history="1">
        <w:r>
          <w:rPr>
            <w:rFonts w:ascii="仿宋" w:eastAsia="仿宋" w:hAnsi="仿宋" w:cs="仿宋" w:hint="eastAsia"/>
            <w:lang w:eastAsia="zh-CN"/>
          </w:rPr>
          <w:t>(三)、机会分析(O)</w:t>
        </w:r>
        <w:r>
          <w:tab/>
        </w:r>
        <w:r>
          <w:fldChar w:fldCharType="begin"/>
        </w:r>
        <w:r>
          <w:instrText xml:space="preserve"> PAGEREF _Toc1764 \h </w:instrText>
        </w:r>
        <w:r>
          <w:fldChar w:fldCharType="separate"/>
        </w:r>
        <w:r>
          <w:t>12</w:t>
        </w:r>
        <w:r>
          <w:fldChar w:fldCharType="end"/>
        </w:r>
      </w:hyperlink>
    </w:p>
    <w:p>
      <w:pPr>
        <w:pStyle w:val="TOC2"/>
        <w:tabs>
          <w:tab w:val="right" w:leader="dot" w:pos="8306"/>
        </w:tabs>
      </w:pPr>
      <w:hyperlink w:anchor="_Toc26129" w:history="1">
        <w:r>
          <w:rPr>
            <w:rFonts w:ascii="仿宋" w:eastAsia="仿宋" w:hAnsi="仿宋" w:cs="仿宋" w:hint="eastAsia"/>
            <w:lang w:eastAsia="zh-CN"/>
          </w:rPr>
          <w:t>(四)、威胁分析(T)</w:t>
        </w:r>
        <w:r>
          <w:tab/>
        </w:r>
        <w:r>
          <w:fldChar w:fldCharType="begin"/>
        </w:r>
        <w:r>
          <w:instrText xml:space="preserve"> PAGEREF _Toc26129 \h </w:instrText>
        </w:r>
        <w:r>
          <w:fldChar w:fldCharType="separate"/>
        </w:r>
        <w:r>
          <w:t>15</w:t>
        </w:r>
        <w:r>
          <w:fldChar w:fldCharType="end"/>
        </w:r>
      </w:hyperlink>
    </w:p>
    <w:p>
      <w:pPr>
        <w:pStyle w:val="TOC1"/>
        <w:tabs>
          <w:tab w:val="right" w:leader="dot" w:pos="8306"/>
        </w:tabs>
      </w:pPr>
      <w:hyperlink w:anchor="_Toc28383" w:history="1">
        <w:r>
          <w:rPr>
            <w:rFonts w:ascii="仿宋" w:eastAsia="仿宋" w:hAnsi="仿宋" w:cs="仿宋" w:hint="eastAsia"/>
            <w:lang w:eastAsia="zh-CN"/>
          </w:rPr>
          <w:t>六、项目进度计划</w:t>
        </w:r>
        <w:r>
          <w:tab/>
        </w:r>
        <w:r>
          <w:fldChar w:fldCharType="begin"/>
        </w:r>
        <w:r>
          <w:instrText xml:space="preserve"> PAGEREF _Toc28383 \h </w:instrText>
        </w:r>
        <w:r>
          <w:fldChar w:fldCharType="separate"/>
        </w:r>
        <w:r>
          <w:t>18</w:t>
        </w:r>
        <w:r>
          <w:fldChar w:fldCharType="end"/>
        </w:r>
      </w:hyperlink>
    </w:p>
    <w:p>
      <w:pPr>
        <w:pStyle w:val="TOC2"/>
        <w:tabs>
          <w:tab w:val="right" w:leader="dot" w:pos="8306"/>
        </w:tabs>
      </w:pPr>
      <w:hyperlink w:anchor="_Toc675" w:history="1">
        <w:r>
          <w:rPr>
            <w:rFonts w:ascii="仿宋" w:eastAsia="仿宋" w:hAnsi="仿宋" w:cs="仿宋" w:hint="eastAsia"/>
            <w:lang w:eastAsia="zh-CN"/>
          </w:rPr>
          <w:t>(一)、项目进度安排</w:t>
        </w:r>
        <w:r>
          <w:tab/>
        </w:r>
        <w:r>
          <w:fldChar w:fldCharType="begin"/>
        </w:r>
        <w:r>
          <w:instrText xml:space="preserve"> PAGEREF _Toc675 \h </w:instrText>
        </w:r>
        <w:r>
          <w:fldChar w:fldCharType="separate"/>
        </w:r>
        <w:r>
          <w:t>18</w:t>
        </w:r>
        <w:r>
          <w:fldChar w:fldCharType="end"/>
        </w:r>
      </w:hyperlink>
    </w:p>
    <w:p>
      <w:pPr>
        <w:pStyle w:val="TOC2"/>
        <w:tabs>
          <w:tab w:val="right" w:leader="dot" w:pos="8306"/>
        </w:tabs>
      </w:pPr>
      <w:hyperlink w:anchor="_Toc6466" w:history="1">
        <w:r>
          <w:rPr>
            <w:rFonts w:ascii="仿宋" w:eastAsia="仿宋" w:hAnsi="仿宋" w:cs="仿宋" w:hint="eastAsia"/>
            <w:lang w:eastAsia="zh-CN"/>
          </w:rPr>
          <w:t>(二)、项目实施保障措施</w:t>
        </w:r>
        <w:r>
          <w:tab/>
        </w:r>
        <w:r>
          <w:fldChar w:fldCharType="begin"/>
        </w:r>
        <w:r>
          <w:instrText xml:space="preserve"> PAGEREF _Toc6466 \h </w:instrText>
        </w:r>
        <w:r>
          <w:fldChar w:fldCharType="separate"/>
        </w:r>
        <w:r>
          <w:t>19</w:t>
        </w:r>
        <w:r>
          <w:fldChar w:fldCharType="end"/>
        </w:r>
      </w:hyperlink>
    </w:p>
    <w:p>
      <w:pPr>
        <w:pStyle w:val="TOC1"/>
        <w:tabs>
          <w:tab w:val="right" w:leader="dot" w:pos="8306"/>
        </w:tabs>
      </w:pPr>
      <w:hyperlink w:anchor="_Toc2643" w:history="1">
        <w:r>
          <w:rPr>
            <w:rFonts w:ascii="仿宋" w:eastAsia="仿宋" w:hAnsi="仿宋" w:cs="仿宋" w:hint="eastAsia"/>
            <w:lang w:eastAsia="zh-CN"/>
          </w:rPr>
          <w:t>七、项目风险分析及防范措施</w:t>
        </w:r>
        <w:r>
          <w:tab/>
        </w:r>
        <w:r>
          <w:fldChar w:fldCharType="begin"/>
        </w:r>
        <w:r>
          <w:instrText xml:space="preserve"> PAGEREF _Toc2643 \h </w:instrText>
        </w:r>
        <w:r>
          <w:fldChar w:fldCharType="separate"/>
        </w:r>
        <w:r>
          <w:t>21</w:t>
        </w:r>
        <w:r>
          <w:fldChar w:fldCharType="end"/>
        </w:r>
      </w:hyperlink>
    </w:p>
    <w:p>
      <w:pPr>
        <w:pStyle w:val="TOC2"/>
        <w:tabs>
          <w:tab w:val="right" w:leader="dot" w:pos="8306"/>
        </w:tabs>
      </w:pPr>
      <w:hyperlink w:anchor="_Toc22596" w:history="1">
        <w:r>
          <w:rPr>
            <w:rFonts w:ascii="仿宋" w:eastAsia="仿宋" w:hAnsi="仿宋" w:cs="仿宋" w:hint="eastAsia"/>
            <w:lang w:eastAsia="zh-CN"/>
          </w:rPr>
          <w:t>(一)、项目的要紧风险因素识别</w:t>
        </w:r>
        <w:r>
          <w:tab/>
        </w:r>
        <w:r>
          <w:fldChar w:fldCharType="begin"/>
        </w:r>
        <w:r>
          <w:instrText xml:space="preserve"> PAGEREF _Toc22596 \h </w:instrText>
        </w:r>
        <w:r>
          <w:fldChar w:fldCharType="separate"/>
        </w:r>
        <w:r>
          <w:t>21</w:t>
        </w:r>
        <w:r>
          <w:fldChar w:fldCharType="end"/>
        </w:r>
      </w:hyperlink>
    </w:p>
    <w:p>
      <w:pPr>
        <w:pStyle w:val="TOC2"/>
        <w:tabs>
          <w:tab w:val="right" w:leader="dot" w:pos="8306"/>
        </w:tabs>
      </w:pPr>
      <w:hyperlink w:anchor="_Toc2874" w:history="1">
        <w:r>
          <w:rPr>
            <w:rFonts w:ascii="仿宋" w:eastAsia="仿宋" w:hAnsi="仿宋" w:cs="仿宋" w:hint="eastAsia"/>
            <w:lang w:eastAsia="zh-CN"/>
          </w:rPr>
          <w:t>(二)、风险程度分析</w:t>
        </w:r>
        <w:r>
          <w:tab/>
        </w:r>
        <w:r>
          <w:fldChar w:fldCharType="begin"/>
        </w:r>
        <w:r>
          <w:instrText xml:space="preserve"> PAGEREF _Toc2874 \h </w:instrText>
        </w:r>
        <w:r>
          <w:fldChar w:fldCharType="separate"/>
        </w:r>
        <w:r>
          <w:t>22</w:t>
        </w:r>
        <w:r>
          <w:fldChar w:fldCharType="end"/>
        </w:r>
      </w:hyperlink>
    </w:p>
    <w:p>
      <w:pPr>
        <w:pStyle w:val="TOC2"/>
        <w:tabs>
          <w:tab w:val="right" w:leader="dot" w:pos="8306"/>
        </w:tabs>
      </w:pPr>
      <w:hyperlink w:anchor="_Toc23404" w:history="1">
        <w:r>
          <w:rPr>
            <w:rFonts w:ascii="仿宋" w:eastAsia="仿宋" w:hAnsi="仿宋" w:cs="仿宋" w:hint="eastAsia"/>
            <w:lang w:eastAsia="zh-CN"/>
          </w:rPr>
          <w:t>(三)、防范与降低风险的计策</w:t>
        </w:r>
        <w:r>
          <w:tab/>
        </w:r>
        <w:r>
          <w:fldChar w:fldCharType="begin"/>
        </w:r>
        <w:r>
          <w:instrText xml:space="preserve"> PAGEREF _Toc23404 \h </w:instrText>
        </w:r>
        <w:r>
          <w:fldChar w:fldCharType="separate"/>
        </w:r>
        <w:r>
          <w:t>23</w:t>
        </w:r>
        <w:r>
          <w:fldChar w:fldCharType="end"/>
        </w:r>
      </w:hyperlink>
    </w:p>
    <w:p>
      <w:pPr>
        <w:pStyle w:val="TOC1"/>
        <w:tabs>
          <w:tab w:val="right" w:leader="dot" w:pos="8306"/>
        </w:tabs>
      </w:pPr>
      <w:hyperlink w:anchor="_Toc12614" w:history="1">
        <w:r>
          <w:rPr>
            <w:rFonts w:ascii="仿宋" w:eastAsia="仿宋" w:hAnsi="仿宋" w:cs="仿宋" w:hint="eastAsia"/>
            <w:lang w:eastAsia="zh-CN"/>
          </w:rPr>
          <w:t>八、投资估算</w:t>
        </w:r>
        <w:r>
          <w:tab/>
        </w:r>
        <w:r>
          <w:fldChar w:fldCharType="begin"/>
        </w:r>
        <w:r>
          <w:instrText xml:space="preserve"> PAGEREF _Toc12614 \h </w:instrText>
        </w:r>
        <w:r>
          <w:fldChar w:fldCharType="separate"/>
        </w:r>
        <w:r>
          <w:t>25</w:t>
        </w:r>
        <w:r>
          <w:fldChar w:fldCharType="end"/>
        </w:r>
      </w:hyperlink>
    </w:p>
    <w:p>
      <w:pPr>
        <w:pStyle w:val="TOC2"/>
        <w:tabs>
          <w:tab w:val="right" w:leader="dot" w:pos="8306"/>
        </w:tabs>
      </w:pPr>
      <w:hyperlink w:anchor="_Toc5970" w:history="1">
        <w:r>
          <w:rPr>
            <w:rFonts w:ascii="仿宋" w:eastAsia="仿宋" w:hAnsi="仿宋" w:cs="仿宋" w:hint="eastAsia"/>
            <w:lang w:eastAsia="zh-CN"/>
          </w:rPr>
          <w:t>(一)、投资估算的依据和说明</w:t>
        </w:r>
        <w:r>
          <w:tab/>
        </w:r>
        <w:r>
          <w:fldChar w:fldCharType="begin"/>
        </w:r>
        <w:r>
          <w:instrText xml:space="preserve"> PAGEREF _Toc5970 \h </w:instrText>
        </w:r>
        <w:r>
          <w:fldChar w:fldCharType="separate"/>
        </w:r>
        <w:r>
          <w:t>25</w:t>
        </w:r>
        <w:r>
          <w:fldChar w:fldCharType="end"/>
        </w:r>
      </w:hyperlink>
    </w:p>
    <w:p>
      <w:pPr>
        <w:pStyle w:val="TOC2"/>
        <w:tabs>
          <w:tab w:val="right" w:leader="dot" w:pos="8306"/>
        </w:tabs>
      </w:pPr>
      <w:hyperlink w:anchor="_Toc15761" w:history="1">
        <w:r>
          <w:rPr>
            <w:rFonts w:ascii="仿宋" w:eastAsia="仿宋" w:hAnsi="仿宋" w:cs="仿宋" w:hint="eastAsia"/>
            <w:lang w:eastAsia="zh-CN"/>
          </w:rPr>
          <w:t>(二)、建设投资估算</w:t>
        </w:r>
        <w:r>
          <w:tab/>
        </w:r>
        <w:r>
          <w:fldChar w:fldCharType="begin"/>
        </w:r>
        <w:r>
          <w:instrText xml:space="preserve"> PAGEREF _Toc15761 \h </w:instrText>
        </w:r>
        <w:r>
          <w:fldChar w:fldCharType="separate"/>
        </w:r>
        <w:r>
          <w:t>26</w:t>
        </w:r>
        <w:r>
          <w:fldChar w:fldCharType="end"/>
        </w:r>
      </w:hyperlink>
    </w:p>
    <w:p>
      <w:pPr>
        <w:pStyle w:val="TOC2"/>
        <w:tabs>
          <w:tab w:val="right" w:leader="dot" w:pos="8306"/>
        </w:tabs>
      </w:pPr>
      <w:hyperlink w:anchor="_Toc21534" w:history="1">
        <w:r>
          <w:rPr>
            <w:rFonts w:ascii="仿宋" w:eastAsia="仿宋" w:hAnsi="仿宋" w:cs="仿宋" w:hint="eastAsia"/>
            <w:lang w:eastAsia="zh-CN"/>
          </w:rPr>
          <w:t>(三)、建设期利息</w:t>
        </w:r>
        <w:r>
          <w:tab/>
        </w:r>
        <w:r>
          <w:fldChar w:fldCharType="begin"/>
        </w:r>
        <w:r>
          <w:instrText xml:space="preserve"> PAGEREF _Toc21534 \h </w:instrText>
        </w:r>
        <w:r>
          <w:fldChar w:fldCharType="separate"/>
        </w:r>
        <w:r>
          <w:t>29</w:t>
        </w:r>
        <w:r>
          <w:fldChar w:fldCharType="end"/>
        </w:r>
      </w:hyperlink>
    </w:p>
    <w:p>
      <w:pPr>
        <w:pStyle w:val="TOC2"/>
        <w:tabs>
          <w:tab w:val="right" w:leader="dot" w:pos="8306"/>
        </w:tabs>
      </w:pPr>
      <w:hyperlink w:anchor="_Toc32072" w:history="1">
        <w:r>
          <w:rPr>
            <w:rFonts w:ascii="仿宋" w:eastAsia="仿宋" w:hAnsi="仿宋" w:cs="仿宋" w:hint="eastAsia"/>
            <w:lang w:eastAsia="zh-CN"/>
          </w:rPr>
          <w:t>(四)、流动资金</w:t>
        </w:r>
        <w:r>
          <w:tab/>
        </w:r>
        <w:r>
          <w:fldChar w:fldCharType="begin"/>
        </w:r>
        <w:r>
          <w:instrText xml:space="preserve"> PAGEREF _Toc32072 \h </w:instrText>
        </w:r>
        <w:r>
          <w:fldChar w:fldCharType="separate"/>
        </w:r>
        <w:r>
          <w:t>29</w:t>
        </w:r>
        <w:r>
          <w:fldChar w:fldCharType="end"/>
        </w:r>
      </w:hyperlink>
    </w:p>
    <w:p>
      <w:pPr>
        <w:pStyle w:val="TOC2"/>
        <w:tabs>
          <w:tab w:val="right" w:leader="dot" w:pos="8306"/>
        </w:tabs>
      </w:pPr>
      <w:hyperlink w:anchor="_Toc24905" w:history="1">
        <w:r>
          <w:rPr>
            <w:rFonts w:ascii="仿宋" w:eastAsia="仿宋" w:hAnsi="仿宋" w:cs="仿宋" w:hint="eastAsia"/>
            <w:lang w:eastAsia="zh-CN"/>
          </w:rPr>
          <w:t>(五)、总投资</w:t>
        </w:r>
        <w:r>
          <w:tab/>
        </w:r>
        <w:r>
          <w:fldChar w:fldCharType="begin"/>
        </w:r>
        <w:r>
          <w:instrText xml:space="preserve"> PAGEREF _Toc24905 \h </w:instrText>
        </w:r>
        <w:r>
          <w:fldChar w:fldCharType="separate"/>
        </w:r>
        <w:r>
          <w:t>30</w:t>
        </w:r>
        <w:r>
          <w:fldChar w:fldCharType="end"/>
        </w:r>
      </w:hyperlink>
    </w:p>
    <w:p>
      <w:pPr>
        <w:pStyle w:val="TOC2"/>
        <w:tabs>
          <w:tab w:val="right" w:leader="dot" w:pos="8306"/>
        </w:tabs>
      </w:pPr>
      <w:hyperlink w:anchor="_Toc25850" w:history="1">
        <w:r>
          <w:rPr>
            <w:rFonts w:ascii="仿宋" w:eastAsia="仿宋" w:hAnsi="仿宋" w:cs="仿宋" w:hint="eastAsia"/>
            <w:lang w:eastAsia="zh-CN"/>
          </w:rPr>
          <w:t>(六)、资金筹措与投资计划</w:t>
        </w:r>
        <w:r>
          <w:tab/>
        </w:r>
        <w:r>
          <w:fldChar w:fldCharType="begin"/>
        </w:r>
        <w:r>
          <w:instrText xml:space="preserve"> PAGEREF _Toc25850 \h </w:instrText>
        </w:r>
        <w:r>
          <w:fldChar w:fldCharType="separate"/>
        </w:r>
        <w:r>
          <w:t>30</w:t>
        </w:r>
        <w:r>
          <w:fldChar w:fldCharType="end"/>
        </w:r>
      </w:hyperlink>
    </w:p>
    <w:p>
      <w:pPr>
        <w:pStyle w:val="TOC1"/>
        <w:tabs>
          <w:tab w:val="right" w:leader="dot" w:pos="8306"/>
        </w:tabs>
      </w:pPr>
      <w:hyperlink w:anchor="_Toc8244" w:history="1">
        <w:r>
          <w:rPr>
            <w:rFonts w:ascii="仿宋" w:eastAsia="仿宋" w:hAnsi="仿宋" w:cs="仿宋" w:hint="eastAsia"/>
            <w:lang w:eastAsia="zh-CN"/>
          </w:rPr>
          <w:t>九、法规合规与审计</w:t>
        </w:r>
        <w:r>
          <w:tab/>
        </w:r>
        <w:r>
          <w:fldChar w:fldCharType="begin"/>
        </w:r>
        <w:r>
          <w:instrText xml:space="preserve"> PAGEREF _Toc8244 \h </w:instrText>
        </w:r>
        <w:r>
          <w:fldChar w:fldCharType="separate"/>
        </w:r>
        <w:r>
          <w:t>30</w:t>
        </w:r>
        <w:r>
          <w:fldChar w:fldCharType="end"/>
        </w:r>
      </w:hyperlink>
    </w:p>
    <w:p>
      <w:pPr>
        <w:pStyle w:val="TOC2"/>
        <w:tabs>
          <w:tab w:val="right" w:leader="dot" w:pos="8306"/>
        </w:tabs>
      </w:pPr>
      <w:hyperlink w:anchor="_Toc23379" w:history="1">
        <w:r>
          <w:rPr>
            <w:rFonts w:ascii="仿宋" w:eastAsia="仿宋" w:hAnsi="仿宋" w:cs="仿宋" w:hint="eastAsia"/>
            <w:lang w:eastAsia="zh-CN"/>
          </w:rPr>
          <w:t>(一)、法规遵从与合规性</w:t>
        </w:r>
        <w:r>
          <w:tab/>
        </w:r>
        <w:r>
          <w:fldChar w:fldCharType="begin"/>
        </w:r>
        <w:r>
          <w:instrText xml:space="preserve"> PAGEREF _Toc23379 \h </w:instrText>
        </w:r>
        <w:r>
          <w:fldChar w:fldCharType="separate"/>
        </w:r>
        <w:r>
          <w:t>30</w:t>
        </w:r>
        <w:r>
          <w:fldChar w:fldCharType="end"/>
        </w:r>
      </w:hyperlink>
    </w:p>
    <w:p>
      <w:pPr>
        <w:pStyle w:val="TOC2"/>
        <w:tabs>
          <w:tab w:val="right" w:leader="dot" w:pos="8306"/>
        </w:tabs>
      </w:pPr>
      <w:hyperlink w:anchor="_Toc25731" w:history="1">
        <w:r>
          <w:rPr>
            <w:rFonts w:ascii="仿宋" w:eastAsia="仿宋" w:hAnsi="仿宋" w:cs="仿宋" w:hint="eastAsia"/>
            <w:lang w:eastAsia="zh-CN"/>
          </w:rPr>
          <w:t>(二)、内部审计计划</w:t>
        </w:r>
        <w:r>
          <w:tab/>
        </w:r>
        <w:r>
          <w:fldChar w:fldCharType="begin"/>
        </w:r>
        <w:r>
          <w:instrText xml:space="preserve"> PAGEREF _Toc25731 \h </w:instrText>
        </w:r>
        <w:r>
          <w:fldChar w:fldCharType="separate"/>
        </w:r>
        <w:r>
          <w:t>31</w:t>
        </w:r>
        <w:r>
          <w:fldChar w:fldCharType="end"/>
        </w:r>
      </w:hyperlink>
    </w:p>
    <w:p>
      <w:pPr>
        <w:pStyle w:val="TOC2"/>
        <w:tabs>
          <w:tab w:val="right" w:leader="dot" w:pos="8306"/>
        </w:tabs>
      </w:pPr>
      <w:hyperlink w:anchor="_Toc22139" w:history="1">
        <w:r>
          <w:rPr>
            <w:rFonts w:ascii="仿宋" w:eastAsia="仿宋" w:hAnsi="仿宋" w:cs="仿宋" w:hint="eastAsia"/>
            <w:lang w:eastAsia="zh-CN"/>
          </w:rPr>
          <w:t>(三)、外部审计准备</w:t>
        </w:r>
        <w:r>
          <w:tab/>
        </w:r>
        <w:r>
          <w:fldChar w:fldCharType="begin"/>
        </w:r>
        <w:r>
          <w:instrText xml:space="preserve"> PAGEREF _Toc22139 \h </w:instrText>
        </w:r>
        <w:r>
          <w:fldChar w:fldCharType="separate"/>
        </w:r>
        <w:r>
          <w:t>32</w:t>
        </w:r>
        <w:r>
          <w:fldChar w:fldCharType="end"/>
        </w:r>
      </w:hyperlink>
    </w:p>
    <w:p>
      <w:pPr>
        <w:pStyle w:val="TOC2"/>
        <w:tabs>
          <w:tab w:val="right" w:leader="dot" w:pos="8306"/>
        </w:tabs>
      </w:pPr>
      <w:hyperlink w:anchor="_Toc24684" w:history="1">
        <w:r>
          <w:rPr>
            <w:rFonts w:ascii="仿宋" w:eastAsia="仿宋" w:hAnsi="仿宋" w:cs="仿宋" w:hint="eastAsia"/>
            <w:lang w:eastAsia="zh-CN"/>
          </w:rPr>
          <w:t>(四)、审计结果整改</w:t>
        </w:r>
        <w:r>
          <w:tab/>
        </w:r>
        <w:r>
          <w:fldChar w:fldCharType="begin"/>
        </w:r>
        <w:r>
          <w:instrText xml:space="preserve"> PAGEREF _Toc24684 \h </w:instrText>
        </w:r>
        <w:r>
          <w:fldChar w:fldCharType="separate"/>
        </w:r>
        <w:r>
          <w:t>32</w:t>
        </w:r>
        <w:r>
          <w:fldChar w:fldCharType="end"/>
        </w:r>
      </w:hyperlink>
    </w:p>
    <w:p>
      <w:pPr>
        <w:pStyle w:val="TOC1"/>
        <w:tabs>
          <w:tab w:val="right" w:leader="dot" w:pos="8306"/>
        </w:tabs>
      </w:pPr>
      <w:hyperlink w:anchor="_Toc18876" w:history="1">
        <w:r>
          <w:rPr>
            <w:rFonts w:ascii="仿宋" w:eastAsia="仿宋" w:hAnsi="仿宋" w:cs="仿宋" w:hint="eastAsia"/>
            <w:lang w:eastAsia="zh-CN"/>
          </w:rPr>
          <w:t>十、环境可持续性管理</w:t>
        </w:r>
        <w:r>
          <w:tab/>
        </w:r>
        <w:r>
          <w:fldChar w:fldCharType="begin"/>
        </w:r>
        <w:r>
          <w:instrText xml:space="preserve"> PAGEREF _Toc18876 \h </w:instrText>
        </w:r>
        <w:r>
          <w:fldChar w:fldCharType="separate"/>
        </w:r>
        <w:r>
          <w:t>32</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7492" w:history="1">
        <w:r>
          <w:rPr>
            <w:rFonts w:ascii="仿宋" w:eastAsia="仿宋" w:hAnsi="仿宋" w:cs="仿宋" w:hint="eastAsia"/>
            <w:lang w:eastAsia="zh-CN"/>
          </w:rPr>
          <w:t>(一)、环境友好型生产策略</w:t>
        </w:r>
        <w:r>
          <w:tab/>
        </w:r>
        <w:r>
          <w:fldChar w:fldCharType="begin"/>
        </w:r>
        <w:r>
          <w:instrText xml:space="preserve"> PAGEREF _Toc17492 \h </w:instrText>
        </w:r>
        <w:r>
          <w:fldChar w:fldCharType="separate"/>
        </w:r>
        <w:r>
          <w:t>32</w:t>
        </w:r>
        <w:r>
          <w:fldChar w:fldCharType="end"/>
        </w:r>
      </w:hyperlink>
    </w:p>
    <w:p>
      <w:pPr>
        <w:pStyle w:val="TOC2"/>
        <w:tabs>
          <w:tab w:val="right" w:leader="dot" w:pos="8306"/>
        </w:tabs>
      </w:pPr>
      <w:hyperlink w:anchor="_Toc3361" w:history="1">
        <w:r>
          <w:rPr>
            <w:rFonts w:ascii="仿宋" w:eastAsia="仿宋" w:hAnsi="仿宋" w:cs="仿宋" w:hint="eastAsia"/>
            <w:lang w:eastAsia="zh-CN"/>
          </w:rPr>
          <w:t>(二)、绿色供应链管理</w:t>
        </w:r>
        <w:r>
          <w:tab/>
        </w:r>
        <w:r>
          <w:fldChar w:fldCharType="begin"/>
        </w:r>
        <w:r>
          <w:instrText xml:space="preserve"> PAGEREF _Toc3361 \h </w:instrText>
        </w:r>
        <w:r>
          <w:fldChar w:fldCharType="separate"/>
        </w:r>
        <w:r>
          <w:t>33</w:t>
        </w:r>
        <w:r>
          <w:fldChar w:fldCharType="end"/>
        </w:r>
      </w:hyperlink>
    </w:p>
    <w:p>
      <w:pPr>
        <w:pStyle w:val="TOC2"/>
        <w:tabs>
          <w:tab w:val="right" w:leader="dot" w:pos="8306"/>
        </w:tabs>
      </w:pPr>
      <w:hyperlink w:anchor="_Toc13420" w:history="1">
        <w:r>
          <w:rPr>
            <w:rFonts w:ascii="仿宋" w:eastAsia="仿宋" w:hAnsi="仿宋" w:cs="仿宋" w:hint="eastAsia"/>
            <w:lang w:eastAsia="zh-CN"/>
          </w:rPr>
          <w:t>(三)、能源与资源节约计划</w:t>
        </w:r>
        <w:r>
          <w:tab/>
        </w:r>
        <w:r>
          <w:fldChar w:fldCharType="begin"/>
        </w:r>
        <w:r>
          <w:instrText xml:space="preserve"> PAGEREF _Toc13420 \h </w:instrText>
        </w:r>
        <w:r>
          <w:fldChar w:fldCharType="separate"/>
        </w:r>
        <w:r>
          <w:t>34</w:t>
        </w:r>
        <w:r>
          <w:fldChar w:fldCharType="end"/>
        </w:r>
      </w:hyperlink>
    </w:p>
    <w:p>
      <w:pPr>
        <w:pStyle w:val="TOC2"/>
        <w:tabs>
          <w:tab w:val="right" w:leader="dot" w:pos="8306"/>
        </w:tabs>
      </w:pPr>
      <w:hyperlink w:anchor="_Toc30497" w:history="1">
        <w:r>
          <w:rPr>
            <w:rFonts w:ascii="仿宋" w:eastAsia="仿宋" w:hAnsi="仿宋" w:cs="仿宋" w:hint="eastAsia"/>
            <w:lang w:eastAsia="zh-CN"/>
          </w:rPr>
          <w:t>(四)、企业社会责任履行</w:t>
        </w:r>
        <w:r>
          <w:tab/>
        </w:r>
        <w:r>
          <w:fldChar w:fldCharType="begin"/>
        </w:r>
        <w:r>
          <w:instrText xml:space="preserve"> PAGEREF _Toc30497 \h </w:instrText>
        </w:r>
        <w:r>
          <w:fldChar w:fldCharType="separate"/>
        </w:r>
        <w:r>
          <w:t>35</w:t>
        </w:r>
        <w:r>
          <w:fldChar w:fldCharType="end"/>
        </w:r>
      </w:hyperlink>
    </w:p>
    <w:p>
      <w:pPr>
        <w:pStyle w:val="TOC1"/>
        <w:tabs>
          <w:tab w:val="right" w:leader="dot" w:pos="8306"/>
        </w:tabs>
      </w:pPr>
      <w:hyperlink w:anchor="_Toc3124" w:history="1">
        <w:r>
          <w:rPr>
            <w:rFonts w:ascii="仿宋" w:eastAsia="仿宋" w:hAnsi="仿宋" w:cs="仿宋" w:hint="eastAsia"/>
            <w:lang w:eastAsia="zh-CN"/>
          </w:rPr>
          <w:t>十一、应急管理与安全防护</w:t>
        </w:r>
        <w:r>
          <w:tab/>
        </w:r>
        <w:r>
          <w:fldChar w:fldCharType="begin"/>
        </w:r>
        <w:r>
          <w:instrText xml:space="preserve"> PAGEREF _Toc3124 \h </w:instrText>
        </w:r>
        <w:r>
          <w:fldChar w:fldCharType="separate"/>
        </w:r>
        <w:r>
          <w:t>36</w:t>
        </w:r>
        <w:r>
          <w:fldChar w:fldCharType="end"/>
        </w:r>
      </w:hyperlink>
    </w:p>
    <w:p>
      <w:pPr>
        <w:pStyle w:val="TOC2"/>
        <w:tabs>
          <w:tab w:val="right" w:leader="dot" w:pos="8306"/>
        </w:tabs>
      </w:pPr>
      <w:hyperlink w:anchor="_Toc24727" w:history="1">
        <w:r>
          <w:rPr>
            <w:rFonts w:ascii="仿宋" w:eastAsia="仿宋" w:hAnsi="仿宋" w:cs="仿宋" w:hint="eastAsia"/>
            <w:lang w:eastAsia="zh-CN"/>
          </w:rPr>
          <w:t>(一)、应急管理计划</w:t>
        </w:r>
        <w:r>
          <w:tab/>
        </w:r>
        <w:r>
          <w:fldChar w:fldCharType="begin"/>
        </w:r>
        <w:r>
          <w:instrText xml:space="preserve"> PAGEREF _Toc24727 \h </w:instrText>
        </w:r>
        <w:r>
          <w:fldChar w:fldCharType="separate"/>
        </w:r>
        <w:r>
          <w:t>36</w:t>
        </w:r>
        <w:r>
          <w:fldChar w:fldCharType="end"/>
        </w:r>
      </w:hyperlink>
    </w:p>
    <w:p>
      <w:pPr>
        <w:pStyle w:val="TOC2"/>
        <w:tabs>
          <w:tab w:val="right" w:leader="dot" w:pos="8306"/>
        </w:tabs>
      </w:pPr>
      <w:hyperlink w:anchor="_Toc26375" w:history="1">
        <w:r>
          <w:rPr>
            <w:rFonts w:ascii="仿宋" w:eastAsia="仿宋" w:hAnsi="仿宋" w:cs="仿宋" w:hint="eastAsia"/>
            <w:lang w:eastAsia="zh-CN"/>
          </w:rPr>
          <w:t>(二)、安全防护措施</w:t>
        </w:r>
        <w:r>
          <w:tab/>
        </w:r>
        <w:r>
          <w:fldChar w:fldCharType="begin"/>
        </w:r>
        <w:r>
          <w:instrText xml:space="preserve"> PAGEREF _Toc26375 \h </w:instrText>
        </w:r>
        <w:r>
          <w:fldChar w:fldCharType="separate"/>
        </w:r>
        <w:r>
          <w:t>38</w:t>
        </w:r>
        <w:r>
          <w:fldChar w:fldCharType="end"/>
        </w:r>
      </w:hyperlink>
    </w:p>
    <w:p>
      <w:pPr>
        <w:pStyle w:val="TOC2"/>
        <w:tabs>
          <w:tab w:val="right" w:leader="dot" w:pos="8306"/>
        </w:tabs>
      </w:pPr>
      <w:hyperlink w:anchor="_Toc19869" w:history="1">
        <w:r>
          <w:rPr>
            <w:rFonts w:ascii="仿宋" w:eastAsia="仿宋" w:hAnsi="仿宋" w:cs="仿宋" w:hint="eastAsia"/>
            <w:lang w:eastAsia="zh-CN"/>
          </w:rPr>
          <w:t>(三)、危险化学品管理</w:t>
        </w:r>
        <w:r>
          <w:tab/>
        </w:r>
        <w:r>
          <w:fldChar w:fldCharType="begin"/>
        </w:r>
        <w:r>
          <w:instrText xml:space="preserve"> PAGEREF _Toc19869 \h </w:instrText>
        </w:r>
        <w:r>
          <w:fldChar w:fldCharType="separate"/>
        </w:r>
        <w:r>
          <w:t>39</w:t>
        </w:r>
        <w:r>
          <w:fldChar w:fldCharType="end"/>
        </w:r>
      </w:hyperlink>
    </w:p>
    <w:p>
      <w:pPr>
        <w:pStyle w:val="TOC1"/>
        <w:tabs>
          <w:tab w:val="right" w:leader="dot" w:pos="8306"/>
        </w:tabs>
      </w:pPr>
      <w:hyperlink w:anchor="_Toc24096" w:history="1">
        <w:r>
          <w:rPr>
            <w:rFonts w:ascii="仿宋" w:eastAsia="仿宋" w:hAnsi="仿宋" w:cs="仿宋" w:hint="eastAsia"/>
            <w:lang w:eastAsia="zh-CN"/>
          </w:rPr>
          <w:t>十二、合同与法务管理</w:t>
        </w:r>
        <w:r>
          <w:tab/>
        </w:r>
        <w:r>
          <w:fldChar w:fldCharType="begin"/>
        </w:r>
        <w:r>
          <w:instrText xml:space="preserve"> PAGEREF _Toc24096 \h </w:instrText>
        </w:r>
        <w:r>
          <w:fldChar w:fldCharType="separate"/>
        </w:r>
        <w:r>
          <w:t>40</w:t>
        </w:r>
        <w:r>
          <w:fldChar w:fldCharType="end"/>
        </w:r>
      </w:hyperlink>
    </w:p>
    <w:p>
      <w:pPr>
        <w:pStyle w:val="TOC2"/>
        <w:tabs>
          <w:tab w:val="right" w:leader="dot" w:pos="8306"/>
        </w:tabs>
      </w:pPr>
      <w:hyperlink w:anchor="_Toc2551" w:history="1">
        <w:r>
          <w:rPr>
            <w:rFonts w:ascii="仿宋" w:eastAsia="仿宋" w:hAnsi="仿宋" w:cs="仿宋" w:hint="eastAsia"/>
            <w:lang w:eastAsia="zh-CN"/>
          </w:rPr>
          <w:t>(一)、合同管理</w:t>
        </w:r>
        <w:r>
          <w:tab/>
        </w:r>
        <w:r>
          <w:fldChar w:fldCharType="begin"/>
        </w:r>
        <w:r>
          <w:instrText xml:space="preserve"> PAGEREF _Toc2551 \h </w:instrText>
        </w:r>
        <w:r>
          <w:fldChar w:fldCharType="separate"/>
        </w:r>
        <w:r>
          <w:t>40</w:t>
        </w:r>
        <w:r>
          <w:fldChar w:fldCharType="end"/>
        </w:r>
      </w:hyperlink>
    </w:p>
    <w:p>
      <w:pPr>
        <w:pStyle w:val="TOC2"/>
        <w:tabs>
          <w:tab w:val="right" w:leader="dot" w:pos="8306"/>
        </w:tabs>
      </w:pPr>
      <w:hyperlink w:anchor="_Toc12220" w:history="1">
        <w:r>
          <w:rPr>
            <w:rFonts w:ascii="仿宋" w:eastAsia="仿宋" w:hAnsi="仿宋" w:cs="仿宋" w:hint="eastAsia"/>
            <w:lang w:eastAsia="zh-CN"/>
          </w:rPr>
          <w:t>(二)、法务风险分析</w:t>
        </w:r>
        <w:r>
          <w:tab/>
        </w:r>
        <w:r>
          <w:fldChar w:fldCharType="begin"/>
        </w:r>
        <w:r>
          <w:instrText xml:space="preserve"> PAGEREF _Toc12220 \h </w:instrText>
        </w:r>
        <w:r>
          <w:fldChar w:fldCharType="separate"/>
        </w:r>
        <w:r>
          <w:t>41</w:t>
        </w:r>
        <w:r>
          <w:fldChar w:fldCharType="end"/>
        </w:r>
      </w:hyperlink>
    </w:p>
    <w:p>
      <w:pPr>
        <w:pStyle w:val="TOC2"/>
        <w:tabs>
          <w:tab w:val="right" w:leader="dot" w:pos="8306"/>
        </w:tabs>
      </w:pPr>
      <w:hyperlink w:anchor="_Toc15933" w:history="1">
        <w:r>
          <w:rPr>
            <w:rFonts w:ascii="仿宋" w:eastAsia="仿宋" w:hAnsi="仿宋" w:cs="仿宋" w:hint="eastAsia"/>
            <w:lang w:eastAsia="zh-CN"/>
          </w:rPr>
          <w:t>(三)、合同纠纷解决机制</w:t>
        </w:r>
        <w:r>
          <w:tab/>
        </w:r>
        <w:r>
          <w:fldChar w:fldCharType="begin"/>
        </w:r>
        <w:r>
          <w:instrText xml:space="preserve"> PAGEREF _Toc15933 \h </w:instrText>
        </w:r>
        <w:r>
          <w:fldChar w:fldCharType="separate"/>
        </w:r>
        <w:r>
          <w:t>42</w:t>
        </w:r>
        <w:r>
          <w:fldChar w:fldCharType="end"/>
        </w:r>
      </w:hyperlink>
    </w:p>
    <w:p>
      <w:pPr>
        <w:pStyle w:val="TOC1"/>
        <w:tabs>
          <w:tab w:val="right" w:leader="dot" w:pos="8306"/>
        </w:tabs>
      </w:pPr>
      <w:hyperlink w:anchor="_Toc24637" w:history="1">
        <w:r>
          <w:rPr>
            <w:rFonts w:ascii="仿宋" w:eastAsia="仿宋" w:hAnsi="仿宋" w:cs="仿宋" w:hint="eastAsia"/>
            <w:lang w:eastAsia="zh-CN"/>
          </w:rPr>
          <w:t>十三、项目验收与收尾工作</w:t>
        </w:r>
        <w:r>
          <w:tab/>
        </w:r>
        <w:r>
          <w:fldChar w:fldCharType="begin"/>
        </w:r>
        <w:r>
          <w:instrText xml:space="preserve"> PAGEREF _Toc24637 \h </w:instrText>
        </w:r>
        <w:r>
          <w:fldChar w:fldCharType="separate"/>
        </w:r>
        <w:r>
          <w:t>43</w:t>
        </w:r>
        <w:r>
          <w:fldChar w:fldCharType="end"/>
        </w:r>
      </w:hyperlink>
    </w:p>
    <w:p>
      <w:pPr>
        <w:pStyle w:val="TOC2"/>
        <w:tabs>
          <w:tab w:val="right" w:leader="dot" w:pos="8306"/>
        </w:tabs>
      </w:pPr>
      <w:hyperlink w:anchor="_Toc27360" w:history="1">
        <w:r>
          <w:rPr>
            <w:rFonts w:ascii="仿宋" w:eastAsia="仿宋" w:hAnsi="仿宋" w:cs="仿宋" w:hint="eastAsia"/>
            <w:lang w:eastAsia="zh-CN"/>
          </w:rPr>
          <w:t>(一)、项目竣工验收</w:t>
        </w:r>
        <w:r>
          <w:tab/>
        </w:r>
        <w:r>
          <w:fldChar w:fldCharType="begin"/>
        </w:r>
        <w:r>
          <w:instrText xml:space="preserve"> PAGEREF _Toc27360 \h </w:instrText>
        </w:r>
        <w:r>
          <w:fldChar w:fldCharType="separate"/>
        </w:r>
        <w:r>
          <w:t>43</w:t>
        </w:r>
        <w:r>
          <w:fldChar w:fldCharType="end"/>
        </w:r>
      </w:hyperlink>
    </w:p>
    <w:p>
      <w:pPr>
        <w:pStyle w:val="TOC2"/>
        <w:tabs>
          <w:tab w:val="right" w:leader="dot" w:pos="8306"/>
        </w:tabs>
      </w:pPr>
      <w:hyperlink w:anchor="_Toc11647" w:history="1">
        <w:r>
          <w:rPr>
            <w:rFonts w:ascii="仿宋" w:eastAsia="仿宋" w:hAnsi="仿宋" w:cs="仿宋" w:hint="eastAsia"/>
            <w:lang w:eastAsia="zh-CN"/>
          </w:rPr>
          <w:t>(二)、收尾工作计划</w:t>
        </w:r>
        <w:r>
          <w:tab/>
        </w:r>
        <w:r>
          <w:fldChar w:fldCharType="begin"/>
        </w:r>
        <w:r>
          <w:instrText xml:space="preserve"> PAGEREF _Toc11647 \h </w:instrText>
        </w:r>
        <w:r>
          <w:fldChar w:fldCharType="separate"/>
        </w:r>
        <w:r>
          <w:t>44</w:t>
        </w:r>
        <w:r>
          <w:fldChar w:fldCharType="end"/>
        </w:r>
      </w:hyperlink>
    </w:p>
    <w:p>
      <w:pPr>
        <w:pStyle w:val="TOC2"/>
        <w:tabs>
          <w:tab w:val="right" w:leader="dot" w:pos="8306"/>
        </w:tabs>
      </w:pPr>
      <w:hyperlink w:anchor="_Toc24760" w:history="1">
        <w:r>
          <w:rPr>
            <w:rFonts w:ascii="仿宋" w:eastAsia="仿宋" w:hAnsi="仿宋" w:cs="仿宋" w:hint="eastAsia"/>
            <w:lang w:eastAsia="zh-CN"/>
          </w:rPr>
          <w:t>(三)、移交与运营</w:t>
        </w:r>
        <w:r>
          <w:tab/>
        </w:r>
        <w:r>
          <w:fldChar w:fldCharType="begin"/>
        </w:r>
        <w:r>
          <w:instrText xml:space="preserve"> PAGEREF _Toc24760 \h </w:instrText>
        </w:r>
        <w:r>
          <w:fldChar w:fldCharType="separate"/>
        </w:r>
        <w:r>
          <w:t>45</w:t>
        </w:r>
        <w:r>
          <w:fldChar w:fldCharType="end"/>
        </w:r>
      </w:hyperlink>
    </w:p>
    <w:p>
      <w:pPr>
        <w:pStyle w:val="TOC1"/>
        <w:tabs>
          <w:tab w:val="right" w:leader="dot" w:pos="8306"/>
        </w:tabs>
      </w:pPr>
      <w:hyperlink w:anchor="_Toc11711" w:history="1">
        <w:r>
          <w:rPr>
            <w:rFonts w:ascii="仿宋" w:eastAsia="仿宋" w:hAnsi="仿宋" w:cs="仿宋" w:hint="eastAsia"/>
            <w:lang w:eastAsia="zh-CN"/>
          </w:rPr>
          <w:t>十四、市场营销策略</w:t>
        </w:r>
        <w:r>
          <w:tab/>
        </w:r>
        <w:r>
          <w:fldChar w:fldCharType="begin"/>
        </w:r>
        <w:r>
          <w:instrText xml:space="preserve"> PAGEREF _Toc11711 \h </w:instrText>
        </w:r>
        <w:r>
          <w:fldChar w:fldCharType="separate"/>
        </w:r>
        <w:r>
          <w:t>47</w:t>
        </w:r>
        <w:r>
          <w:fldChar w:fldCharType="end"/>
        </w:r>
      </w:hyperlink>
    </w:p>
    <w:p>
      <w:pPr>
        <w:pStyle w:val="TOC2"/>
        <w:tabs>
          <w:tab w:val="right" w:leader="dot" w:pos="8306"/>
        </w:tabs>
      </w:pPr>
      <w:hyperlink w:anchor="_Toc19145" w:history="1">
        <w:r>
          <w:rPr>
            <w:rFonts w:ascii="仿宋" w:eastAsia="仿宋" w:hAnsi="仿宋" w:cs="仿宋" w:hint="eastAsia"/>
            <w:lang w:eastAsia="zh-CN"/>
          </w:rPr>
          <w:t>(一)、市场定位与目标客户</w:t>
        </w:r>
        <w:r>
          <w:tab/>
        </w:r>
        <w:r>
          <w:fldChar w:fldCharType="begin"/>
        </w:r>
        <w:r>
          <w:instrText xml:space="preserve"> PAGEREF _Toc19145 \h </w:instrText>
        </w:r>
        <w:r>
          <w:fldChar w:fldCharType="separate"/>
        </w:r>
        <w:r>
          <w:t>47</w:t>
        </w:r>
        <w:r>
          <w:fldChar w:fldCharType="end"/>
        </w:r>
      </w:hyperlink>
    </w:p>
    <w:p>
      <w:pPr>
        <w:pStyle w:val="TOC2"/>
        <w:tabs>
          <w:tab w:val="right" w:leader="dot" w:pos="8306"/>
        </w:tabs>
      </w:pPr>
      <w:hyperlink w:anchor="_Toc32445" w:history="1">
        <w:r>
          <w:rPr>
            <w:rFonts w:ascii="仿宋" w:eastAsia="仿宋" w:hAnsi="仿宋" w:cs="仿宋" w:hint="eastAsia"/>
            <w:lang w:eastAsia="zh-CN"/>
          </w:rPr>
          <w:t>(二)、产品定位及差异化策略</w:t>
        </w:r>
        <w:r>
          <w:tab/>
        </w:r>
        <w:r>
          <w:fldChar w:fldCharType="begin"/>
        </w:r>
        <w:r>
          <w:instrText xml:space="preserve"> PAGEREF _Toc32445 \h </w:instrText>
        </w:r>
        <w:r>
          <w:fldChar w:fldCharType="separate"/>
        </w:r>
        <w:r>
          <w:t>48</w:t>
        </w:r>
        <w:r>
          <w:fldChar w:fldCharType="end"/>
        </w:r>
      </w:hyperlink>
    </w:p>
    <w:p>
      <w:pPr>
        <w:pStyle w:val="TOC2"/>
        <w:tabs>
          <w:tab w:val="right" w:leader="dot" w:pos="8306"/>
        </w:tabs>
      </w:pPr>
      <w:hyperlink w:anchor="_Toc15194" w:history="1">
        <w:r>
          <w:rPr>
            <w:rFonts w:ascii="仿宋" w:eastAsia="仿宋" w:hAnsi="仿宋" w:cs="仿宋" w:hint="eastAsia"/>
            <w:lang w:eastAsia="zh-CN"/>
          </w:rPr>
          <w:t>(三)、价格策略</w:t>
        </w:r>
        <w:r>
          <w:tab/>
        </w:r>
        <w:r>
          <w:fldChar w:fldCharType="begin"/>
        </w:r>
        <w:r>
          <w:instrText xml:space="preserve"> PAGEREF _Toc15194 \h </w:instrText>
        </w:r>
        <w:r>
          <w:fldChar w:fldCharType="separate"/>
        </w:r>
        <w:r>
          <w:t>49</w:t>
        </w:r>
        <w:r>
          <w:fldChar w:fldCharType="end"/>
        </w:r>
      </w:hyperlink>
    </w:p>
    <w:p>
      <w:pPr>
        <w:pStyle w:val="TOC2"/>
        <w:tabs>
          <w:tab w:val="right" w:leader="dot" w:pos="8306"/>
        </w:tabs>
      </w:pPr>
      <w:hyperlink w:anchor="_Toc20233" w:history="1">
        <w:r>
          <w:rPr>
            <w:rFonts w:ascii="仿宋" w:eastAsia="仿宋" w:hAnsi="仿宋" w:cs="仿宋" w:hint="eastAsia"/>
            <w:lang w:eastAsia="zh-CN"/>
          </w:rPr>
          <w:t>(四)、销售渠道与推广</w:t>
        </w:r>
        <w:r>
          <w:tab/>
        </w:r>
        <w:r>
          <w:fldChar w:fldCharType="begin"/>
        </w:r>
        <w:r>
          <w:instrText xml:space="preserve"> PAGEREF _Toc20233 \h </w:instrText>
        </w:r>
        <w:r>
          <w:fldChar w:fldCharType="separate"/>
        </w:r>
        <w:r>
          <w:t>50</w:t>
        </w:r>
        <w:r>
          <w:fldChar w:fldCharType="end"/>
        </w:r>
      </w:hyperlink>
    </w:p>
    <w:p>
      <w:pPr>
        <w:pStyle w:val="TOC2"/>
        <w:tabs>
          <w:tab w:val="right" w:leader="dot" w:pos="8306"/>
        </w:tabs>
      </w:pPr>
      <w:hyperlink w:anchor="_Toc32405" w:history="1">
        <w:r>
          <w:rPr>
            <w:rFonts w:ascii="仿宋" w:eastAsia="仿宋" w:hAnsi="仿宋" w:cs="仿宋" w:hint="eastAsia"/>
            <w:lang w:eastAsia="zh-CN"/>
          </w:rPr>
          <w:t>(五)、市场营销风险与对策</w:t>
        </w:r>
        <w:r>
          <w:tab/>
        </w:r>
        <w:r>
          <w:fldChar w:fldCharType="begin"/>
        </w:r>
        <w:r>
          <w:instrText xml:space="preserve"> PAGEREF _Toc32405 \h </w:instrText>
        </w:r>
        <w:r>
          <w:fldChar w:fldCharType="separate"/>
        </w:r>
        <w:r>
          <w:t>51</w:t>
        </w:r>
        <w:r>
          <w:fldChar w:fldCharType="end"/>
        </w:r>
      </w:hyperlink>
    </w:p>
    <w:p>
      <w:pPr>
        <w:pStyle w:val="TOC1"/>
        <w:tabs>
          <w:tab w:val="right" w:leader="dot" w:pos="8306"/>
        </w:tabs>
      </w:pPr>
      <w:hyperlink w:anchor="_Toc6810" w:history="1">
        <w:r>
          <w:rPr>
            <w:rFonts w:ascii="仿宋" w:eastAsia="仿宋" w:hAnsi="仿宋" w:cs="仿宋" w:hint="eastAsia"/>
            <w:lang w:eastAsia="zh-CN"/>
          </w:rPr>
          <w:t>十五、信息化建设</w:t>
        </w:r>
        <w:r>
          <w:tab/>
        </w:r>
        <w:r>
          <w:fldChar w:fldCharType="begin"/>
        </w:r>
        <w:r>
          <w:instrText xml:space="preserve"> PAGEREF _Toc6810 \h </w:instrText>
        </w:r>
        <w:r>
          <w:fldChar w:fldCharType="separate"/>
        </w:r>
        <w:r>
          <w:t>52</w:t>
        </w:r>
        <w:r>
          <w:fldChar w:fldCharType="end"/>
        </w:r>
      </w:hyperlink>
    </w:p>
    <w:p>
      <w:pPr>
        <w:pStyle w:val="TOC2"/>
        <w:tabs>
          <w:tab w:val="right" w:leader="dot" w:pos="8306"/>
        </w:tabs>
      </w:pPr>
      <w:hyperlink w:anchor="_Toc18242" w:history="1">
        <w:r>
          <w:rPr>
            <w:rFonts w:ascii="仿宋" w:eastAsia="仿宋" w:hAnsi="仿宋" w:cs="仿宋" w:hint="eastAsia"/>
            <w:lang w:eastAsia="zh-CN"/>
          </w:rPr>
          <w:t>(一)、信息化规划</w:t>
        </w:r>
        <w:r>
          <w:tab/>
        </w:r>
        <w:r>
          <w:fldChar w:fldCharType="begin"/>
        </w:r>
        <w:r>
          <w:instrText xml:space="preserve"> PAGEREF _Toc18242 \h </w:instrText>
        </w:r>
        <w:r>
          <w:fldChar w:fldCharType="separate"/>
        </w:r>
        <w:r>
          <w:t>52</w:t>
        </w:r>
        <w:r>
          <w:fldChar w:fldCharType="end"/>
        </w:r>
      </w:hyperlink>
    </w:p>
    <w:p>
      <w:pPr>
        <w:pStyle w:val="TOC2"/>
        <w:tabs>
          <w:tab w:val="right" w:leader="dot" w:pos="8306"/>
        </w:tabs>
      </w:pPr>
      <w:hyperlink w:anchor="_Toc32021" w:history="1">
        <w:r>
          <w:rPr>
            <w:rFonts w:ascii="仿宋" w:eastAsia="仿宋" w:hAnsi="仿宋" w:cs="仿宋" w:hint="eastAsia"/>
            <w:lang w:eastAsia="zh-CN"/>
          </w:rPr>
          <w:t>(二)、信息系统建设</w:t>
        </w:r>
        <w:r>
          <w:tab/>
        </w:r>
        <w:r>
          <w:fldChar w:fldCharType="begin"/>
        </w:r>
        <w:r>
          <w:instrText xml:space="preserve"> PAGEREF _Toc32021 \h </w:instrText>
        </w:r>
        <w:r>
          <w:fldChar w:fldCharType="separate"/>
        </w:r>
        <w:r>
          <w:t>53</w:t>
        </w:r>
        <w:r>
          <w:fldChar w:fldCharType="end"/>
        </w:r>
      </w:hyperlink>
    </w:p>
    <w:p>
      <w:pPr>
        <w:pStyle w:val="TOC2"/>
        <w:tabs>
          <w:tab w:val="right" w:leader="dot" w:pos="8306"/>
        </w:tabs>
      </w:pPr>
      <w:hyperlink w:anchor="_Toc11879" w:history="1">
        <w:r>
          <w:rPr>
            <w:rFonts w:ascii="仿宋" w:eastAsia="仿宋" w:hAnsi="仿宋" w:cs="仿宋" w:hint="eastAsia"/>
            <w:lang w:eastAsia="zh-CN"/>
          </w:rPr>
          <w:t>(三)、数据保护与隐私保护</w:t>
        </w:r>
        <w:r>
          <w:tab/>
        </w:r>
        <w:r>
          <w:fldChar w:fldCharType="begin"/>
        </w:r>
        <w:r>
          <w:instrText xml:space="preserve"> PAGEREF _Toc11879 \h </w:instrText>
        </w:r>
        <w:r>
          <w:fldChar w:fldCharType="separate"/>
        </w:r>
        <w:r>
          <w:t>54</w:t>
        </w:r>
        <w:r>
          <w:fldChar w:fldCharType="end"/>
        </w:r>
      </w:hyperlink>
    </w:p>
    <w:p>
      <w:pPr>
        <w:pStyle w:val="TOC1"/>
        <w:tabs>
          <w:tab w:val="right" w:leader="dot" w:pos="8306"/>
        </w:tabs>
      </w:pPr>
      <w:hyperlink w:anchor="_Toc20349" w:history="1">
        <w:r>
          <w:rPr>
            <w:rFonts w:ascii="仿宋" w:eastAsia="仿宋" w:hAnsi="仿宋" w:cs="仿宋" w:hint="eastAsia"/>
            <w:lang w:eastAsia="zh-CN"/>
          </w:rPr>
          <w:t>十六、社会责任与可持续发展</w:t>
        </w:r>
        <w:r>
          <w:tab/>
        </w:r>
        <w:r>
          <w:fldChar w:fldCharType="begin"/>
        </w:r>
        <w:r>
          <w:instrText xml:space="preserve"> PAGEREF _Toc20349 \h </w:instrText>
        </w:r>
        <w:r>
          <w:fldChar w:fldCharType="separate"/>
        </w:r>
        <w:r>
          <w:t>55</w:t>
        </w:r>
        <w:r>
          <w:fldChar w:fldCharType="end"/>
        </w:r>
      </w:hyperlink>
    </w:p>
    <w:p>
      <w:pPr>
        <w:pStyle w:val="TOC2"/>
        <w:tabs>
          <w:tab w:val="right" w:leader="dot" w:pos="8306"/>
        </w:tabs>
      </w:pPr>
      <w:hyperlink w:anchor="_Toc1229" w:history="1">
        <w:r>
          <w:rPr>
            <w:rFonts w:ascii="仿宋" w:eastAsia="仿宋" w:hAnsi="仿宋" w:cs="仿宋" w:hint="eastAsia"/>
            <w:lang w:eastAsia="zh-CN"/>
          </w:rPr>
          <w:t>(一)、社会责任理念</w:t>
        </w:r>
        <w:r>
          <w:tab/>
        </w:r>
        <w:r>
          <w:fldChar w:fldCharType="begin"/>
        </w:r>
        <w:r>
          <w:instrText xml:space="preserve"> PAGEREF _Toc1229 \h </w:instrText>
        </w:r>
        <w:r>
          <w:fldChar w:fldCharType="separate"/>
        </w:r>
        <w:r>
          <w:t>55</w:t>
        </w:r>
        <w:r>
          <w:fldChar w:fldCharType="end"/>
        </w:r>
      </w:hyperlink>
    </w:p>
    <w:p>
      <w:pPr>
        <w:pStyle w:val="TOC2"/>
        <w:tabs>
          <w:tab w:val="right" w:leader="dot" w:pos="8306"/>
        </w:tabs>
      </w:pPr>
      <w:hyperlink w:anchor="_Toc13335" w:history="1">
        <w:r>
          <w:rPr>
            <w:rFonts w:ascii="仿宋" w:eastAsia="仿宋" w:hAnsi="仿宋" w:cs="仿宋" w:hint="eastAsia"/>
            <w:lang w:eastAsia="zh-CN"/>
          </w:rPr>
          <w:t>(二)、可持续发展策略</w:t>
        </w:r>
        <w:r>
          <w:tab/>
        </w:r>
        <w:r>
          <w:fldChar w:fldCharType="begin"/>
        </w:r>
        <w:r>
          <w:instrText xml:space="preserve"> PAGEREF _Toc13335 \h </w:instrText>
        </w:r>
        <w:r>
          <w:fldChar w:fldCharType="separate"/>
        </w:r>
        <w:r>
          <w:t>56</w:t>
        </w:r>
        <w:r>
          <w:fldChar w:fldCharType="end"/>
        </w:r>
      </w:hyperlink>
    </w:p>
    <w:p>
      <w:pPr>
        <w:pStyle w:val="TOC2"/>
        <w:tabs>
          <w:tab w:val="right" w:leader="dot" w:pos="8306"/>
        </w:tabs>
      </w:pPr>
      <w:hyperlink w:anchor="_Toc11703" w:history="1">
        <w:r>
          <w:rPr>
            <w:rFonts w:ascii="仿宋" w:eastAsia="仿宋" w:hAnsi="仿宋" w:cs="仿宋" w:hint="eastAsia"/>
            <w:lang w:eastAsia="zh-CN"/>
          </w:rPr>
          <w:t>(三)、社会责任实施方案</w:t>
        </w:r>
        <w:r>
          <w:tab/>
        </w:r>
        <w:r>
          <w:fldChar w:fldCharType="begin"/>
        </w:r>
        <w:r>
          <w:instrText xml:space="preserve"> PAGEREF _Toc11703 \h </w:instrText>
        </w:r>
        <w:r>
          <w:fldChar w:fldCharType="separate"/>
        </w:r>
        <w:r>
          <w:t>57</w:t>
        </w:r>
        <w:r>
          <w:fldChar w:fldCharType="end"/>
        </w:r>
      </w:hyperlink>
    </w:p>
    <w:p>
      <w:pPr>
        <w:pStyle w:val="TOC2"/>
        <w:tabs>
          <w:tab w:val="right" w:leader="dot" w:pos="8306"/>
        </w:tabs>
      </w:pPr>
      <w:hyperlink w:anchor="_Toc2766" w:history="1">
        <w:r>
          <w:rPr>
            <w:rFonts w:ascii="仿宋" w:eastAsia="仿宋" w:hAnsi="仿宋" w:cs="仿宋" w:hint="eastAsia"/>
            <w:lang w:eastAsia="zh-CN"/>
          </w:rPr>
          <w:t>(四)、社会影响评估</w:t>
        </w:r>
        <w:r>
          <w:tab/>
        </w:r>
        <w:r>
          <w:fldChar w:fldCharType="begin"/>
        </w:r>
        <w:r>
          <w:instrText xml:space="preserve"> PAGEREF _Toc2766 \h </w:instrText>
        </w:r>
        <w:r>
          <w:fldChar w:fldCharType="separate"/>
        </w:r>
        <w:r>
          <w:t>59</w:t>
        </w:r>
        <w:r>
          <w:fldChar w:fldCharType="end"/>
        </w:r>
      </w:hyperlink>
    </w:p>
    <w:p>
      <w:pPr>
        <w:pStyle w:val="TOC2"/>
        <w:tabs>
          <w:tab w:val="right" w:leader="dot" w:pos="8306"/>
        </w:tabs>
      </w:pPr>
      <w:hyperlink w:anchor="_Toc13394" w:history="1">
        <w:r>
          <w:rPr>
            <w:rFonts w:ascii="仿宋" w:eastAsia="仿宋" w:hAnsi="仿宋" w:cs="仿宋" w:hint="eastAsia"/>
            <w:lang w:eastAsia="zh-CN"/>
          </w:rPr>
          <w:t>(五)、环保与绿色发展</w:t>
        </w:r>
        <w:r>
          <w:tab/>
        </w:r>
        <w:r>
          <w:fldChar w:fldCharType="begin"/>
        </w:r>
        <w:r>
          <w:instrText xml:space="preserve"> PAGEREF _Toc13394 \h </w:instrText>
        </w:r>
        <w:r>
          <w:fldChar w:fldCharType="separate"/>
        </w:r>
        <w:r>
          <w:t>60</w:t>
        </w:r>
        <w:r>
          <w:fldChar w:fldCharType="end"/>
        </w:r>
      </w:hyperlink>
    </w:p>
    <w:p>
      <w:pPr>
        <w:pStyle w:val="TOC2"/>
        <w:tabs>
          <w:tab w:val="right" w:leader="dot" w:pos="8306"/>
        </w:tabs>
      </w:pPr>
      <w:hyperlink w:anchor="_Toc22877" w:history="1">
        <w:r>
          <w:rPr>
            <w:rFonts w:ascii="仿宋" w:eastAsia="仿宋" w:hAnsi="仿宋" w:cs="仿宋" w:hint="eastAsia"/>
            <w:lang w:eastAsia="zh-CN"/>
          </w:rPr>
          <w:t>(六)、社会责任履行</w:t>
        </w:r>
        <w:r>
          <w:tab/>
        </w:r>
        <w:r>
          <w:fldChar w:fldCharType="begin"/>
        </w:r>
        <w:r>
          <w:instrText xml:space="preserve"> PAGEREF _Toc22877 \h </w:instrText>
        </w:r>
        <w:r>
          <w:fldChar w:fldCharType="separate"/>
        </w:r>
        <w:r>
          <w:t>61</w:t>
        </w:r>
        <w:r>
          <w:fldChar w:fldCharType="end"/>
        </w:r>
      </w:hyperlink>
    </w:p>
    <w:p>
      <w:pPr>
        <w:pStyle w:val="TOC2"/>
        <w:tabs>
          <w:tab w:val="right" w:leader="dot" w:pos="8306"/>
        </w:tabs>
      </w:pPr>
      <w:hyperlink w:anchor="_Toc6566" w:history="1">
        <w:r>
          <w:rPr>
            <w:rFonts w:ascii="仿宋" w:eastAsia="仿宋" w:hAnsi="仿宋" w:cs="仿宋" w:hint="eastAsia"/>
            <w:lang w:eastAsia="zh-CN"/>
          </w:rPr>
          <w:t>(七)、可持续供应链管理</w:t>
        </w:r>
        <w:r>
          <w:tab/>
        </w:r>
        <w:r>
          <w:fldChar w:fldCharType="begin"/>
        </w:r>
        <w:r>
          <w:instrText xml:space="preserve"> PAGEREF _Toc6566 \h </w:instrText>
        </w:r>
        <w:r>
          <w:fldChar w:fldCharType="separate"/>
        </w:r>
        <w:r>
          <w:t>62</w:t>
        </w:r>
        <w:r>
          <w:fldChar w:fldCharType="end"/>
        </w:r>
      </w:hyperlink>
    </w:p>
    <w:p>
      <w:pPr>
        <w:pStyle w:val="TOC2"/>
        <w:tabs>
          <w:tab w:val="right" w:leader="dot" w:pos="8306"/>
        </w:tabs>
      </w:pPr>
      <w:hyperlink w:anchor="_Toc19966" w:history="1">
        <w:r>
          <w:rPr>
            <w:rFonts w:ascii="仿宋" w:eastAsia="仿宋" w:hAnsi="仿宋" w:cs="仿宋" w:hint="eastAsia"/>
            <w:lang w:eastAsia="zh-CN"/>
          </w:rPr>
          <w:t>(八)、员工可持续发展计划</w:t>
        </w:r>
        <w:r>
          <w:tab/>
        </w:r>
        <w:r>
          <w:fldChar w:fldCharType="begin"/>
        </w:r>
        <w:r>
          <w:instrText xml:space="preserve"> PAGEREF _Toc19966 \h </w:instrText>
        </w:r>
        <w:r>
          <w:fldChar w:fldCharType="separate"/>
        </w:r>
        <w:r>
          <w:t>63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8633"/>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本资金申请报告旨在详细介绍我们机构所需资金的预期用途，以及预计的收益与风险。在当今快速发展且竞争激烈的经济环境下，合理的资金运用不仅能够促进技术进步、提升服务质量，同时还能加强内燃牵引车机构的市场竞争力。我们承诺所申请之资金将严格按照规划用于指定的业务发展与研究领域，不会转作他途。内燃牵引车报告中包含的所有信息、数据及预测均基于严谨的研究和分析，对外只用作学习交流，不可做为商业用途。</w:t>
      </w:r>
    </w:p>
    <w:p>
      <w:pPr>
        <w:pStyle w:val="Heading1"/>
        <w:ind w:firstLine="560" w:firstLineChars="200"/>
        <w:rPr>
          <w:rFonts w:ascii="仿宋" w:eastAsia="仿宋" w:hAnsi="仿宋" w:cs="仿宋" w:hint="eastAsia"/>
          <w:sz w:val="28"/>
          <w:lang w:eastAsia="zh-CN"/>
        </w:rPr>
      </w:pPr>
      <w:bookmarkStart w:id="2" w:name="_Toc7962"/>
      <w:r>
        <w:rPr>
          <w:rFonts w:ascii="仿宋" w:eastAsia="仿宋" w:hAnsi="仿宋" w:cs="仿宋" w:hint="eastAsia"/>
          <w:sz w:val="28"/>
          <w:lang w:eastAsia="zh-CN"/>
        </w:rPr>
        <w:t>一、建设内容与产品方案</w:t>
      </w:r>
      <w:bookmarkEnd w:id="2"/>
    </w:p>
    <w:p>
      <w:pPr>
        <w:pStyle w:val="Heading2"/>
        <w:rPr>
          <w:rFonts w:ascii="仿宋" w:eastAsia="仿宋" w:hAnsi="仿宋" w:cs="仿宋" w:hint="eastAsia"/>
          <w:lang w:eastAsia="zh-CN"/>
        </w:rPr>
      </w:pPr>
      <w:bookmarkStart w:id="3" w:name="_Toc10838"/>
      <w:r>
        <w:rPr>
          <w:rFonts w:ascii="仿宋" w:eastAsia="仿宋" w:hAnsi="仿宋" w:cs="仿宋" w:hint="eastAsia"/>
          <w:lang w:eastAsia="zh-CN"/>
        </w:rPr>
        <w:t>(一)、建设规模及主要建设内容</w:t>
      </w:r>
      <w:bookmarkEnd w:id="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(一)场地规模概况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内燃牵引车项目总用地面积为XX平方米，相当于XX亩，按照规划，整个场区总建筑面积预计为XX平方米。</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(二)产能规模说明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鉴于国内外市场需求以及对xxx（集团）有限公司建设能力的分析，项目建设规模最终确定为达产年产XXX个单位产品。据初步测算，年营业收入预计可达XX万元。</w:t>
      </w:r>
    </w:p>
    <w:p>
      <w:pPr>
        <w:pStyle w:val="Heading2"/>
        <w:ind w:firstLine="560" w:firstLineChars="200"/>
        <w:rPr>
          <w:rFonts w:ascii="仿宋" w:eastAsia="仿宋" w:hAnsi="仿宋" w:cs="仿宋" w:hint="eastAsia"/>
          <w:sz w:val="28"/>
          <w:lang w:eastAsia="zh-CN"/>
        </w:rPr>
      </w:pPr>
      <w:bookmarkStart w:id="4" w:name="_Toc29763"/>
      <w:r>
        <w:rPr>
          <w:rFonts w:ascii="仿宋" w:eastAsia="仿宋" w:hAnsi="仿宋" w:cs="仿宋" w:hint="eastAsia"/>
          <w:sz w:val="28"/>
          <w:lang w:eastAsia="zh-CN"/>
        </w:rPr>
        <w:t>(二)、内燃牵引车产品规划方案及生产纲领</w:t>
      </w:r>
      <w:bookmarkEnd w:id="4"/>
    </w:p>
    <w:p>
      <w:pPr>
        <w:ind w:firstLine="560" w:firstLineChars="200"/>
        <w:rPr>
          <w:rFonts w:ascii="仿宋" w:eastAsia="仿宋" w:hAnsi="仿宋" w:cs="仿宋" w:hint="eastAsia"/>
          <w:sz w:val="28"/>
          <w:lang w:eastAsia="zh-CN"/>
        </w:rPr>
      </w:pPr>
    </w:p>
    <w:p>
      <w:pPr>
        <w:ind w:firstLine="560" w:firstLineChars="200"/>
        <w:rPr>
          <w:rFonts w:ascii="仿宋" w:eastAsia="仿宋" w:hAnsi="仿宋" w:cs="仿宋" w:hint="eastAsia"/>
          <w:sz w:val="28"/>
          <w:lang w:eastAsia="zh-CN"/>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(一)产品规划方案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内燃牵引车项目产品规划主要根据国家产业发展政策、市场需求、资源供应、企业资金和生产技术水平等综合因素进行制定。在考虑市场需求的基础上，项目主要生产XXXX产品，具体品种将根据市场需求进行必要的调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(二)生产纲领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生产纲领的确定考虑了人员及装备生产能力水平，并参考市场需求预测情况。将产量和销量紧密结合，根据初步产品方案进行测算，年产量预计为XXX个单位产品。这一生产纲领的设定旨在实现良好的市场适应性，同时确保生产的经济合理性和市场竞争力。</w:t>
      </w:r>
    </w:p>
    <w:p>
      <w:pPr>
        <w:pStyle w:val="Heading1"/>
        <w:ind w:firstLine="560" w:firstLineChars="200"/>
        <w:rPr>
          <w:rFonts w:ascii="仿宋" w:eastAsia="仿宋" w:hAnsi="仿宋" w:cs="仿宋" w:hint="eastAsia"/>
          <w:sz w:val="28"/>
          <w:lang w:eastAsia="zh-CN"/>
        </w:rPr>
      </w:pPr>
      <w:bookmarkStart w:id="5" w:name="_Toc20746"/>
      <w:r>
        <w:rPr>
          <w:rFonts w:ascii="仿宋" w:eastAsia="仿宋" w:hAnsi="仿宋" w:cs="仿宋" w:hint="eastAsia"/>
          <w:sz w:val="28"/>
          <w:lang w:eastAsia="zh-CN"/>
        </w:rPr>
        <w:t>二、人才队伍建设</w:t>
      </w:r>
      <w:bookmarkEnd w:id="5"/>
    </w:p>
    <w:p>
      <w:pPr>
        <w:pStyle w:val="Heading2"/>
        <w:rPr>
          <w:rFonts w:ascii="仿宋" w:eastAsia="仿宋" w:hAnsi="仿宋" w:cs="仿宋" w:hint="eastAsia"/>
          <w:lang w:eastAsia="zh-CN"/>
        </w:rPr>
      </w:pPr>
      <w:bookmarkStart w:id="6" w:name="_Toc21179"/>
      <w:r>
        <w:rPr>
          <w:rFonts w:ascii="仿宋" w:eastAsia="仿宋" w:hAnsi="仿宋" w:cs="仿宋" w:hint="eastAsia"/>
          <w:lang w:eastAsia="zh-CN"/>
        </w:rPr>
        <w:t>(一)、人才引进与培养计划</w:t>
      </w:r>
      <w:bookmarkEnd w:id="6"/>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人才引进与培养计划将成为确保团队持续优势和创新力的关键因素。以下是我们制定的具体措施：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外部高层次人才引进：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为了弥补团队中可能存在的专业短板，我们将积极引进外部高层次人才。通过在内燃牵引车行业内广泛宣传职位空缺、与专业猎头机构合作，我们将吸引到在相关领域具有丰富经验和卓越能力的专业人才。他们将为团队注入新的思维和动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内部培训与晋升机制：</w:t>
      </w:r>
    </w:p>
    <w:p>
      <w:pPr>
        <w:ind w:firstLine="560" w:firstLineChars="200"/>
        <w:rPr>
          <w:rFonts w:ascii="仿宋" w:eastAsia="仿宋" w:hAnsi="仿宋" w:cs="仿宋" w:hint="eastAsia"/>
          <w:sz w:val="28"/>
          <w:lang w:eastAsia="zh-CN"/>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我们将建立健全的内部培训体系，通过专业培训课程提升现有员工的技能水平。同时，制定明确的晋升机制，鼓励员工通过自我学习和不断提升自身素质，争取更高职位。这不仅能够提高员工的职业满意度，也有助于留住优秀的内部人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合作高校实习生项目：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与相关高校和研究机构建立紧密的合作关系，开展实习生项目。通过提供实际工作机会，我们将吸引并培养年轻有为的毕业生。这不仅是对学生进行实际操作的机会，也是项目方向与实际需求相结合的有效途径，为团队引入新鲜血液。</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通过以上人才引进与培养计划，我们旨在打造一支拥有多元化背景、专业技能齐备的团队，以更好地适应后期项目运营的复杂性和多样性。这样的人才队伍将为项目的长期健康发展提供有力支持。</w:t>
      </w:r>
    </w:p>
    <w:p>
      <w:pPr>
        <w:pStyle w:val="Heading2"/>
        <w:ind w:firstLine="560" w:firstLineChars="200"/>
        <w:rPr>
          <w:rFonts w:ascii="仿宋" w:eastAsia="仿宋" w:hAnsi="仿宋" w:cs="仿宋" w:hint="eastAsia"/>
          <w:sz w:val="28"/>
          <w:lang w:eastAsia="zh-CN"/>
        </w:rPr>
      </w:pPr>
      <w:bookmarkStart w:id="7" w:name="_Toc28296"/>
      <w:r>
        <w:rPr>
          <w:rFonts w:ascii="仿宋" w:eastAsia="仿宋" w:hAnsi="仿宋" w:cs="仿宋" w:hint="eastAsia"/>
          <w:sz w:val="28"/>
          <w:lang w:eastAsia="zh-CN"/>
        </w:rPr>
        <w:t>(二)、员工激励与福利政策</w:t>
      </w:r>
      <w:bookmarkEnd w:id="7"/>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薪酬体系的合理设计：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我们将建立合理的薪酬结构，考虑到员工的岗位、职责、绩效等因素，确保薪酬体现公平和激励机制。薪酬的正常涨幅将与员工的表现和贡献挂钩，以激发员工的工作热情。</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绩效奖励与晋升机制：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设立明确的绩效评价标准，对表现优异的员工进行奖励，包括但不限于绩效奖金、荣誉证书、晋升机会等。这将激励员工不断提升工作业绩，实现自身职业发展目标。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员工培训与职业发展：</w:t>
      </w:r>
    </w:p>
    <w:p>
      <w:pPr>
        <w:ind w:firstLine="560" w:firstLineChars="200"/>
        <w:rPr>
          <w:rFonts w:ascii="仿宋" w:eastAsia="仿宋" w:hAnsi="仿宋" w:cs="仿宋" w:hint="eastAsia"/>
          <w:sz w:val="28"/>
          <w:lang w:eastAsia="zh-CN"/>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我们将提供广泛的员工培训计划，涵盖专业技能培养、职业素养提升等方面。通过为员工提供学习和发展机会，不仅提高了员工的综合素质，也使其更好地适应项目的需求，从而实现职业发展。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丰富的员工福利：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我们将提供丰富的员工福利，包括但不限于健康保险、员工活动、节假日福利等。关心员工的身体健康、提供良好的工作氛围和生活品质，是我们致力于构建员工幸福感的重要手段。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灵活的工作制度：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针对特定岗位和员工需求，我们将实行灵活的工作制度，包括远程办公、弹性工作时间等。这有助于提高员工的工作效率，提供更好的工作与生活平衡。</w:t>
      </w:r>
    </w:p>
    <w:p>
      <w:pPr>
        <w:pStyle w:val="Heading2"/>
        <w:ind w:firstLine="560" w:firstLineChars="200"/>
        <w:rPr>
          <w:rFonts w:ascii="仿宋" w:eastAsia="仿宋" w:hAnsi="仿宋" w:cs="仿宋" w:hint="eastAsia"/>
          <w:sz w:val="28"/>
          <w:lang w:eastAsia="zh-CN"/>
        </w:rPr>
      </w:pPr>
      <w:bookmarkStart w:id="8" w:name="_Toc15794"/>
      <w:r>
        <w:rPr>
          <w:rFonts w:ascii="仿宋" w:eastAsia="仿宋" w:hAnsi="仿宋" w:cs="仿宋" w:hint="eastAsia"/>
          <w:sz w:val="28"/>
          <w:lang w:eastAsia="zh-CN"/>
        </w:rPr>
        <w:t>(三)、团队建设与管理</w:t>
      </w:r>
      <w:bookmarkEnd w:id="8"/>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团队建设与管理是项目中至关重要的组成部分。我们将通过以下方式深入推进这一工作：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在建设积极向上的工作氛围方面，我们将定期组织团队培训和集体庆祝活动。这不仅包括技术培训和知识分享，还有员工生日庆祝、团队成就奖励等，以促进团队成员之间的相互了解、信任和凝聚力。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沟通机制方面，我们将建立定期例会制度，包括项目进展汇报、问题讨论和团队建设内容。此外，我们将使用先进的项目管理平台和在线沟通工具，确保信息传递迅速、透明，提高团队协作效率。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在团队管理方面，我们将采用目标管理制度，明确每个团队成员的工作目标和任务分工。通过定期的绩效评估和反馈机制，激发团队成员的工作热情和创造性，确保项目各项工作按时高质量完成。</w:t>
      </w:r>
    </w:p>
    <w:p>
      <w:pPr>
        <w:ind w:firstLine="560" w:firstLineChars="200"/>
        <w:rPr>
          <w:rFonts w:ascii="仿宋" w:eastAsia="仿宋" w:hAnsi="仿宋" w:cs="仿宋" w:hint="eastAsia"/>
          <w:sz w:val="28"/>
          <w:lang w:eastAsia="zh-CN"/>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另外，我们鼓励团队成员提出建议和意见，倡导开放的沟通氛围。定期组织团队建设活动，如团队拓展培训、户外活动等，以增进团队协作精神，提升整体执行力。</w:t>
      </w:r>
    </w:p>
    <w:p>
      <w:pPr>
        <w:pStyle w:val="Heading1"/>
        <w:ind w:firstLine="560" w:firstLineChars="200"/>
        <w:rPr>
          <w:rFonts w:ascii="仿宋" w:eastAsia="仿宋" w:hAnsi="仿宋" w:cs="仿宋" w:hint="eastAsia"/>
          <w:sz w:val="28"/>
          <w:lang w:eastAsia="zh-CN"/>
        </w:rPr>
      </w:pPr>
      <w:bookmarkStart w:id="9" w:name="_Toc6386"/>
      <w:r>
        <w:rPr>
          <w:rFonts w:ascii="仿宋" w:eastAsia="仿宋" w:hAnsi="仿宋" w:cs="仿宋" w:hint="eastAsia"/>
          <w:sz w:val="28"/>
          <w:lang w:eastAsia="zh-CN"/>
        </w:rPr>
        <w:t>三、内燃牵引车行业发展分析</w:t>
      </w:r>
      <w:bookmarkEnd w:id="9"/>
    </w:p>
    <w:p>
      <w:pPr>
        <w:pStyle w:val="Heading2"/>
        <w:rPr>
          <w:rFonts w:ascii="仿宋" w:eastAsia="仿宋" w:hAnsi="仿宋" w:cs="仿宋" w:hint="eastAsia"/>
          <w:lang w:eastAsia="zh-CN"/>
        </w:rPr>
      </w:pPr>
      <w:bookmarkStart w:id="10" w:name="_Toc23470"/>
      <w:r>
        <w:rPr>
          <w:rFonts w:ascii="仿宋" w:eastAsia="仿宋" w:hAnsi="仿宋" w:cs="仿宋" w:hint="eastAsia"/>
          <w:lang w:eastAsia="zh-CN"/>
        </w:rPr>
        <w:t>(一)、内燃牵引车行业发展总体概况</w:t>
      </w:r>
      <w:bookmarkEnd w:id="10"/>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当前，所涉及内燃牵引车行业呈现出整体稳步增长的趋势。内燃牵引车行业内相关指标显示出良好的发展态势，市场规模逐年扩大，产业链不断完善。各项内燃牵引车行业数据表明，整体内燃牵引车行业处于良性发展的轨道上，为项目的实施提供了有力的市场支撑。</w:t>
      </w:r>
    </w:p>
    <w:p>
      <w:pPr>
        <w:pStyle w:val="Heading2"/>
        <w:ind w:firstLine="560" w:firstLineChars="200"/>
        <w:rPr>
          <w:rFonts w:ascii="仿宋" w:eastAsia="仿宋" w:hAnsi="仿宋" w:cs="仿宋" w:hint="eastAsia"/>
          <w:sz w:val="28"/>
          <w:lang w:eastAsia="zh-CN"/>
        </w:rPr>
      </w:pPr>
      <w:bookmarkStart w:id="11" w:name="_Toc18933"/>
      <w:r>
        <w:rPr>
          <w:rFonts w:ascii="仿宋" w:eastAsia="仿宋" w:hAnsi="仿宋" w:cs="仿宋" w:hint="eastAsia"/>
          <w:sz w:val="28"/>
          <w:lang w:eastAsia="zh-CN"/>
        </w:rPr>
        <w:t>(二)、内燃牵引车行业发展背景</w:t>
      </w:r>
      <w:bookmarkEnd w:id="1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内燃牵引车行业的快速发展得益于国家宏观经济政策的不断优化和产业结构调整的深入推进。政府对内燃牵引车相关产业的支持力度加大，为企业提供了更为宽松的市场环境和政策支持。同时，科技进步和创新成果的不断涌现，也为内燃牵引车行业的高质量发展提供了有力支持。</w:t>
      </w:r>
    </w:p>
    <w:p>
      <w:pPr>
        <w:pStyle w:val="Heading2"/>
        <w:ind w:firstLine="560" w:firstLineChars="200"/>
        <w:rPr>
          <w:rFonts w:ascii="仿宋" w:eastAsia="仿宋" w:hAnsi="仿宋" w:cs="仿宋" w:hint="eastAsia"/>
          <w:sz w:val="28"/>
          <w:lang w:eastAsia="zh-CN"/>
        </w:rPr>
      </w:pPr>
      <w:bookmarkStart w:id="12" w:name="_Toc32733"/>
      <w:r>
        <w:rPr>
          <w:rFonts w:ascii="仿宋" w:eastAsia="仿宋" w:hAnsi="仿宋" w:cs="仿宋" w:hint="eastAsia"/>
          <w:sz w:val="28"/>
          <w:lang w:eastAsia="zh-CN"/>
        </w:rPr>
        <w:t>(三)、内燃牵引车行业发展前景</w:t>
      </w:r>
      <w:bookmarkEnd w:id="12"/>
    </w:p>
    <w:p>
      <w:pPr>
        <w:ind w:firstLine="560" w:firstLineChars="200"/>
        <w:rPr>
          <w:rFonts w:ascii="仿宋" w:eastAsia="仿宋" w:hAnsi="仿宋" w:cs="仿宋" w:hint="eastAsia"/>
          <w:sz w:val="28"/>
          <w:lang w:eastAsia="zh-CN"/>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展望未来，内燃牵引车行业发展前景广阔。随着国家经济的不断崛起和产业结构的不断优化，相关内燃牵引车行业有望进一步蓬勃发展。市场需求的提升、技术水平的不断提高将为内燃牵引车行业带来更多发展机遇。项目的实施将顺应内燃牵引车行业发展趋势，迎接更加广阔的市场机遇。</w:t>
      </w:r>
    </w:p>
    <w:p>
      <w:pPr>
        <w:pStyle w:val="Heading1"/>
        <w:ind w:firstLine="560" w:firstLineChars="200"/>
        <w:rPr>
          <w:rFonts w:ascii="仿宋" w:eastAsia="仿宋" w:hAnsi="仿宋" w:cs="仿宋" w:hint="eastAsia"/>
          <w:sz w:val="28"/>
          <w:lang w:eastAsia="zh-CN"/>
        </w:rPr>
      </w:pPr>
      <w:bookmarkStart w:id="13" w:name="_Toc12124"/>
      <w:r>
        <w:rPr>
          <w:rFonts w:ascii="仿宋" w:eastAsia="仿宋" w:hAnsi="仿宋" w:cs="仿宋" w:hint="eastAsia"/>
          <w:sz w:val="28"/>
          <w:lang w:eastAsia="zh-CN"/>
        </w:rPr>
        <w:t>四、建筑物技术方案</w:t>
      </w:r>
      <w:bookmarkEnd w:id="13"/>
    </w:p>
    <w:p>
      <w:pPr>
        <w:pStyle w:val="Heading2"/>
        <w:rPr>
          <w:rFonts w:ascii="仿宋" w:eastAsia="仿宋" w:hAnsi="仿宋" w:cs="仿宋" w:hint="eastAsia"/>
          <w:lang w:eastAsia="zh-CN"/>
        </w:rPr>
      </w:pPr>
      <w:bookmarkStart w:id="14" w:name="_Toc29422"/>
      <w:r>
        <w:rPr>
          <w:rFonts w:ascii="仿宋" w:eastAsia="仿宋" w:hAnsi="仿宋" w:cs="仿宋" w:hint="eastAsia"/>
          <w:lang w:eastAsia="zh-CN"/>
        </w:rPr>
        <w:t>(一)、项目工程设计总体要求</w:t>
      </w:r>
      <w:bookmarkEnd w:id="14"/>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在建筑结构设计中，秉持经济、实用和美观兼顾的原则，综合考虑了工艺要求、当地地质条件以及用地需求。设计力求使建筑结构更加符合工艺生产的需要，同时便于操作、检修和管理。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为满足工艺生产的需求，方便日常操作、检修和管理，采取了厂房一体化的设计理念。在设计中充分考虑了竖向组合，致力于缩短管线、降低能耗，以及最大程度地节约用地和降低投资成本。</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为提高建设速度并为未来的技术改造预留充足的发展空间，主厂房采用了轻钢结构设计。各层主要设备的悬挂和支撑均采用了钢结构，实现了轻型化的设计理念，并同时符合防腐和防爆规范以及相关法规的要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在建筑结构的设计中，特别注重了对工艺需求的贴近，以确保建筑能够高效满足生产流程的要求。结合当地的地质条件和用地需求，通过全面考虑，力求在经济实用的前提下兼顾美观。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为了提高操作的便捷性、维护的便利性以及整体管理的高效性，主厂房采用一体化设计，充分考虑了建筑结构的竖向组合。通过这一设计理念，有效地减少了管线长度，降低了能源消耗，并在最大程度上优化了用地利用，同时达到了节约投资的目标。</w:t>
      </w:r>
    </w:p>
    <w:p>
      <w:pPr>
        <w:ind w:firstLine="560" w:firstLineChars="200"/>
        <w:rPr>
          <w:rFonts w:ascii="仿宋" w:eastAsia="仿宋" w:hAnsi="仿宋" w:cs="仿宋" w:hint="eastAsia"/>
          <w:sz w:val="28"/>
          <w:lang w:eastAsia="zh-CN"/>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6.</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主厂房采用轻钢结构设计，不仅使建筑更加轻量化，提高了建设速度，还为今后可能的技术改造提供了足够的发展空间。此外，轻钢结构的应用符合防腐和防爆规范，确保了建筑在安全性和可靠性方面的合规性。</w:t>
      </w:r>
    </w:p>
    <w:p>
      <w:pPr>
        <w:pStyle w:val="Heading2"/>
        <w:ind w:firstLine="560" w:firstLineChars="200"/>
        <w:rPr>
          <w:rFonts w:ascii="仿宋" w:eastAsia="仿宋" w:hAnsi="仿宋" w:cs="仿宋" w:hint="eastAsia"/>
          <w:sz w:val="28"/>
          <w:lang w:eastAsia="zh-CN"/>
        </w:rPr>
      </w:pPr>
      <w:bookmarkStart w:id="15" w:name="_Toc8442"/>
      <w:r>
        <w:rPr>
          <w:rFonts w:ascii="仿宋" w:eastAsia="仿宋" w:hAnsi="仿宋" w:cs="仿宋" w:hint="eastAsia"/>
          <w:sz w:val="28"/>
          <w:lang w:eastAsia="zh-CN"/>
        </w:rPr>
        <w:t>(二)、建设方案</w:t>
      </w:r>
      <w:bookmarkEnd w:id="1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内燃牵引车项目的建筑设计严格遵循现代企业建设标准，选用轻钢结构和框架结构，并依据相关法规采取必要的抗震措施。整体设计注重充分利用自然环境，强调空间关系的丰富性，以追求独特而舒适的设计风格。主要建筑物的围护结构和屋顶均符合建筑节能和防渗漏的标准，同时在生产车间设置天窗以实现良好的采光和自然通风，选用具备出色气密性和防水性的材料。</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生产车间的建筑采用轻钢框架结构，保证整体结构性能的卓越表现，符合国家相关规范的要求，有利于抗震和防腐，并在投资上具备节约性和施工上的便利性。设计充分考虑通风需求，有效降低火灾和爆炸风险。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按照《建筑内部装修设计防火规范》，内燃牵引车项目耐火等级为二级，屋顶防水等级为三级，严格按照《屋面工程技术规范》的要求进行施工。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针对地质条件和生产需求，项目装置的土建结构初步设计采用钢筋混凝土独立基础。</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根据项目特点和当地规划建设管理部门对建筑结构的要求，生产车间拟采用全钢结构。</w:t>
      </w:r>
    </w:p>
    <w:p>
      <w:pPr>
        <w:ind w:firstLine="560" w:firstLineChars="200"/>
        <w:rPr>
          <w:rFonts w:ascii="仿宋" w:eastAsia="仿宋" w:hAnsi="仿宋" w:cs="仿宋" w:hint="eastAsia"/>
          <w:sz w:val="28"/>
          <w:lang w:eastAsia="zh-CN"/>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6.  建筑结构的设计使用年限定为50年，安全等级为二级。</w:t>
      </w:r>
    </w:p>
    <w:p>
      <w:pPr>
        <w:pStyle w:val="Heading2"/>
        <w:ind w:firstLine="560" w:firstLineChars="200"/>
        <w:rPr>
          <w:rFonts w:ascii="仿宋" w:eastAsia="仿宋" w:hAnsi="仿宋" w:cs="仿宋" w:hint="eastAsia"/>
          <w:sz w:val="28"/>
          <w:lang w:eastAsia="zh-CN"/>
        </w:rPr>
      </w:pPr>
      <w:bookmarkStart w:id="16" w:name="_Toc8125"/>
      <w:r>
        <w:rPr>
          <w:rFonts w:ascii="仿宋" w:eastAsia="仿宋" w:hAnsi="仿宋" w:cs="仿宋" w:hint="eastAsia"/>
          <w:sz w:val="28"/>
          <w:lang w:eastAsia="zh-CN"/>
        </w:rPr>
        <w:t>(三)、建筑工程建设指标</w:t>
      </w:r>
      <w:bookmarkEnd w:id="16"/>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内燃牵引车项目建筑面积XXm²，其中：生产工程XXm²，仓储工程XXm²，行政办公及生活服务设施XXm²，公共工程XXm²。</w:t>
      </w:r>
    </w:p>
    <w:p>
      <w:pPr>
        <w:pStyle w:val="Heading1"/>
        <w:ind w:firstLine="560" w:firstLineChars="200"/>
        <w:rPr>
          <w:rFonts w:ascii="仿宋" w:eastAsia="仿宋" w:hAnsi="仿宋" w:cs="仿宋" w:hint="eastAsia"/>
          <w:sz w:val="28"/>
          <w:lang w:eastAsia="zh-CN"/>
        </w:rPr>
      </w:pPr>
      <w:bookmarkStart w:id="17" w:name="_Toc28463"/>
      <w:r>
        <w:rPr>
          <w:rFonts w:ascii="仿宋" w:eastAsia="仿宋" w:hAnsi="仿宋" w:cs="仿宋" w:hint="eastAsia"/>
          <w:sz w:val="28"/>
          <w:lang w:eastAsia="zh-CN"/>
        </w:rPr>
        <w:t>五、SWOT分析</w:t>
      </w:r>
      <w:bookmarkEnd w:id="17"/>
    </w:p>
    <w:p>
      <w:pPr>
        <w:pStyle w:val="Heading2"/>
        <w:rPr>
          <w:rFonts w:ascii="仿宋" w:eastAsia="仿宋" w:hAnsi="仿宋" w:cs="仿宋" w:hint="eastAsia"/>
          <w:lang w:eastAsia="zh-CN"/>
        </w:rPr>
      </w:pPr>
      <w:bookmarkStart w:id="18" w:name="_Toc5721"/>
      <w:r>
        <w:rPr>
          <w:rFonts w:ascii="仿宋" w:eastAsia="仿宋" w:hAnsi="仿宋" w:cs="仿宋" w:hint="eastAsia"/>
          <w:lang w:eastAsia="zh-CN"/>
        </w:rPr>
        <w:t>(一)、优势分析(S)</w:t>
      </w:r>
      <w:bookmarkEnd w:id="18"/>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内燃牵引车公司在技术研发方面拥有显著的优势，创新能力备受瞩目。持续投入大量资源进行研究开发和技术成果的应用，致力于构建独具核心竞争力的自主知识产权。内燃牵引车公司产品一直以来在技术和质量方面保持卓越优势，主要生产线依托自家技术的研发而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公司拥有一支技术研发、产品应用和市场拓展并进的核心团队。该团队由经验丰富、在内燃牵引车行业内积累多年研发、经营管理和市场拓展经验的资深专业人士组成。他们与公司的利益紧密相连，为公司树立了高效务实、协同合作的企业文化。内燃牵引车公司稳定的核心团队为其提供了可靠的人力资源支持，助力公司保持技术创新并不断拓展业务。</w:t>
      </w:r>
    </w:p>
    <w:p>
      <w:pPr>
        <w:ind w:firstLine="560" w:firstLineChars="200"/>
        <w:rPr>
          <w:rFonts w:ascii="仿宋" w:eastAsia="仿宋" w:hAnsi="仿宋" w:cs="仿宋" w:hint="eastAsia"/>
          <w:sz w:val="28"/>
          <w:lang w:eastAsia="zh-CN"/>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(三)</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内燃牵引车公司拥有一批优质的内燃牵引车行业领先客户。凭借卓越的技术创新、产品质量和服务水平，内燃牵引车公司成功树立了卓越的品牌形象，赢得了高度认可。与优质客户之间保持牢固的合作关系，使公司更深刻地理解内燃牵引车行业核心需求、产品趋势和最新技术标准。这有助于公司研发出更符合市场需求的产品，提升其核心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 公司在内燃牵引车行业中占据有利的竞争地位。通过多年的深耕，公司已经在技术、品牌、运营效率等多个方面形成了竞争优势。同时，随着内燃牵引车行业的深度整合和集中度的提升，下游客户为确保原材料供应的安全与稳定，对公司产品的需求也在不断增加。公司占据有利的竞争地位，为其长期可持续发展提供了有力支撑。</w:t>
      </w:r>
    </w:p>
    <w:p>
      <w:pPr>
        <w:pStyle w:val="Heading2"/>
        <w:ind w:firstLine="560" w:firstLineChars="200"/>
        <w:rPr>
          <w:rFonts w:ascii="仿宋" w:eastAsia="仿宋" w:hAnsi="仿宋" w:cs="仿宋" w:hint="eastAsia"/>
          <w:sz w:val="28"/>
          <w:lang w:eastAsia="zh-CN"/>
        </w:rPr>
      </w:pPr>
      <w:bookmarkStart w:id="19" w:name="_Toc27675"/>
      <w:r>
        <w:rPr>
          <w:rFonts w:ascii="仿宋" w:eastAsia="仿宋" w:hAnsi="仿宋" w:cs="仿宋" w:hint="eastAsia"/>
          <w:sz w:val="28"/>
          <w:lang w:eastAsia="zh-CN"/>
        </w:rPr>
        <w:t>(二)、劣势分析(W)</w:t>
      </w:r>
      <w:bookmarkEnd w:id="19"/>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资本实力相对不足</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近年来，随着内燃牵引车公司订单急剧增加，生产规模不断扩大，各类内燃牵引车产品市场逐步开拓，公司对流动资金的需求显著增加。随着产品技术水平的提升，公司对先进生产设备和研发内燃牵引车项目的投资需求也在不断增长。公司规模和业务的不断扩张对其资本实力提出了更高的挑战。为了适应发展需要，公司迫切需要转变过去主要依赖自有资金发展的模式，转向采用多种融资方式相结合的模式，以增强资本实力，更加全面地扩大产能、推进自主创新，并持续推动企业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规模效益不明显</w:t>
      </w:r>
    </w:p>
    <w:p>
      <w:pPr>
        <w:ind w:firstLine="560" w:firstLineChars="200"/>
        <w:rPr>
          <w:rFonts w:ascii="仿宋" w:eastAsia="仿宋" w:hAnsi="仿宋" w:cs="仿宋" w:hint="eastAsia"/>
          <w:sz w:val="28"/>
          <w:lang w:eastAsia="zh-CN"/>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经过多年的发展，内燃牵引车行业整合不断加速。尽管公司在同内燃牵引车行业中已经占据了相对优势的市场地位，但与内燃牵引车行业领先企业相比，公司的规模效益仍有提升空间。因此，公司计划通过加大对优势项目的投资，扩大产能规模，促使公司朝着规模经济化的方向迈出更大的步伐。这将有助于提高公司在市场上的竞争力，进一步推动业务的可持续增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(三)市场变化风险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所处的市场环境日新月异，内燃牵引车行业竞争激烈，市场需求和消费习惯变化较为迅速。随着技术、法规和市场趋势的不断演变，公司可能面临产品淘汰、新技术涌现等市场风险。因此，公司需要保持对市场的敏感度，加强市场调研，及时调整产品结构，灵活应对市场的变化，确保公司产品的市场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(四)人才队伍建设</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随着公司规模的扩大和业务的多元化，对高素质的人才需求日益增加。公司在技术研发、市场拓展、管理等方面需要具备专业知识和经验的人才。因此，公司需加大人才引进和培养的力度，建设一支适应企业发展需要的高效团队，以保障公司战略目标的实现。</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(五)供应链风险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生产和运营依赖于稳定的供应链，包括原材料、零部件等。全球范围内的自然灾害、政治经济变化等不确定因素可能导致供应链中断，进而影响公司的生产和交付。因此，公司需要建立健全的供应链管理体系，加强供应商合作，规遍风险管理，确保生产运营的稳定性。</w:t>
      </w:r>
    </w:p>
    <w:p>
      <w:pPr>
        <w:pStyle w:val="Heading2"/>
        <w:ind w:firstLine="560" w:firstLineChars="200"/>
        <w:rPr>
          <w:rFonts w:ascii="仿宋" w:eastAsia="仿宋" w:hAnsi="仿宋" w:cs="仿宋" w:hint="eastAsia"/>
          <w:sz w:val="28"/>
          <w:lang w:eastAsia="zh-CN"/>
        </w:rPr>
      </w:pPr>
      <w:bookmarkStart w:id="20" w:name="_Toc1764"/>
      <w:r>
        <w:rPr>
          <w:rFonts w:ascii="仿宋" w:eastAsia="仿宋" w:hAnsi="仿宋" w:cs="仿宋" w:hint="eastAsia"/>
          <w:sz w:val="28"/>
          <w:lang w:eastAsia="zh-CN"/>
        </w:rPr>
        <w:t>(三)、机会分析(O)</w:t>
      </w:r>
      <w:bookmarkEnd w:id="20"/>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(一)符合我国相关产业政策和发展规划</w:t>
      </w:r>
    </w:p>
    <w:p>
      <w:pPr>
        <w:ind w:firstLine="560" w:firstLineChars="200"/>
        <w:rPr>
          <w:rFonts w:ascii="仿宋" w:eastAsia="仿宋" w:hAnsi="仿宋" w:cs="仿宋" w:hint="eastAsia"/>
          <w:sz w:val="28"/>
          <w:lang w:eastAsia="zh-CN"/>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近年来，我国政府为促进内燃牵引车产业结构的升级和转型制定了多项发展规划和产业政策，以支持各内燃牵引车行业的发展。这些政策的主要目标是鼓励内燃牵引车行业进行新材料、新工艺、新产品的研发，以推动内燃牵引车行业实现结构调整和升级转型，为本内燃牵引车行业提供了有力支持，有望推动其健康、迅速的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(二)项目产品市场前景广阔</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由于终端消费市场的广泛存在以及不断升级的消费需求，内燃牵引车行业将持续保持增长。市场的广阔前景为内燃牵引车行业提供了发展的空间，使其能够适应不断变化的市场趋势，实现持续增长。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(三)公司具备成熟的生产技术及管理经验</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经过多年的技术改进和工艺研发，已经构建了完善的产品生产线，配置了先进的染整设备，形成了门类齐全、品种丰富的工艺体系，为客户提供全方位的染整服务。公司通过自主培养和引进外部人才，形成了一支团结进取的核心管理团队，建立了稳定高效的管理结构。管理团队对品牌建设、营销网络管理、人才管理等方面有深入理解，能够灵活调整公司战略和业务，为公司的健康快速发展提供有力保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(四)建设条件良好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内燃牵引车项目基于公司现有的研发条件和基础，按照公司发展战略的要求，通过提升和改造研发测试环境，建设了集科研、开发、检测试验、新产品测试于一体的研发中心。各项建设条件已经实施，工程技术方案切实可行，项目的实施将全面提升公司的技术研发能力，具备了可行性。</w:t>
      </w:r>
    </w:p>
    <w:p>
      <w:pPr>
        <w:ind w:firstLine="560" w:firstLineChars="200"/>
        <w:rPr>
          <w:rFonts w:ascii="仿宋" w:eastAsia="仿宋" w:hAnsi="仿宋" w:cs="仿宋" w:hint="eastAsia"/>
          <w:sz w:val="28"/>
          <w:lang w:eastAsia="zh-CN"/>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(五) 市场需求稳步增长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随着社会经济的发展，内燃牵引车行业所涉及的产品在市场上的需求呈现出稳步增长的趋势。这种增长源于广泛的终端消费市场和对高品质、创新产品的不断追求，为公司提供了持续稳定的市场需求，为业务的拓展创造了有利条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(六) 强大的技术研发能力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已建立起强大的技术研发体系，通过不断的技术改造和创新，具备了在新材料、新工艺、新产品方面持续领先的能力。这使得公司能够不断推出具有竞争力的产品，满足市场的多样化需求，保持在内燃牵引车行业中的竞争优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(七) 稳定高效的核心管理团队</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核心管理团队具备丰富的内燃牵引车行业经验和深厚的专业知识，对市场变化敏感，能够迅速做出决策应对挑战。团队的高效协作和稳定性为公司的战略制定、执行以及业务运营提供了坚实的支持，有助于公司更好地适应市场动态和业务需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(八) 注重品牌建设和客户服务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公司注重品牌建设和客户服务，通过提供优质的产品和专业化的服务，赢得了良好的市场声誉和客户口碑。积极的品牌形象和卓越的客户服务为公司赢得了客户的信任，有助于拓展市场份额和提高客户忠诚度。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这些优势因素共同构成了公司的竞争优势，为其在市场竞争中稳健发展提供了有力支持。</w:t>
      </w:r>
      <w:r>
        <w:rPr>
          <w:rFonts w:ascii="仿宋" w:eastAsia="仿宋" w:hAnsi="仿宋" w:cs="仿宋" w:hint="eastAsia"/>
          <w:sz w:val="28"/>
          <w:lang w:eastAsia="zh-CN"/>
        </w:rPr>
        <w:br/>
      </w:r>
      <w:r>
        <w:rPr>
          <w:rFonts w:ascii="仿宋" w:eastAsia="仿宋" w:hAnsi="仿宋" w:cs="仿宋" w:hint="eastAsia"/>
          <w:sz w:val="28"/>
          <w:lang w:eastAsia="zh-CN"/>
        </w:rPr>
        <w:br/>
      </w:r>
    </w:p>
    <w:p>
      <w:pPr>
        <w:keepNext w:val="0"/>
        <w:keepLines w:val="0"/>
        <w:widowControl/>
        <w:shd w:val="clear" w:color="auto" w:fill="auto"/>
        <w:bidi w:val="0"/>
        <w:spacing w:before="0" w:after="0" w:line="240" w:lineRule="auto"/>
        <w:ind w:left="0" w:right="0" w:firstLine="0"/>
        <w:jc w:val="left"/>
        <w:rPr>
          <w:rFonts w:ascii="SimSun" w:eastAsia="SimSun" w:hAnsi="SimSun" w:cs="SimSun"/>
          <w:b/>
          <w:bCs/>
          <w:spacing w:val="0"/>
          <w:w w:val="100"/>
          <w:position w:val="0"/>
          <w:sz w:val="30"/>
          <w:szCs w:val="30"/>
          <w:shd w:val="clear" w:color="auto" w:fill="auto"/>
        </w:rPr>
      </w:pPr>
      <w:r>
        <w:rPr>
          <w:rFonts w:ascii="SimSun" w:eastAsia="SimSun" w:hAnsi="SimSun" w:cs="SimSun"/>
          <w:b/>
          <w:bCs/>
          <w:spacing w:val="0"/>
          <w:w w:val="100"/>
          <w:position w:val="0"/>
          <w:sz w:val="30"/>
          <w:szCs w:val="30"/>
          <w:shd w:val="clear" w:color="auto" w:fill="auto"/>
        </w:rPr>
        <w:t>以上内容仅为本文档的试下载部分，为可阅读页数的一半内容。如要下载或阅读全文，请访问：</w:t>
      </w:r>
      <w:hyperlink r:id="rId32" w:history="1">
        <w:r>
          <w:rPr>
            <w:rFonts w:ascii="SimSun" w:eastAsia="SimSun" w:hAnsi="SimSun" w:cs="SimSun"/>
            <w:b/>
            <w:bCs/>
            <w:color w:val="0000EE"/>
            <w:spacing w:val="0"/>
            <w:w w:val="100"/>
            <w:position w:val="0"/>
            <w:sz w:val="30"/>
            <w:szCs w:val="30"/>
            <w:u w:val="single" w:color="0000EE"/>
            <w:shd w:val="clear" w:color="auto" w:fill="auto"/>
          </w:rPr>
          <w:t>https://d.book118.com/448045136117006024</w:t>
        </w:r>
      </w:hyperlink>
    </w:p>
    <w:p>
      <w:pPr>
        <w:ind w:firstLine="560" w:firstLineChars="200"/>
        <w:rPr>
          <w:rFonts w:ascii="仿宋" w:eastAsia="仿宋" w:hAnsi="仿宋" w:cs="仿宋" w:hint="eastAsia"/>
          <w:sz w:val="28"/>
          <w:lang w:eastAsia="zh-CN"/>
        </w:rPr>
      </w:pPr>
    </w:p>
    <w:sectPr>
      <w:headerReference w:type="default" r:id="rId33"/>
      <w:footerReference w:type="default" r:id="rId34"/>
      <w:type w:val="nextPage"/>
      <w:pgSz w:w="11906" w:h="16838"/>
      <w:pgMar w:top="1440" w:right="1800" w:bottom="1440" w:left="1800" w:header="851" w:footer="992" w:gutter="0"/>
      <w:pgNumType w:start="1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内燃牵引车投资申请报告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内燃牵引车投资申请报告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内燃牵引车投资申请报告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内燃牵引车投资申请报告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内燃牵引车投资申请报告</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内燃牵引车投资申请报告</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内燃牵引车投资申请报告</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内燃牵引车投资申请报告</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内燃牵引车投资申请报告</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内燃牵引车投资申请报告</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内燃牵引车投资申请报告</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内燃牵引车投资申请报告</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内燃牵引车投资申请报告</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内燃牵引车投资申请报告</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内燃牵引车投资申请报告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E511391"/>
    <w:rsid w:val="282E6701"/>
    <w:rsid w:val="3E675B86"/>
    <w:rsid w:val="44335160"/>
    <w:rsid w:val="497C50C6"/>
    <w:rsid w:val="59204A0B"/>
    <w:rsid w:val="5D2D2508"/>
    <w:rsid w:val="5E511391"/>
    <w:rsid w:val="689E7DA6"/>
    <w:rsid w:val="6EC2449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keepNext w:val="0"/>
      <w:keepLines w:val="0"/>
      <w:widowControl w:val="0"/>
      <w:shd w:val="clear" w:color="auto" w:fill="auto"/>
      <w:bidi w:val="0"/>
      <w:spacing w:before="0" w:after="0" w:line="240" w:lineRule="auto"/>
      <w:ind w:left="0" w:right="0" w:firstLine="0"/>
      <w:jc w:val="left"/>
    </w:pPr>
    <w:rPr>
      <w:rFonts w:ascii="Times New Roman" w:eastAsia="仿宋_GB2312" w:hAnsi="Times New Roman" w:cs="Courier New"/>
      <w:color w:val="000000"/>
      <w:spacing w:val="0"/>
      <w:w w:val="100"/>
      <w:position w:val="0"/>
      <w:sz w:val="24"/>
      <w:szCs w:val="24"/>
      <w:shd w:val="clear" w:color="auto" w:fill="auto"/>
      <w:lang w:val="en-US" w:eastAsia="en-US" w:bidi="en-US"/>
    </w:rPr>
  </w:style>
  <w:style w:type="paragraph" w:styleId="Heading1">
    <w:name w:val="heading 1"/>
    <w:basedOn w:val="Normal"/>
    <w:next w:val="Normal"/>
    <w:qFormat/>
    <w:pPr>
      <w:keepNext/>
      <w:keepLines/>
      <w:spacing w:before="340" w:beforeLines="0" w:beforeAutospacing="0" w:after="330" w:afterLines="0" w:afterAutospacing="0" w:line="360" w:lineRule="auto"/>
      <w:jc w:val="center"/>
      <w:outlineLvl w:val="0"/>
    </w:pPr>
    <w:rPr>
      <w:rFonts w:ascii="Times New Roman" w:hAnsi="Times New Roman" w:eastAsiaTheme="majorEastAsia" w:cs="Courier New"/>
      <w:b/>
      <w:color w:val="000000"/>
      <w:kern w:val="44"/>
      <w:sz w:val="44"/>
      <w:shd w:val="clear" w:color="auto" w:fill="auto"/>
      <w:lang w:eastAsia="en-US" w:bidi="en-US"/>
    </w:rPr>
  </w:style>
  <w:style w:type="paragraph" w:styleId="Heading2">
    <w:name w:val="heading 2"/>
    <w:basedOn w:val="Normal"/>
    <w:next w:val="Normal"/>
    <w:unhideWhenUsed/>
    <w:qFormat/>
    <w:pPr>
      <w:keepNext/>
      <w:keepLines/>
      <w:spacing w:before="140" w:beforeLines="0" w:beforeAutospacing="0" w:after="140" w:afterLines="0" w:afterAutospacing="0" w:line="240" w:lineRule="auto"/>
      <w:outlineLvl w:val="1"/>
    </w:pPr>
    <w:rPr>
      <w:rFonts w:eastAsia="仿宋_GB2312"/>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yperlink" Target="https://d.book118.com/448045136117006024" TargetMode="Externa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theme" Target="theme/theme1.xml" /><Relationship Id="rId36"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cp:revision>
  <dcterms:created xsi:type="dcterms:W3CDTF">2024-01-04T09:52:00Z</dcterms:created>
  <dcterms:modified xsi:type="dcterms:W3CDTF">2024-01-04T09:52:55Z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4BE9BFD352BE4DE2A9C29B1556BE3608_11</vt:lpwstr>
  </property>
  <property fmtid="{D5CDD505-2E9C-101B-9397-08002B2CF9AE}" pid="3" name="KSOProductBuildVer">
    <vt:lpwstr>2052-12.1.0.16120</vt:lpwstr>
  </property>
</Properties>
</file>