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2022年中级经济师《金融》试题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就是不论借贷期限的长短，仅按本金计算利息，上期本金产生的利息不计入下期本金计算利息。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复利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连续复利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单利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等额本息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参考（江南博哥）解析：</w:t>
      </w:r>
      <w:r>
        <w:rPr>
          <w:rFonts w:ascii="宋体" w:eastAsia="宋体" w:hAnsi="宋体" w:cs="宋体" w:hint="eastAsia"/>
          <w:outline w:val="0"/>
          <w:shadow w:val="0"/>
          <w:emboss w:val="0"/>
          <w:imprint w:val="0"/>
          <w:vanish w:val="0"/>
          <w:w w:val="100"/>
          <w:sz w:val="28"/>
          <w:szCs w:val="28"/>
          <w:u w:val="none"/>
        </w:rPr>
        <w:t>单利就是不论借贷期限的长短，仅按本金计算利息，上期本金产生的利息不计入下期本金计算利息。考点：第一章——利率概述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[单选题]2.长期债券的利率等于长期债券到期日之前各时间段内人们所预期的短期利率的平均值，该理论是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分割市场理论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流动性溢价理论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流动性偏好理论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预期理论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预期理论认为，长期债券的利率等于长期债券到期日之前各时间段内人们所预期的短期利率的平均值。考点：第一章——利率决定理论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[单选题]3.官方通过立法明确规定本币与某一关键货币保持固定汇率，同时对本币发行做特殊限制，以确保履行法定义务的汇率制度是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货币局制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水平区间内钉住汇率制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爬行区间钉住汇率制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爬行钉住汇率制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货币局制是指官方通过立法明确规定本币与某一关键货币保持固定汇率，同时对本币发行做特殊限制，以确保履行法定义务的汇率制度。考点：第一章——汇率制度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[单选题]4.以一定整数单位的外国货币为标准，折算为若干单位的本国货币，这种汇率标价法为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应收标价法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直接标价法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间接标价法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本币汇率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直接标价法又称应付标价法，是以一定整数单位（1.100.10000等）的外国货币为标准，折算为若干单位的本国货币。考点：第一章—汇率的概念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[单选题]5.按照外汇交易的交割期限，汇率可以分为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基本汇率与套算汇率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买入汇率与卖出汇率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开盘汇率与收盘汇率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即期汇率与远期汇率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汇率的制定方法，汇率可以分为基本汇率与套算汇率，A错误。根据商业银行对外汇的买卖，汇率可以分为买入汇率与卖出汇率，B错误。根据商业银行报出汇率的时间，汇率可以分为开盘汇率与收盘汇率。C错误。根据外汇交易的交割期限，汇率可以分为即期汇率与远期汇率。D正确。考点：第一章——汇率的概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[单选题]6.投资人购买债券后，将债券持有到偿还期所获得的收益称为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本期收益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到期收益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名义收益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实际收益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到期收益是指将债券持有到偿还期所获得的收益。考点：第一章——收益率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[单选题]7.银行承兑汇票的特点不包括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安全性高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融资期限长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流动性强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灵活性强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银行承兑汇票具有以下特点：①安全性；②流动性；③灵活性强。考点：第二章——货币市场及其构成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[单选题]8.关于债券特征的说法，错误的是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在到期日之前，债券一般都可在流通市场上自由转让变现，具有较强的流动性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债券的投资收入主要包括利息以及在二级市场上出售债券时获得的买卖价差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在融资企业破产时，优先股持有者享有优先于债券持有者对企业剩余资产的索取权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债券有规定的偿还期限，债务人必须按期向债权人支付利息和偿还本金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债券具有以下四个特征。①偿还性。债券有规定的偿还期限，债务人必须按期向债权人支付利息和偿还本金。D正确。②流动性。在到期日之前，债券一般都可在流通市场上自由转让变现，具有较强的流动性。一般来说，债券市场越发达，债券发行人的信用程度越高，债券期限越短时，债券的流动性就越强。A正确。③收益性。债券能够为投资者带来一定的收入，这种收入主要包括投资者获得的利息以及在二级市场上出售债券时获得的买卖价差。B正确。④优先受偿性。在融资企业破产时，债券持有者享有优先于股票持有者对企业剩余资产的索取权。C错误。考点：第二章——资本市场及其构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[单选题]9.关于金融基础设施的说法，错误的是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金融产品的发行创设与流通转让离不开金融基础设施的支持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金融基础设施能有效提高交易效率.降低参与成本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金融基础设施不包括为各类金融活动提供基础性公共服务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金融基础设施是金融市场稳定高效运行的基础性保障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融市场基础设施是指为各类金融活动提供基础性公共服务的系统及制度安排，在金融市场运行中居于枢纽地位，是金融市场稳健高效运行的基础性保障，是实施宏观审慎管理和强化风险防控的重要抓手。C错误，D正确。金融产品的发行创设与流通转让离不开金融市场基础设施的支持，金融市场基础设施可为金融资产交易提供支付.结算.清算.存管以及记录等服务，能有效提高交易效率.降低参与成本以及限制系统性风险。A.B正确。考点：第二章——金融市场基础设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[单选题]10.下列中央银行中，实行全部资本为国家所有的资本结构的是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日本银行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欧洲中央银行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中国人民银行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美国联邦储备银行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目前大多数国家中央银行的资本结构都是国有形式，如英国.法国.德国.加拿大.中国.印度.俄罗斯.印度尼西亚等。C正确。日本采用国家和民间股份混合所有的资本结构。欧洲中央银行采用资本为多国共有的资本结构。美国联邦储备银行属于全部资本非国家所有的资本结构。考点：第三章——中央银行制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[单选题]11.下列金融机构中，属于契约性金融机构的是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财务公司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信用合作社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货币市场基金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保险公司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契约性金融机构是以契约方式吸收持约人的资金，而后按契约规定承担向持约人履行赔付或资金返还义务的金融机构。包括保险公司.养老基金。考点：第三章——金融机构体系的构成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[单选题]12.下列经营原则中，不属于政策性金融机构的经营原则的是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安全性原则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政策性原则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效益性原则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保本微利原则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政策性金融机构的经营原则有政策性原则.安全性原则和保本微利原则。考点：第三章—政策性金融制度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[单选题]13.邮政储蓄银行.中国农业发展银行.国家开发银行分别属于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商业银行.政策性银行.开发性金融机构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契约性金融机构.政策性银行.开发性金融机构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政策性银行.政策性银行.政策性银行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存款类金融机构.商业银行.开发性金融机构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国邮政储蓄银行是在改革邮政储蓄管理体制基础上组建的商业银行。传统上我国政策性银行有中国进出口银行.中国农业发展银行.国家开发银行(已转型为开发性金融机构)。考点：第三章—我国的金融机构及其制度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[单选题]14.关于分支银行制度特点的说法，正确的是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分支银行制度易于内部管理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分支银行制度有利于防止银行业的集中和垄断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分支银行制度规模效益低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分支银行制度易于金融监管部门的监督和管理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分支银行制度的优点主要有以下几方面：①规模效益高。分支机构.营业网点的广泛设置，有利于银行吸收存款，扩大银行资本总额与经营规模，易于实现规模效益。C错误。②竞争力强。广泛的分支机构网络便于现代化管理手段和设备的采用与推广，可加速资金的调剂与周转，分散风险，提高金融服务质量和银行的竞争力。③易于监管。实行分支银行制度的商业银行规模较大，但总行的数量一般较少，有利于金融监管部门的监督与管理。D正确。其缺点主要有以下几方面：①加速银行业的垄断与集中。由于拥有庞大的分支机构体系，规模和实力较大，容易形成对中小银行的兼并.收购，会加速金融垄断。B错误。②管理难度大。由于分支机构分布广内部层级多，加大了银行管理控制的难度，要求总行或总管理处具有有效的管理控制手段和先进的通信系统等，否则会使银行经营效益下降。A错误。考点：第三章——商业银行制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[单选题]15.国家外汇管理局的基本职能不包括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负责国际收支的统计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负责制定和实施人民币汇率政策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承担外汇储备经营管理的责任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负责全国外汇市场的监督管理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国人民银行负责制定和实施人民币汇率政策，推动人民币跨境使用和国际使用，维护国际收支平衡，实施外汇管理，负责国际国内金融市场跟踪监测和风险预警，监测和管理跨境资本流动，持有.管理和经营国家外汇储备和黄金储备。B正确。考点：第三章—我国金融调控监管机构及其制度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[单选题]16.对客户进行信用调查时，通常采用信用的“5C”标准，“5C”不包括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经营环境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品格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资本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沟通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对客户进行信用调查通常采用信用的“5C”标准.即品格（character）.偿还能力（capacity）.资本（capital）.经营环境（condition）和担保品（collateral）。考点：第四章——商业银行贷款业务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[单选题]17.商业银行为了应对未来一定期限内的非预期损失而应该持有的资本，称为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注册资本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经济资本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会计资本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监管资本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经济资本又称为风险资本是指商业银行在一定的置信水平下，为了应对未来一定期限内的非预期损失而应该持有的资本。考点：第四章——资本管理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[单选题]18.关于商业银行表外业务和中间业务的说法，错误的是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表外业务和中间业务均不构成表内资产和负债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中间业务在商业银行营业收入中的占比持续下降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相比于传统业务而言，中间业务不承担或不直接承担市场风险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表外业务可能影响商业银行当期损益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表外业务和中间业务两者均不构成表内资产和负债，但中间业务主要是以客户委托为前提.由商业银行为客户办理支付和其他委托事项而收取手续费；表外业务则是可能影响银行当期损益，改变银行资产报酬率的经营活动。AD正确。相对传统业务而言，中间业务具有以下特点：不运用或不直接运用银行的自有资金；不承担或不直接承担市场风险；以接受客户委托为前提，为客户办理业务；以收取服务费（手续费管理费等）.赚取差价的方式获得收益；种类多.范围广，在商业银行营业收入中所占的比重日益上升。B错误，C正确。考点：第四章——商业银行贷款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[单选题]19.影响商业银行存款经营的因素不包括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政府的监管措施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支付机制的创新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呆账核销政策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存款创造的调控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影响商业银行存款经营的因素包括支付机制的创新.存款创造的调控.政府的监管措施。考点：第四章——商业银行负债业务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[单选题]20.契约型基金和公司型基金的说法，正确的是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契约型基金依据基金合同营运基金，公司型基金依据基金管理公司章程营运基金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契约型基金监督约束机制较为完善，公司型基金设立上更为简单易行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契约型基金只能在交易所按市价买卖，公司型基金交易在投资者和管理者之间完成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契约型基金具有法人资格，公司型基金不具有法人资格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契约型基金依据基金合同营运基金，公司型基金依据基金管理公司章程营运基金。A正确。公司型基金的优点是法律关系明确清晰，监督约束机制较为完善；但契约型基金在设立上更为简单易行。B错误。封闭式基金份额固定，在完成募集后，基金份额在证券交易所上市交易。投资者买卖封闭式基金份额，只能委托证券公司在证券交易所按市价买卖，交易在投资者之间完成。开放式基金份额不固定，投资者可以按照基金管理人确定的时间和地点，向基金管理人或其销售代理人提出申购.赎回申请，交易在投资者与基金管理人之间完成。C错误。公司型基金具有法人资格，契约型基金不具有法人资格。故D错误。考点：第五章——证券投资基金的类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[单选题]21.根据《货币市场基金监督管理办法》等规定，货币市场基金不可以投资的是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现金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期限在1年以内（含1年）的同业存单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可转换债券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剩余期限在397天以内（含397天）的债券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货币市场基金是指以现金.期限在1年以内（含1年）的银行存款.债券回购.中央银行票据，同业存单.剩余期限在397天以内（含397天）的债券非金融企业债务融资工具资产支持证券等货币市场短期有价证券为投资对象的基金。考点：第五章——证券投资基金的类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[单选题]22.按照有关规定，“管理人中管理人资产管理计划”应当在其名称中标明的是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JOJ</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FOF</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GOG</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MOM</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基金中基金资产管理计划.管理人中管理人资产管理计划应当按照规定分别在其名称中标明“FOF”“MOM”或者其他能够反映该资产管理计划类别的字样。员工持股计划.以收购上市公司为目的设立的资产管理计划等具有特定投资管理日标的资产管理计划，应当按照规定在其名称中标明反映该资产管理计划投资管理目标的字样。考点：第五章—基金管理公司的主要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[单选题]23.关于我国金融债券的说法，错误的是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非银行金融机构不得发行金融债券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应有具有债券评级能力的信用评级机构进行信用评级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金融债券的发行方式主要采用协议承销.招标承销等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金融债券主要在全国银行间债券市场发行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融债券是指依法在中华人民共和国境内设立的金融机构法人在全国银行间债券市场发行的.按约定还本付息的有价证券。我国发行金融债券的机构包括政策性银行.商业银行.企业集团财务公司及其他金融机构。A错误。我国金融债券主要在全国银行间债券市场公开发行或定向发行，主要采用协议承销.招标承销等方式，同时应由具有债券评级能力的信用评级机构进行信用评级。考点：第五章—证券承销与保荐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[单选题]24.证券投资基金的特征不包括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利益共享，风险共担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独立托管，保障本金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组合投资，分散风险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集合理财，专业管理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证券投资基金的特征：①集合理财，专业管理（降低成本）；②组合投资，分散风险（降低风险）；③利益共享，风险共担；④严格监管，信息透明；⑤独立托管，保障安全。考点：第五章—证券投资基金的概念的特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[单选题]25.在证券经纪业务中，业务关系的建立表现为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投资者开立客户交易结算资金第三方存管协议中的资金账户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开户和委托两个环节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投资者与证券公司签署风险揭示书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投资者与证券公司签订证券交易委托代理协议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证券经纪业务中，业务关系的建立表现为开户和委托两个环节。B正确。按照相关规定，投资者应先在证券登记结算公司或者其代理点开立证券账户；然后，投资者与证券公司签署风险揭示书.客户须知，签订证券交易委托代理协议，开立客户交易结算资金第三方存管协议中的资金账户等。经纪关系的建立只是确立了投资者和证券公司直接的代理关系，还没有形成实质上的委托关系。当投资者办理了具体的委托手续之后，即投资者填写了委托单或自助委托及证券公司受理了委托，两者才建立了受法律保护和约束的委托关系。经纪业务中的委托单，性质上相当于委托合同，不仅具有委托合同应具备的主要内容，还明确了证券公司作为受托人的代理业务。考点：第五章——证券经纪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[单选题]26.下列投资者中，不能被中国证监会视为合格投资者的是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某慈善基金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依法设立并接受国务院金融监督管理机构监管的机构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接受国务院金融监督管理机构监管的机构发行的资产管理产品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具有1年投资经历，家庭金融净资产不低于300万元的自然人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格投资者是指具备相应风险识别能力和风险承受能力，投资于单只理财产品不低于一定金额且符合下列条件的自然人法人或者依法成立的其他组织：①具有2年以上投资经历且满足家庭金融净资产不低于300万元人民币，或者家庭金融资产不低于500万元人民币，或者近3年本人年均收入不低于40万元人民币；②最近1年年末净资产不低于1000万元人民币的法人或者依法成立的其他组织；③中国银行保险监督管理委员会规定的其他情形。D错。考点：第四章——商业银行理财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[单选题]27.商业银行证券法明确规定，向不特定对象发行证券票面总值超过人民币5000万则</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需要强制组建承销团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发行人应当聘请具有保荐资格的机构担任保荐机构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证券公司可以自行选择是否组建承销团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证券公司应按规定能够注册登记为保荐机构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现行《证券法》取消了旧版向不特定对象发行的证券票面总值超过人民币五千万元时需要强制组建承销团的规定，证券公司可以自行选择是否组建承销团。考点：第五章——证券公司与证券投资基金管理公司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[单选题]28.关于不动产信托投资基金（REITs）的说法，错误的是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REITs自20世纪60年代在美国推出以来，在许多国家已成为专门投资不动产的成熟金融产品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REITs作为低风险的金融工具，具有流动性高，收益稳定，安全性强等特点，有利于丰富资本市场投资品种，拓宽社会资本投资渠道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REITs既可以封闭运行，也可以上市交易流通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REITs是一种以发行收益凭证的方式汇集特定多数投资者的资金，由专门投资机构进行房地产投资经营管理，并将投资综合收益按比例分配给投资者的一种信托基金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REITs作为中等收益.中等风险的金融工具，具有流动性高.收益稳定.安全性强等特点，有利于丰富资本市场投资品种，拓宽社会资本投资渠道。考点：第五章——证券投资基金的类别</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[单选题]29.RQFII指的是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债券通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合格境内机构投资者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合格境外机构投资者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人民币合格境外机构投资者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RQFII（qualified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foreign</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institutional</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investors）指的是人民币合格境外机构投资者。考点：第十章—我国的外汇管理体制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[单选题]30.信托关系的核心是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公共利益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企业社会责任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信托财产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信托公司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信托财产是信托关系的核心。考点：第六章—信托的概念与功能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[单选题]31.信托当事人不包括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委托人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受益人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托管人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受托人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信托当事人是指与信托有直接利害关系或权利义务关系的人，包括委托人.受托人和受益人，他们是实施信托活动的主体。考点：第六章——信托的概念与功能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[单选题]32.最常见的信托设立方式是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电子邮件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传真电报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信托合同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聊天记录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信托合同是最常见的信托设立方式。考点：第六章——信托的设立及管理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[单选题]33.金融租赁公司的业务不包括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发行金融债券融资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吸收非银行股东3个月（含）以上定期存款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同业拆借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签订信托合同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融租赁公司的业务许可不只局限于融资租赁，还可围绕融资租赁开展相关业务。根据《金融租赁公司管理办法》，我国金融租赁公司可申请经营融资租赁业务.转让和妥让融资租赁资产.固定收益类证券投资业务.接受承租人的租赁保证金.吸收非银行股东3个月（含）以上定期存款.同业拆借.向金融机构借款.境外借款.租赁物变卖及处理业务经济咨询等基本业务。此外，对于经营状况良好.风险管控能力较强的金融租赁公司，经国务院银行业监督管理机构批准，还可申请经营发行债券.在境内保税地区设立项目公司开展融资租赁业务.资产证券化.为控股子公司和项目公司对外融资提供担保等升级业务。金融租赁公司可以发行金融债券融资。考点：第六章——金融租赁公司的业务运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[单选题]34.信托业务风险控制的核心在于建立符合公司战略定位和发展方向的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风险管理概念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风险管理方法和工具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风险管理制度和流程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全面风险管理体系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信托业务风险控制的核心在于建立符合公司战略定位和发展方向的全面风险管理体系。考点：第六章——信托公司的业务风险与风险控制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[单选题]35.汇率风险可以细分为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法律风险.折算风险.经济风险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交易风险.折算风险.经济风险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交易风险.折算风险.投资风险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法律风险.国别风险.经济风险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汇率风险可以细分为交易风险.折算风险.经济风险。考点：第七章——金融风险概述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[单选题]36.小李在期权市场买入执行价格低的一份看涨期权，又买入执行价格高的一份看涨期权，再卖出执行价格介于前两者中间的两份看涨期权，则小李构建的套利策略是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套利。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盒式价差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蝶式价差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鹰式价差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水平价差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通过购买一个执行价格较低的看涨期权，购买一个执行价格较高的看涨期权，同时出售两个执行价格介于中间的看涨期权，投资者就可以构造一个蝶式价差期权。考点：第七章—金融期权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[单选题]37.关于金融期权的价值结构的说法，错误的是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期权时间价值指的是期权费减去内在价值部分以后的余值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期限越长的期权，期权的时间价值越大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期权的内在价值指期权按执行价格立即行使时所具有的价值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看跌期权的内在价值相当于标的资产现价与执行价格的差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时间价值指的是期权费减去内在价值部分以后的余值。A正确。期限越长的期权，基础资产价格发生变化的可能性越大，因而期权的时间价值越大。B正确。内在价值指期权按执行价格立即行使时所具有的价值，一般大于零。C正确。对于看涨期权来说，内在价值相当于标的资产现价与执行价格的差；而对于看跌期权来说，内在价值相当于执行价格与标的资产现价的差。D错误。考点：第七章—金融期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[单选题]38.使用货币互换通常可以管理的风险类型是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信用风险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利率风险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汇率风险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股价风险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货币互换是一种以约定的价格将一种货币定期兑换为另一种货币的协议。汇率风险是指有关主体在不同币别货币的相互兑换或折算中，因汇率在一定时间内发生意外变动，而蒙受经济损失的可能性。可以通过做货币互换交易把不利于自己的货币转换为对自己有利的货币，C正确。考点：第七章—金融风险的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[单选题]39.2004年9月，COSO委员会正式发布的文件是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《企业风险管理─战略与绩效的结合》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《合规与银行内部合规部门》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《内部控制-整合框架》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《企业风险管理-整合框架》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美国反虚假财务报告委员会下属的发起人委员会（COSO）着力开发一个便于管理层评价和改进其所在企业的风险管理的框架，并于2004年正式发布了《企业风险管理——整合框架》文件，这标志着含有并拓展内部控制体系的全面风险管理模式的问世。考点：第七章—全面风险的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[单选题]40.存款保险制度属于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风险补偿策略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风险分散策略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风险转移策略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风险预防策略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风险补偿是指商业银行采取各种措施对风险可能造成的损失加以弥补。银行常用的风险补偿方法有：合同补偿，即在订立合同时将风险因素考虑在内，如将风险可能造成的损失计入价格之中；保险补偿，即通过存款保险制度来减少银行风险；法律补偿，即利用法律手段对造成银行风险损失的法律责任者提起诉讼，尽可能地挽回损失。考点：第四章—风险管理与内部控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[单选题]41.根据凯恩斯的货币需求理论，投机性货币需求总量主要</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与利率水平负相关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与利率水平正相关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与边际消费倾向正相关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与边际消费倾向负相关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根据凯恩斯的货币需求理论，投机性货币需求总量与利率水平负相关。考点：第八章—货币需求理论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[单选题]42.建设流通中的现金为400亿元，存款为8000亿元，超额存款准备金为160亿元，法定存款准备金率为8%，那么货币乘数为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7.18</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7</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6.18</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现金漏损率=C/D=400÷8000×100%=5%超额存款准备金率=ER/D=160÷8000×100%=2%货币乘数=（1+c）/（c+r+e）=（1+5%）÷（5%+2%+8%）=7考点：第八章—货币乘数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[单选题]43.下列措施中，属于紧缩的财政政策的是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减少税收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增加财政补贴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增加财政转移支付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减少政府支出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紧缩的财政政策包括：①减少政府支出；②增加税收；③减少政府转移支付。D选项正确，ABC均属于宽松的财政政策。考点：第八章——通货膨胀及其治理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[单选题]44.通货紧缩是一种宏观经济现象，可以治理通货紧缩的措施有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减少社会福利开支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提高再贷款.再贴现率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中央银行在公开市场正回购业务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制定工资增长计划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属于治理通货膨胀的措施。治理通货紧缩的政策措施包括：（1）扩张性的财政政策，主要包括减税和增加财政支出；（2）扩张性的货币政策，如扩大中央银行基础货币的投放.增加对中小金融机构的再贷款.加大公开市场操作的力度.适当下调利率和存款准备金率等。（3）加快产业结构的调整；（4）其他，如可以在通货紧缩时期制订工资增长计划或限制价格下降。D正确。考点：第八章——通货紧缩及其治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[单选题]45.假设某国流通中的现金为1000亿元，活期存款准备金为20亿元，定期存款准备金为50亿元，超额存款准备金为30亿元，那么该国的基础货币为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亿元。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1080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1050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1100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基础货币=流通中的现金+准备金准备金=活期存款准备金+定期存款准备金+超额定期存款准备金基础货币=1000+20+50+30=1100考点：第八章—货币供给过程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[单选题]46.弗里德曼的货币需求理论认为，货币需求的决定性因素</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价格水平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恒久性收入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利率水平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人们的主观偏好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弗里德曼的货币需求理论认为货币需求函数是稳定的，这是因为：在货币需求中，利率的影响很小，因为利率变化后，各类资产的预期收益和机会成本发生相应的变动.相互之间有抵销作用，或者说，货币需求函数中的恒久性收入是货币需求的决定性因素。考点：第八章—货币需求理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[单选题]47.货币均衡的基本原理中，IS曲线上的点表示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市场达到均衡的状态中级经济师金融专业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劳动力市场达到均衡的状态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外汇市场达到均衡的状态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产品市场达到均衡的状态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货币均衡的基本原理中，IS曲线上的点表示产品市场达到均衡的状态。考点：第八章——货币均衡的基本原理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[单选题]48.宏观审慎政策工具中，属于结构维度的工具是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资产负债管理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跨境资本流动管理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特定机构附加监管规定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金融市场交易行为工具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结构维度的工具主要包括：①特定机构附加监管规定；②金融基础设施管理工具；③跨市场金融产品管理工具；④风险处置等阻断风险传染的管理工具。C正确。时间维度的工具主要包括：①资本管理工具；②流动性管理工具；③资产负债管理公开；④金融市场交易行为工具；⑤跨境资本流动管理工具。ABD属于时间维度的工具。考点：第九章——我国宏观审慎政策框架正式确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[单选题]49.根据巴塞尔协议Ⅲ，商业银行要设立“资本防护缓冲资金”，其总额不得低于银行风险加权资产的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3.5%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巴塞尔协议Ⅲ商业银行的一级资本充足率下限为6%，核心一级资本充足率下限为4.5%；系统重要性银行的附加资本要求为1%；商业银行要设立“资本防护缓冲资金”，总额不得低于银行风险资产的2.5%；各国可根据情况要求银行提取0-2.5%的逆周期资本缓冲，以便银行可以对抗过度放贷所带来的风险。考点：第四章——资本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[单选题]50.金融宏观调控的操作目标是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再贴现率与法定存款准备金率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利率与货币供应量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短期利率与基础货币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4"/>
          <w:cols w:num="1" w:space="0"/>
          <w:titlePg w:val="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稳定物价与充分就业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金融宏观调控的操作目标包括：短期利率与基础货币。考点：第九章——货币政策概述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[单选题]51.反映失业率与通货膨胀率之间存在着一种此消彼长关系的是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AD-AS曲线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IS-LM曲线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BP曲线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菲利普斯曲线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新西兰著名经济学家菲利普斯通过研究1861-1957年近百年英国的失业率与物价变动的关系，得出了结论：失业率与通货膨胀率之间存在着一种此消彼长的关系。考点：第九章——货币政策的目标与工具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[单选题]52.2016年8月，国际货币基金组织等联合发布《有效宏观审慎政策要素：国际经验与教训》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报告，将宏观审慎政策概括为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主要用于防范金融体系的整体风险，具有“宏观.逆周期.防传染”的基本属性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利用审慎工具来防范系统性危险，从而降低金融危机发生的频率及其影响程度的政策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利用审慎性工具防范系统性金融风险，从而避免实体经济遭受冲击的政策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主要用于解决危机中“大而不能倒”.顺周期性.监管不管不足和标准不高等问题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2016年8月，国际货币基金组织等联合发布《有效宏观审慎政策要素：国际经验与教训》报告，将宏观审慎政策概括为利用审慎工具来防范系统性危险，从而降低金融危机发生的频率及其影响程度的政策。考点：第九章—宏观审慎政策及其基本内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[单选题]53.通常称为银行业风险监管“三驾马车”的基本方法是指</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市场准入.非现场监管和现场检查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中国人民银行.中国银保监会.中国证监会分工协作监管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管法人.管高管和管内控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罚机构.罚高管和移送司法机关追究刑事责任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银行业监管的基本方法有三种，即市场准入.非现场监管和现场检查，通常被称为银行业风险监管的“三驾马车”。考点：第九章——银行业监管的主要内容与基本方法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[单选题]54.经济学中的充分就业通常是将两种情况排除在外，即</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摩擦性失业和自愿失业</w:t>
      </w:r>
      <w:r>
        <w:rPr>
          <w:rFonts w:ascii="宋体" w:eastAsia="宋体" w:hAnsi="宋体" w:cs="宋体" w:hint="eastAsia"/>
          <w:outline w:val="0"/>
          <w:shadow w:val="0"/>
          <w:emboss w:val="0"/>
          <w:imprint w:val="0"/>
          <w:vanish w:val="0"/>
          <w:w w:val="100"/>
          <w:sz w:val="28"/>
          <w:szCs w:val="28"/>
          <w:u w:val="none"/>
        </w:rPr>
        <w:br/>
      </w:r>
      <w:r>
        <w:rPr>
          <w:rFonts w:ascii="宋体" w:eastAsia="宋体" w:hAnsi="宋体" w:cs="宋体" w:hint="eastAsia"/>
          <w:outline w:val="0"/>
          <w:shadow w:val="0"/>
          <w:emboss w:val="0"/>
          <w:imprint w:val="0"/>
          <w:vanish w:val="0"/>
          <w:w w:val="100"/>
          <w:sz w:val="28"/>
          <w:szCs w:val="28"/>
          <w:u w:val="none"/>
        </w:rPr>
        <w:br/>
      </w:r>
    </w:p>
    <w:p>
      <w:pPr>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https://d.book118.com/455032244344011100</w:t>
        </w:r>
      </w:hyperlink>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p>
    <w:sectPr>
      <w:type w:val="nextPage"/>
      <w:pgSz w:w="11906" w:h="16839"/>
      <w:pgMar w:top="1440" w:right="1080" w:bottom="1440" w:left="1080" w:header="851" w:footer="992" w:gutter="0"/>
      <w:pgNumType w:start="15"/>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B9A2E15"/>
    <w:multiLevelType w:val="singleLevel"/>
    <w:tmpl w:val="5B9A2E15"/>
    <w:lvl w:ilvl="0">
      <w:start w:val="1"/>
      <w:numFmt w:val="decimal"/>
      <w:pStyle w:val="Heading1"/>
      <w:lvlText w:val="%1"/>
      <w:lvlJc w:val="left"/>
      <w:pPr>
        <w:ind w:left="420" w:hanging="42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420"/>
  <w:noPunctuationKerning/>
  <w:characterSpacingControl w:val="doNotCompress"/>
  <w:compat>
    <w:doNotBreakWrappedTables/>
    <w:doNotWrapTextWithPunct/>
    <w:doNotUseEastAsianBreakRules/>
    <w:growAutofit/>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FE2145F"/>
    <w:rsid w:val="7BC82B66"/>
  </w:rsids>
  <w:docVars>
    <w:docVar w:name="commondata" w:val="eyJoZGlkIjoiMzIxODdiYzkyZWJiMzc1YmY5NThiYjgyMjcxMWRjMmQ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jc w:val="left"/>
    </w:pPr>
    <w:rPr>
      <w:rFonts w:asciiTheme="minorEastAsia" w:eastAsiaTheme="minorEastAsia" w:hAnsiTheme="minorEastAsia" w:cstheme="minorEastAsia"/>
      <w:kern w:val="0"/>
      <w:sz w:val="24"/>
      <w:szCs w:val="24"/>
      <w:lang w:val="en-US" w:eastAsia="zh-CN" w:bidi="ar"/>
    </w:rPr>
  </w:style>
  <w:style w:type="paragraph" w:styleId="Heading1">
    <w:name w:val="heading 1"/>
    <w:basedOn w:val="Normal"/>
    <w:next w:val="Normal"/>
    <w:qFormat/>
    <w:pPr>
      <w:numPr>
        <w:ilvl w:val="0"/>
        <w:numId w:val="1"/>
      </w:num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paragraph" w:styleId="Heading5">
    <w:name w:val="heading 5"/>
    <w:basedOn w:val="Normal"/>
    <w:next w:val="Normal"/>
    <w:semiHidden/>
    <w:unhideWhenUsed/>
    <w:qFormat/>
    <w:pPr>
      <w:spacing w:before="0" w:beforeAutospacing="1" w:after="0" w:afterAutospacing="1"/>
      <w:jc w:val="left"/>
      <w:outlineLvl w:val="4"/>
    </w:pPr>
    <w:rPr>
      <w:rFonts w:ascii="宋体" w:eastAsia="宋体" w:hAnsi="宋体" w:cs="宋体" w:hint="eastAsia"/>
      <w:b/>
      <w:bCs/>
      <w:kern w:val="0"/>
      <w:sz w:val="20"/>
      <w:szCs w:val="20"/>
      <w:lang w:val="en-US" w:eastAsia="zh-CN" w:bidi="ar"/>
    </w:rPr>
  </w:style>
  <w:style w:type="paragraph" w:styleId="Heading6">
    <w:name w:val="heading 6"/>
    <w:basedOn w:val="Normal"/>
    <w:next w:val="Normal"/>
    <w:semiHidden/>
    <w:unhideWhenUsed/>
    <w:qFormat/>
    <w:pPr>
      <w:spacing w:before="0" w:beforeAutospacing="1" w:after="0" w:afterAutospacing="1"/>
      <w:jc w:val="left"/>
      <w:outlineLvl w:val="5"/>
    </w:pPr>
    <w:rPr>
      <w:rFonts w:ascii="宋体" w:eastAsia="宋体" w:hAnsi="宋体" w:cs="宋体" w:hint="eastAsia"/>
      <w:b/>
      <w:bCs/>
      <w:kern w:val="0"/>
      <w:sz w:val="15"/>
      <w:szCs w:val="15"/>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HTMLPreformatted">
    <w:name w:val="HTML Preformatted"/>
    <w:basedOn w:val="Normal"/>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autoRedefine/>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55032244344011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江南博哥</cp:lastModifiedBy>
  <cp:revision>0</cp:revision>
  <dcterms:created xsi:type="dcterms:W3CDTF">2024-01-26T12:44:00Z</dcterms:created>
  <dcterms:modified xsi:type="dcterms:W3CDTF">2024-01-27T00:48:46Z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290311DF9A38472982F0B84C351773F6_13</vt:lpwstr>
  </property>
  <property fmtid="{D5CDD505-2E9C-101B-9397-08002B2CF9AE}" pid="3" name="KSOProductBuildVer">
    <vt:lpwstr>2052-12.1.0.16120</vt:lpwstr>
  </property>
</Properties>
</file>