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宋体" w:eastAsia="宋体" w:hAnsi="宋体" w:cstheme="minorBidi"/>
          <w:kern w:val="0"/>
          <w:sz w:val="21"/>
          <w:szCs w:val="24"/>
          <w:lang w:val="en-US" w:eastAsia="zh-CN" w:bidi="ar"/>
        </w:rPr>
        <w:id w:val="147474792"/>
        <w:docPartObj>
          <w:docPartGallery w:val="Table of Contents"/>
          <w:docPartUnique/>
        </w:docPartObj>
        <w15:color w:val="DBDBDB"/>
      </w:sdtPr>
      <w:sdtEndPr>
        <w:rPr>
          <w:rFonts w:ascii="宋体" w:eastAsia="宋体" w:hAnsi="宋体" w:cstheme="minorBidi"/>
          <w:kern w:val="0"/>
          <w:sz w:val="21"/>
          <w:szCs w:val="24"/>
          <w:lang w:val="en-US" w:eastAsia="zh-CN" w:bidi="ar"/>
        </w:rPr>
      </w:sdtEndPr>
      <w:sdtContent>
        <w:p>
          <w:pPr>
            <w:pStyle w:val="Heading1"/>
            <w:keepNext/>
            <w:keepLines/>
            <w:pageBreakBefore w:val="0"/>
            <w:widowControl/>
            <w:kinsoku/>
            <w:wordWrap/>
            <w:overflowPunct/>
            <w:topLinePunct w:val="0"/>
            <w:autoSpaceDE/>
            <w:autoSpaceDN/>
            <w:bidi w:val="0"/>
            <w:adjustRightInd/>
            <w:snapToGrid/>
            <w:spacing w:before="624" w:beforeLines="200"/>
            <w:jc w:val="center"/>
            <w:textAlignment w:val="auto"/>
            <w:rPr>
              <w:rFonts w:hint="default"/>
              <w:lang w:val="en-US" w:eastAsia="zh-CN"/>
            </w:rPr>
          </w:pPr>
          <w:bookmarkStart w:id="0" w:name="_Toc4262"/>
          <w:r>
            <w:rPr>
              <w:rFonts w:hint="eastAsia"/>
              <w:b w:val="0"/>
              <w:bCs/>
              <w:sz w:val="44"/>
              <w:szCs w:val="44"/>
              <w:lang w:val="en-US" w:eastAsia="zh-CN"/>
            </w:rPr>
            <w:t>带时间窗的冷链物流配送路径优化实证分析</w:t>
          </w:r>
        </w:p>
        <w:p>
          <w:pPr>
            <w:pStyle w:val="Heading1"/>
            <w:keepNext/>
            <w:keepLines/>
            <w:pageBreakBefore w:val="0"/>
            <w:widowControl/>
            <w:kinsoku/>
            <w:wordWrap/>
            <w:overflowPunct/>
            <w:topLinePunct w:val="0"/>
            <w:autoSpaceDE/>
            <w:autoSpaceDN/>
            <w:bidi w:val="0"/>
            <w:adjustRightInd/>
            <w:snapToGrid/>
            <w:spacing w:before="624" w:beforeLines="200"/>
            <w:ind w:firstLine="0" w:firstLineChars="0"/>
            <w:jc w:val="center"/>
            <w:textAlignment w:val="auto"/>
            <w:rPr>
              <w:rFonts w:ascii="黑体" w:hAnsi="黑体" w:cs="黑体" w:hint="eastAsia"/>
              <w:szCs w:val="36"/>
            </w:rPr>
          </w:pPr>
        </w:p>
        <w:p>
          <w:pPr>
            <w:pStyle w:val="TOC1"/>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r>
            <w:fldChar w:fldCharType="begin"/>
          </w:r>
          <w:r>
            <w:instrText xml:space="preserve">TOC \o "1-3" \h \u </w:instrText>
          </w:r>
          <w:r>
            <w:fldChar w:fldCharType="separate"/>
          </w:r>
          <w:hyperlink w:anchor="_Toc19342" w:history="1">
            <w:r>
              <w:rPr>
                <w:rFonts w:asciiTheme="majorEastAsia" w:eastAsiaTheme="majorEastAsia" w:hAnsiTheme="majorEastAsia" w:cstheme="majorEastAsia" w:hint="eastAsia"/>
                <w:lang w:val="en-US" w:eastAsia="zh-CN"/>
              </w:rPr>
              <w:t>一、引言</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_Toc19342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4</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15457" w:history="1">
            <w:r>
              <w:rPr>
                <w:rFonts w:asciiTheme="majorEastAsia" w:eastAsiaTheme="majorEastAsia" w:hAnsiTheme="majorEastAsia" w:cstheme="majorEastAsia" w:hint="eastAsia"/>
                <w:lang w:val="en-US" w:eastAsia="zh-CN"/>
              </w:rPr>
              <w:t>（一）</w:t>
            </w:r>
            <w:r>
              <w:rPr>
                <w:rFonts w:asciiTheme="majorEastAsia" w:eastAsiaTheme="majorEastAsia" w:hAnsiTheme="majorEastAsia" w:cstheme="majorEastAsia" w:hint="eastAsia"/>
              </w:rPr>
              <w:t>实际意义</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_Toc15457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4</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8832" w:history="1">
            <w:r>
              <w:rPr>
                <w:rFonts w:asciiTheme="majorEastAsia" w:eastAsiaTheme="majorEastAsia" w:hAnsiTheme="majorEastAsia" w:cstheme="majorEastAsia" w:hint="eastAsia"/>
                <w:lang w:eastAsia="zh-CN"/>
              </w:rPr>
              <w:t>（</w:t>
            </w:r>
            <w:r>
              <w:rPr>
                <w:rFonts w:asciiTheme="majorEastAsia" w:eastAsiaTheme="majorEastAsia" w:hAnsiTheme="majorEastAsia" w:cstheme="majorEastAsia" w:hint="eastAsia"/>
                <w:lang w:val="en-US" w:eastAsia="zh-CN"/>
              </w:rPr>
              <w:t>二</w:t>
            </w:r>
            <w:r>
              <w:rPr>
                <w:rFonts w:asciiTheme="majorEastAsia" w:eastAsiaTheme="majorEastAsia" w:hAnsiTheme="majorEastAsia" w:cstheme="majorEastAsia" w:hint="eastAsia"/>
                <w:lang w:eastAsia="zh-CN"/>
              </w:rPr>
              <w:t>）</w:t>
            </w:r>
            <w:r>
              <w:rPr>
                <w:rFonts w:asciiTheme="majorEastAsia" w:eastAsiaTheme="majorEastAsia" w:hAnsiTheme="majorEastAsia" w:cstheme="majorEastAsia" w:hint="eastAsia"/>
              </w:rPr>
              <w:t>理论意义</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_Toc28832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4</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6766" w:history="1">
            <w:r>
              <w:rPr>
                <w:rFonts w:asciiTheme="majorEastAsia" w:eastAsiaTheme="majorEastAsia" w:hAnsiTheme="majorEastAsia" w:cstheme="majorEastAsia" w:hint="eastAsia"/>
                <w:lang w:val="en-US" w:eastAsia="zh-CN"/>
              </w:rPr>
              <w:t>（三）研究背景</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_Toc6766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4</w:t>
            </w:r>
            <w:r>
              <w:rPr>
                <w:rFonts w:asciiTheme="majorEastAsia" w:eastAsiaTheme="majorEastAsia" w:hAnsiTheme="majorEastAsia" w:cstheme="majorEastAsia" w:hint="eastAsia"/>
              </w:rPr>
              <w:fldChar w:fldCharType="end"/>
            </w:r>
          </w:hyperlink>
        </w:p>
        <w:p>
          <w:pPr>
            <w:pStyle w:val="TOC1"/>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31060" w:history="1">
            <w:r>
              <w:rPr>
                <w:rFonts w:asciiTheme="majorEastAsia" w:eastAsiaTheme="majorEastAsia" w:hAnsiTheme="majorEastAsia" w:cstheme="majorEastAsia" w:hint="eastAsia"/>
                <w:lang w:val="en-US" w:eastAsia="zh-CN"/>
              </w:rPr>
              <w:t>二、冷链物流配送相关理论及方法</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_Toc31060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5</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30694" w:history="1">
            <w:r>
              <w:rPr>
                <w:rFonts w:asciiTheme="majorEastAsia" w:eastAsiaTheme="majorEastAsia" w:hAnsiTheme="majorEastAsia" w:cstheme="majorEastAsia" w:hint="eastAsia"/>
                <w:lang w:val="en-US" w:eastAsia="zh-CN"/>
              </w:rPr>
              <w:t>（一）冷链物流相关理论</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_Toc30694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5</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2993" w:history="1">
            <w:r>
              <w:rPr>
                <w:rFonts w:asciiTheme="majorEastAsia" w:eastAsiaTheme="majorEastAsia" w:hAnsiTheme="majorEastAsia" w:cstheme="majorEastAsia" w:hint="eastAsia"/>
                <w:lang w:val="en-US" w:eastAsia="zh-CN"/>
              </w:rPr>
              <w:t>1、冷链物流的定义</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_Toc22993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5</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19677" w:history="1">
            <w:r>
              <w:rPr>
                <w:rFonts w:asciiTheme="majorEastAsia" w:eastAsiaTheme="majorEastAsia" w:hAnsiTheme="majorEastAsia" w:cstheme="majorEastAsia" w:hint="eastAsia"/>
                <w:lang w:val="en-US" w:eastAsia="zh-CN"/>
              </w:rPr>
              <w:t>2、冷链物流的特点</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_Toc19677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6</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1568" w:history="1">
            <w:r>
              <w:rPr>
                <w:rFonts w:asciiTheme="majorEastAsia" w:eastAsiaTheme="majorEastAsia" w:hAnsiTheme="majorEastAsia" w:cstheme="majorEastAsia" w:hint="eastAsia"/>
                <w:lang w:val="en-US" w:eastAsia="zh-CN"/>
              </w:rPr>
              <w:t>（二）冷链物流配送问题概述</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_Toc21568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7</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3475" w:history="1">
            <w:r>
              <w:rPr>
                <w:rFonts w:asciiTheme="majorEastAsia" w:eastAsiaTheme="majorEastAsia" w:hAnsiTheme="majorEastAsia" w:cstheme="majorEastAsia" w:hint="eastAsia"/>
                <w:lang w:val="en-US" w:eastAsia="zh-CN"/>
              </w:rPr>
              <w:t>（三）带时间窗的车辆路径问题</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_Toc23475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7</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8401" w:history="1">
            <w:r>
              <w:rPr>
                <w:rFonts w:asciiTheme="majorEastAsia" w:eastAsiaTheme="majorEastAsia" w:hAnsiTheme="majorEastAsia" w:cstheme="majorEastAsia" w:hint="eastAsia"/>
                <w:lang w:val="en-US" w:eastAsia="zh-CN"/>
              </w:rPr>
              <w:t>（五）冷链物流配送车辆路径问题</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_Toc28401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7</w:t>
            </w:r>
            <w:r>
              <w:rPr>
                <w:rFonts w:asciiTheme="majorEastAsia" w:eastAsiaTheme="majorEastAsia" w:hAnsiTheme="majorEastAsia" w:cstheme="majorEastAsia" w:hint="eastAsia"/>
              </w:rPr>
              <w:fldChar w:fldCharType="end"/>
            </w:r>
          </w:hyperlink>
        </w:p>
        <w:p>
          <w:pPr>
            <w:pStyle w:val="TOC1"/>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8963" w:history="1">
            <w:r>
              <w:rPr>
                <w:rFonts w:asciiTheme="majorEastAsia" w:eastAsiaTheme="majorEastAsia" w:hAnsiTheme="majorEastAsia" w:cstheme="majorEastAsia" w:hint="eastAsia"/>
                <w:lang w:val="en-US" w:eastAsia="zh-CN"/>
              </w:rPr>
              <w:t>三、冷链物流配送车辆路径模型</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_Toc28963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8</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19639" w:history="1">
            <w:r>
              <w:rPr>
                <w:rFonts w:asciiTheme="majorEastAsia" w:eastAsiaTheme="majorEastAsia" w:hAnsiTheme="majorEastAsia" w:cstheme="majorEastAsia" w:hint="eastAsia"/>
                <w:lang w:val="en-US" w:eastAsia="zh-CN"/>
              </w:rPr>
              <w:t>（一）模型的假设和约束条件</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_Toc19639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8</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4527" w:history="1">
            <w:r>
              <w:rPr>
                <w:rFonts w:asciiTheme="majorEastAsia" w:eastAsiaTheme="majorEastAsia" w:hAnsiTheme="majorEastAsia" w:cstheme="majorEastAsia" w:hint="eastAsia"/>
                <w:lang w:val="en-US" w:eastAsia="zh-CN"/>
              </w:rPr>
              <w:t>1、假设条件</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_Toc4527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8</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88" w:history="1">
            <w:r>
              <w:rPr>
                <w:rFonts w:asciiTheme="majorEastAsia" w:eastAsiaTheme="majorEastAsia" w:hAnsiTheme="majorEastAsia" w:cstheme="majorEastAsia" w:hint="eastAsia"/>
                <w:lang w:val="en-US" w:eastAsia="zh-CN"/>
              </w:rPr>
              <w:t>2、约束条件</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_Toc288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9</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6483" w:history="1">
            <w:r>
              <w:rPr>
                <w:rFonts w:asciiTheme="majorEastAsia" w:eastAsiaTheme="majorEastAsia" w:hAnsiTheme="majorEastAsia" w:cstheme="majorEastAsia" w:hint="eastAsia"/>
                <w:lang w:val="en-US" w:eastAsia="zh-CN"/>
              </w:rPr>
              <w:t>3、模型中的参数描述</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_Toc26483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9</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1909" w:history="1">
            <w:r>
              <w:rPr>
                <w:rFonts w:asciiTheme="majorEastAsia" w:eastAsiaTheme="majorEastAsia" w:hAnsiTheme="majorEastAsia" w:cstheme="majorEastAsia" w:hint="eastAsia"/>
                <w:lang w:val="en-US" w:eastAsia="zh-CN"/>
              </w:rPr>
              <w:t>（二）模型建立</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_Toc1909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10</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7090" w:history="1">
            <w:r>
              <w:rPr>
                <w:rFonts w:asciiTheme="majorEastAsia" w:eastAsiaTheme="majorEastAsia" w:hAnsiTheme="majorEastAsia" w:cstheme="majorEastAsia" w:hint="eastAsia"/>
                <w:lang w:val="en-US" w:eastAsia="zh-CN"/>
              </w:rPr>
              <w:t>1、目标函数分析</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_Toc7090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10</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31393" w:history="1">
            <w:r>
              <w:rPr>
                <w:rFonts w:asciiTheme="majorEastAsia" w:eastAsiaTheme="majorEastAsia" w:hAnsiTheme="majorEastAsia" w:cstheme="majorEastAsia" w:hint="eastAsia"/>
                <w:lang w:val="en-US" w:eastAsia="zh-CN"/>
              </w:rPr>
              <w:t>2、 冷链物流运送路径问题模型的建立</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_Toc31393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11</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4978" w:history="1">
            <w:r>
              <w:rPr>
                <w:rFonts w:asciiTheme="majorEastAsia" w:eastAsiaTheme="majorEastAsia" w:hAnsiTheme="majorEastAsia" w:cstheme="majorEastAsia" w:hint="eastAsia"/>
                <w:lang w:val="en-US" w:eastAsia="zh-CN"/>
              </w:rPr>
              <w:t>（三）冷链物流运送路线模型的优化</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_Toc24978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12</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3924" w:history="1">
            <w:r>
              <w:rPr>
                <w:rFonts w:asciiTheme="majorEastAsia" w:eastAsiaTheme="majorEastAsia" w:hAnsiTheme="majorEastAsia" w:cstheme="majorEastAsia" w:hint="eastAsia"/>
                <w:lang w:val="en-US" w:eastAsia="zh-CN"/>
              </w:rPr>
              <w:t>1、软时间窗分析</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_Toc23924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12</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5567" w:history="1">
            <w:r>
              <w:rPr>
                <w:rFonts w:asciiTheme="majorEastAsia" w:eastAsiaTheme="majorEastAsia" w:hAnsiTheme="majorEastAsia" w:cstheme="majorEastAsia" w:hint="eastAsia"/>
                <w:lang w:val="en-US" w:eastAsia="zh-CN"/>
              </w:rPr>
              <w:t>2、采用软时间窗约束对模型的优化</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_Toc25567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13</w:t>
            </w:r>
            <w:r>
              <w:rPr>
                <w:rFonts w:asciiTheme="majorEastAsia" w:eastAsiaTheme="majorEastAsia" w:hAnsiTheme="majorEastAsia" w:cstheme="majorEastAsia" w:hint="eastAsia"/>
              </w:rPr>
              <w:fldChar w:fldCharType="end"/>
            </w:r>
          </w:hyperlink>
        </w:p>
        <w:p>
          <w:pPr>
            <w:pStyle w:val="TOC1"/>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32221" w:history="1">
            <w:r>
              <w:rPr>
                <w:rFonts w:asciiTheme="majorEastAsia" w:eastAsiaTheme="majorEastAsia" w:hAnsiTheme="majorEastAsia" w:cstheme="majorEastAsia" w:hint="eastAsia"/>
                <w:lang w:val="en-US" w:eastAsia="zh-CN"/>
              </w:rPr>
              <w:t>四、带时间窗的冷链物流配送车辆路径优化模型应用分析</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_Toc32221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14</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5587" w:history="1">
            <w:r>
              <w:rPr>
                <w:rFonts w:asciiTheme="majorEastAsia" w:eastAsiaTheme="majorEastAsia" w:hAnsiTheme="majorEastAsia" w:cstheme="majorEastAsia" w:hint="eastAsia"/>
                <w:lang w:val="en-US" w:eastAsia="zh-CN"/>
              </w:rPr>
              <w:t>（一）优化模型应用算例概述</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_Toc5587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14</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4879" w:history="1">
            <w:r>
              <w:rPr>
                <w:rFonts w:asciiTheme="majorEastAsia" w:eastAsiaTheme="majorEastAsia" w:hAnsiTheme="majorEastAsia" w:cstheme="majorEastAsia" w:hint="eastAsia"/>
                <w:lang w:val="en-US" w:eastAsia="zh-CN"/>
              </w:rPr>
              <w:t>（二）相关的约束及参数说明</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_Toc4879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14</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10036" w:history="1">
            <w:r>
              <w:rPr>
                <w:rFonts w:asciiTheme="majorEastAsia" w:eastAsiaTheme="majorEastAsia" w:hAnsiTheme="majorEastAsia" w:cstheme="majorEastAsia" w:hint="eastAsia"/>
                <w:lang w:val="en-US" w:eastAsia="zh-CN"/>
              </w:rPr>
              <w:t>1、相关约束</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_Toc10036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15</w:t>
            </w:r>
            <w:r>
              <w:rPr>
                <w:rFonts w:asciiTheme="majorEastAsia" w:eastAsiaTheme="majorEastAsia" w:hAnsiTheme="majorEastAsia" w:cstheme="majorEastAsia" w:hint="eastAsia"/>
              </w:rPr>
              <w:fldChar w:fldCharType="end"/>
            </w:r>
          </w:hyperlink>
        </w:p>
        <w:p>
          <w:pPr>
            <w:pStyle w:val="TOC3"/>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30123" w:history="1">
            <w:r>
              <w:rPr>
                <w:rFonts w:asciiTheme="majorEastAsia" w:eastAsiaTheme="majorEastAsia" w:hAnsiTheme="majorEastAsia" w:cstheme="majorEastAsia" w:hint="eastAsia"/>
                <w:lang w:val="en-US" w:eastAsia="zh-CN"/>
              </w:rPr>
              <w:t>2、相关参数说明</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_Toc30123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16</w:t>
            </w:r>
            <w:r>
              <w:rPr>
                <w:rFonts w:asciiTheme="majorEastAsia" w:eastAsiaTheme="majorEastAsia" w:hAnsiTheme="majorEastAsia" w:cstheme="majorEastAsia" w:hint="eastAsia"/>
              </w:rPr>
              <w:fldChar w:fldCharType="end"/>
            </w:r>
          </w:hyperlink>
        </w:p>
        <w:p>
          <w:pPr>
            <w:pStyle w:val="TOC2"/>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sectPr>
              <w:footerReference w:type="default" r:id="rId7"/>
              <w:pgSz w:w="11906" w:h="16838"/>
              <w:pgMar w:top="1440" w:right="1800" w:bottom="1440" w:left="1800" w:header="851" w:footer="992" w:gutter="0"/>
              <w:cols w:num="1" w:space="425"/>
              <w:docGrid w:type="lines" w:linePitch="312" w:charSpace="0"/>
            </w:sectPr>
          </w:pPr>
          <w:hyperlink w:anchor="_Toc7749" w:history="1">
            <w:r>
              <w:rPr>
                <w:rFonts w:asciiTheme="majorEastAsia" w:eastAsiaTheme="majorEastAsia" w:hAnsiTheme="majorEastAsia" w:cstheme="majorEastAsia" w:hint="eastAsia"/>
                <w:lang w:eastAsia="zh-CN"/>
              </w:rPr>
              <w:t>（</w:t>
            </w:r>
            <w:r>
              <w:rPr>
                <w:rFonts w:asciiTheme="majorEastAsia" w:eastAsiaTheme="majorEastAsia" w:hAnsiTheme="majorEastAsia" w:cstheme="majorEastAsia" w:hint="eastAsia"/>
                <w:lang w:val="en-US" w:eastAsia="zh-CN"/>
              </w:rPr>
              <w:t>三</w:t>
            </w:r>
            <w:r>
              <w:rPr>
                <w:rFonts w:asciiTheme="majorEastAsia" w:eastAsiaTheme="majorEastAsia" w:hAnsiTheme="majorEastAsia" w:cstheme="majorEastAsia" w:hint="eastAsia"/>
                <w:lang w:eastAsia="zh-CN"/>
              </w:rPr>
              <w:t>）</w:t>
            </w:r>
            <w:r>
              <w:rPr>
                <w:rFonts w:asciiTheme="majorEastAsia" w:eastAsiaTheme="majorEastAsia" w:hAnsiTheme="majorEastAsia" w:cstheme="majorEastAsia" w:hint="eastAsia"/>
                <w:lang w:val="en-US" w:eastAsia="zh-CN"/>
              </w:rPr>
              <w:t>应用算例求解</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_Toc7749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17</w:t>
            </w:r>
            <w:r>
              <w:rPr>
                <w:rFonts w:asciiTheme="majorEastAsia" w:eastAsiaTheme="majorEastAsia" w:hAnsiTheme="majorEastAsia" w:cstheme="majorEastAsia" w:hint="eastAsia"/>
              </w:rPr>
              <w:fldChar w:fldCharType="end"/>
            </w:r>
          </w:hyperlink>
        </w:p>
      </w:sdtContent>
    </w:sdt>
    <w:sdt>
      <w:sdtPr>
        <w:rPr>
          <w:rFonts w:ascii="宋体" w:eastAsia="宋体" w:hAnsi="宋体" w:cstheme="minorBidi"/>
          <w:kern w:val="0"/>
          <w:sz w:val="21"/>
          <w:szCs w:val="24"/>
          <w:lang w:val="en-US" w:eastAsia="zh-CN" w:bidi="ar"/>
        </w:rPr>
        <w:id w:val="1285992854"/>
        <w:docPartObj>
          <w:docPartGallery w:val="Table of Contents"/>
          <w:docPartUnique/>
        </w:docPartObj>
        <w15:color w:val="DBDBDB"/>
      </w:sdtPr>
      <w:sdtEndPr>
        <w:rPr>
          <w:rFonts w:ascii="宋体" w:eastAsia="宋体" w:hAnsi="宋体" w:cstheme="minorBidi"/>
          <w:kern w:val="0"/>
          <w:sz w:val="21"/>
          <w:szCs w:val="24"/>
          <w:lang w:val="en-US" w:eastAsia="zh-CN" w:bidi="ar"/>
        </w:rPr>
      </w:sdtEndPr>
      <w:sdtContent>
        <w:p>
          <w:pPr>
            <w:pStyle w:val="TOC1"/>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663" w:history="1">
            <w:r>
              <w:rPr>
                <w:rFonts w:asciiTheme="majorEastAsia" w:eastAsiaTheme="majorEastAsia" w:hAnsiTheme="majorEastAsia" w:cstheme="majorEastAsia" w:hint="eastAsia"/>
                <w:lang w:val="en-US" w:eastAsia="zh-CN"/>
              </w:rPr>
              <w:t>五、总结</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_Toc2663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18</w:t>
            </w:r>
            <w:r>
              <w:rPr>
                <w:rFonts w:asciiTheme="majorEastAsia" w:eastAsiaTheme="majorEastAsia" w:hAnsiTheme="majorEastAsia" w:cstheme="majorEastAsia" w:hint="eastAsia"/>
              </w:rPr>
              <w:fldChar w:fldCharType="end"/>
            </w:r>
          </w:hyperlink>
        </w:p>
        <w:p>
          <w:pPr>
            <w:pStyle w:val="TOC1"/>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rPr>
              <w:rFonts w:asciiTheme="majorEastAsia" w:eastAsiaTheme="majorEastAsia" w:hAnsiTheme="majorEastAsia" w:cstheme="majorEastAsia" w:hint="eastAsia"/>
            </w:rPr>
          </w:pPr>
          <w:hyperlink w:anchor="_Toc28255" w:history="1">
            <w:r>
              <w:rPr>
                <w:rFonts w:asciiTheme="majorEastAsia" w:eastAsiaTheme="majorEastAsia" w:hAnsiTheme="majorEastAsia" w:cstheme="majorEastAsia" w:hint="eastAsia"/>
                <w:szCs w:val="30"/>
                <w:lang w:val="en-US" w:eastAsia="zh-CN"/>
              </w:rPr>
              <w:t>参考文献</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_Toc28255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19</w:t>
            </w:r>
            <w:r>
              <w:rPr>
                <w:rFonts w:asciiTheme="majorEastAsia" w:eastAsiaTheme="majorEastAsia" w:hAnsiTheme="majorEastAsia" w:cstheme="majorEastAsia" w:hint="eastAsia"/>
              </w:rPr>
              <w:fldChar w:fldCharType="end"/>
            </w:r>
          </w:hyperlink>
        </w:p>
        <w:p>
          <w:pPr>
            <w:pStyle w:val="TOC1"/>
            <w:keepNext w:val="0"/>
            <w:keepLines w:val="0"/>
            <w:pageBreakBefore w:val="0"/>
            <w:widowControl/>
            <w:tabs>
              <w:tab w:val="right" w:leader="dot" w:pos="8306"/>
            </w:tabs>
            <w:kinsoku/>
            <w:wordWrap/>
            <w:overflowPunct/>
            <w:topLinePunct w:val="0"/>
            <w:autoSpaceDE/>
            <w:autoSpaceDN/>
            <w:bidi w:val="0"/>
            <w:adjustRightInd/>
            <w:snapToGrid/>
            <w:spacing w:line="288" w:lineRule="auto"/>
            <w:textAlignment w:val="auto"/>
          </w:pPr>
          <w:hyperlink w:anchor="_Toc31438" w:history="1">
            <w:r>
              <w:rPr>
                <w:rFonts w:asciiTheme="majorEastAsia" w:eastAsiaTheme="majorEastAsia" w:hAnsiTheme="majorEastAsia" w:cstheme="majorEastAsia" w:hint="eastAsia"/>
                <w:szCs w:val="30"/>
                <w:lang w:val="en-US" w:eastAsia="zh-CN"/>
              </w:rPr>
              <w:t>附 录</w:t>
            </w:r>
            <w:r>
              <w:rPr>
                <w:rFonts w:asciiTheme="majorEastAsia" w:eastAsiaTheme="majorEastAsia" w:hAnsiTheme="majorEastAsia" w:cstheme="majorEastAsia" w:hint="eastAsia"/>
              </w:rPr>
              <w:tab/>
            </w:r>
            <w:r>
              <w:rPr>
                <w:rFonts w:asciiTheme="majorEastAsia" w:eastAsiaTheme="majorEastAsia" w:hAnsiTheme="majorEastAsia" w:cstheme="majorEastAsia" w:hint="eastAsia"/>
              </w:rPr>
              <w:fldChar w:fldCharType="begin"/>
            </w:r>
            <w:r>
              <w:rPr>
                <w:rFonts w:asciiTheme="majorEastAsia" w:eastAsiaTheme="majorEastAsia" w:hAnsiTheme="majorEastAsia" w:cstheme="majorEastAsia" w:hint="eastAsia"/>
              </w:rPr>
              <w:instrText xml:space="preserve"> PAGEREF _Toc31438 </w:instrText>
            </w:r>
            <w:r>
              <w:rPr>
                <w:rFonts w:asciiTheme="majorEastAsia" w:eastAsiaTheme="majorEastAsia" w:hAnsiTheme="majorEastAsia" w:cstheme="majorEastAsia" w:hint="eastAsia"/>
              </w:rPr>
              <w:fldChar w:fldCharType="separate"/>
            </w:r>
            <w:r>
              <w:rPr>
                <w:rFonts w:asciiTheme="majorEastAsia" w:eastAsiaTheme="majorEastAsia" w:hAnsiTheme="majorEastAsia" w:cstheme="majorEastAsia" w:hint="eastAsia"/>
              </w:rPr>
              <w:t>20</w:t>
            </w:r>
            <w:r>
              <w:rPr>
                <w:rFonts w:asciiTheme="majorEastAsia" w:eastAsiaTheme="majorEastAsia" w:hAnsiTheme="majorEastAsia" w:cstheme="majorEastAsia" w:hint="eastAsia"/>
              </w:rPr>
              <w:fldChar w:fldCharType="end"/>
            </w:r>
          </w:hyperlink>
          <w:r>
            <w:fldChar w:fldCharType="end"/>
          </w:r>
        </w:p>
      </w:sdtContent>
    </w:sdt>
    <w:p>
      <w:pPr>
        <w:pStyle w:val="Heading1"/>
        <w:keepNext/>
        <w:keepLines/>
        <w:pageBreakBefore w:val="0"/>
        <w:widowControl/>
        <w:kinsoku/>
        <w:wordWrap/>
        <w:overflowPunct/>
        <w:topLinePunct w:val="0"/>
        <w:autoSpaceDE/>
        <w:autoSpaceDN/>
        <w:bidi w:val="0"/>
        <w:adjustRightInd/>
        <w:snapToGrid/>
        <w:spacing w:before="624" w:beforeLines="200" w:line="25" w:lineRule="atLeast"/>
        <w:jc w:val="both"/>
        <w:textAlignment w:val="auto"/>
        <w:rPr>
          <w:rFonts w:hint="eastAsia"/>
          <w:b w:val="0"/>
          <w:bCs/>
          <w:sz w:val="44"/>
          <w:szCs w:val="44"/>
          <w:lang w:val="en-US" w:eastAsia="zh-CN"/>
        </w:rPr>
      </w:pPr>
    </w:p>
    <w:p>
      <w:pPr>
        <w:rPr>
          <w:rFonts w:hint="eastAsia"/>
        </w:rPr>
      </w:pPr>
    </w:p>
    <w:p>
      <w:pPr>
        <w:pStyle w:val="Heading1"/>
        <w:keepNext/>
        <w:keepLines/>
        <w:pageBreakBefore w:val="0"/>
        <w:widowControl/>
        <w:kinsoku/>
        <w:wordWrap/>
        <w:overflowPunct/>
        <w:topLinePunct w:val="0"/>
        <w:autoSpaceDE/>
        <w:autoSpaceDN/>
        <w:bidi w:val="0"/>
        <w:adjustRightInd/>
        <w:snapToGrid/>
        <w:spacing w:before="624" w:beforeLines="200"/>
        <w:jc w:val="center"/>
        <w:textAlignment w:val="auto"/>
        <w:rPr>
          <w:rFonts w:hint="default"/>
          <w:lang w:val="en-US" w:eastAsia="zh-CN"/>
        </w:rPr>
      </w:pPr>
      <w:bookmarkStart w:id="1" w:name="_Toc12423"/>
      <w:r>
        <w:rPr>
          <w:rFonts w:hint="eastAsia"/>
          <w:b w:val="0"/>
          <w:bCs/>
          <w:sz w:val="44"/>
          <w:szCs w:val="44"/>
          <w:lang w:val="en-US" w:eastAsia="zh-CN"/>
        </w:rPr>
        <w:t>带时间窗的冷链物流配送路径优化</w:t>
      </w:r>
      <w:bookmarkEnd w:id="0"/>
      <w:bookmarkEnd w:id="1"/>
      <w:r>
        <w:rPr>
          <w:rFonts w:hint="eastAsia"/>
          <w:b w:val="0"/>
          <w:bCs/>
          <w:sz w:val="44"/>
          <w:szCs w:val="44"/>
          <w:lang w:val="en-US" w:eastAsia="zh-CN"/>
        </w:rPr>
        <w:t>实证分析</w:t>
      </w:r>
    </w:p>
    <w:p>
      <w:pPr>
        <w:keepNext w:val="0"/>
        <w:keepLines w:val="0"/>
        <w:pageBreakBefore w:val="0"/>
        <w:widowControl/>
        <w:kinsoku/>
        <w:wordWrap/>
        <w:overflowPunct/>
        <w:topLinePunct w:val="0"/>
        <w:autoSpaceDE/>
        <w:autoSpaceDN/>
        <w:bidi w:val="0"/>
        <w:adjustRightInd/>
        <w:snapToGrid/>
        <w:spacing w:before="312" w:beforeLines="100" w:after="156" w:afterLines="50"/>
        <w:ind w:firstLine="600" w:firstLineChars="200"/>
        <w:jc w:val="center"/>
        <w:textAlignment w:val="auto"/>
        <w:rPr>
          <w:rFonts w:hint="eastAsia"/>
          <w:b/>
          <w:bCs/>
          <w:sz w:val="30"/>
          <w:szCs w:val="30"/>
        </w:rPr>
      </w:pPr>
      <w:r>
        <w:rPr>
          <w:rFonts w:ascii="黑体" w:eastAsia="黑体" w:hAnsi="黑体" w:cs="黑体" w:hint="eastAsia"/>
          <w:b/>
          <w:bCs/>
          <w:sz w:val="30"/>
          <w:szCs w:val="30"/>
          <w:lang w:val="en-US" w:eastAsia="zh-CN"/>
        </w:rPr>
        <w:t>中文摘要</w:t>
      </w:r>
    </w:p>
    <w:p>
      <w:pPr>
        <w:keepNext w:val="0"/>
        <w:keepLines w:val="0"/>
        <w:pageBreakBefore w:val="0"/>
        <w:widowControl/>
        <w:kinsoku/>
        <w:wordWrap/>
        <w:overflowPunct/>
        <w:topLinePunct w:val="0"/>
        <w:autoSpaceDE/>
        <w:autoSpaceDN/>
        <w:bidi w:val="0"/>
        <w:adjustRightInd/>
        <w:snapToGrid/>
        <w:ind w:firstLine="480" w:firstLineChars="200"/>
        <w:textAlignment w:val="auto"/>
        <w:rPr>
          <w:rFonts w:asciiTheme="minorEastAsia" w:eastAsiaTheme="minorEastAsia" w:hAnsiTheme="minorEastAsia" w:cstheme="minorEastAsia" w:hint="eastAsia"/>
        </w:rPr>
        <w:sectPr>
          <w:footerReference w:type="default" r:id="rId8"/>
          <w:type w:val="nextPage"/>
          <w:pgSz w:w="11906" w:h="16838"/>
          <w:pgMar w:top="1440" w:right="1800" w:bottom="1440" w:left="1800" w:header="851" w:footer="992" w:gutter="0"/>
          <w:pgNumType w:start="2"/>
          <w:cols w:num="1" w:space="425"/>
          <w:titlePg w:val="0"/>
          <w:docGrid w:type="lines" w:linePitch="312" w:charSpace="0"/>
        </w:sectPr>
      </w:pPr>
    </w:p>
    <w:p>
      <w:pPr>
        <w:keepNext w:val="0"/>
        <w:keepLines w:val="0"/>
        <w:pageBreakBefore w:val="0"/>
        <w:widowControl/>
        <w:kinsoku/>
        <w:wordWrap/>
        <w:overflowPunct/>
        <w:topLinePunct w:val="0"/>
        <w:autoSpaceDE/>
        <w:autoSpaceDN/>
        <w:bidi w:val="0"/>
        <w:adjustRightInd/>
        <w:snapToGrid/>
        <w:ind w:firstLine="480" w:firstLineChars="200"/>
        <w:textAlignment w:val="auto"/>
        <w:rPr>
          <w:rFonts w:asciiTheme="minorEastAsia" w:eastAsiaTheme="minorEastAsia" w:hAnsiTheme="minorEastAsia" w:cstheme="minorEastAsia" w:hint="eastAsia"/>
        </w:rPr>
      </w:pPr>
      <w:r>
        <w:rPr>
          <w:rFonts w:hint="eastAsia"/>
          <w:lang w:val="en-US" w:eastAsia="zh-CN"/>
        </w:rPr>
        <w:t>随着我们国家经济发展速度的不断加快，社会经济发展水平也是越来越高，人民群众的生活水平不断的上涨，与之相同变化的就是对于果蔬、生鲜等冷链产品的消费需求。人民群众的生活质量不断的提高，消费需求呈现出了多样化以及个性化的趋势，这就对于现在的第三产业的发展带来了一定的要求。做出更加优质的食品就必须用最新鲜的材料，材料的运输就必须运用更加由科技含量的保鲜技术，这就推动了冷链物流的快速发展，但是在一定的层面上对于冷链物流的服务成本提出了很高的要求。在当前的市场之中，冷链物流所表现出来的负面影响比比皆是，比如说配送的成本高、客户的满意度低、物流的规划复杂等，这些因素都在一定程度上制约着冷链物流的发展。在冷链物流的整个过程之中最主要的环节之一就是配送，能够根据客户的需求，对冷链物流配送路径进行优化设计，满足客户需求，提高企业利润是目前急需解决的一个问题，这一问题如果可以得到解决，势必会在很大的程度上节省成本。本文针对这一问题，将时间窗、冷链物流配送以及路径优化相结合，并学习相关理论和方法，然后研究带时间窗的冷链物流配送路径优化问题。学习研究内容如下：（1）介绍本文研究的实际意义和理论意义以及研究背景；（2）介绍冷链物流、冷链物流配送问题、带时间窗的车辆路径问题、冷链配送车辆路径问题等相关基础理论；（3）进行问题描述以及构建模型，在满足客户的要求下，以总成本最小为目标函数，建立带时间窗的冷链物流路径优化模型；（4）对模型进行求解（5）模型的应用与案例，以配送某一生鲜食品为例，对其相关数据进行描述介绍，进行仿真实验，得出相对合理的冷链物流配送路径优化方案。</w:t>
      </w:r>
    </w:p>
    <w:p>
      <w:pPr>
        <w:ind w:left="0" w:firstLine="0" w:leftChars="0" w:firstLineChars="0"/>
        <w:rPr>
          <w:rFonts w:hint="default"/>
        </w:rPr>
      </w:pPr>
      <w:r>
        <w:rPr>
          <w:rFonts w:ascii="黑体" w:eastAsia="黑体" w:hAnsi="黑体" w:cs="黑体" w:hint="eastAsia"/>
          <w:lang w:val="en-US" w:eastAsia="zh-CN"/>
        </w:rPr>
        <w:t>【关键词】</w:t>
      </w:r>
      <w:r>
        <w:rPr>
          <w:rFonts w:hint="eastAsia"/>
          <w:lang w:val="en-US" w:eastAsia="zh-CN"/>
        </w:rPr>
        <w:t>冷链物流配送</w:t>
      </w:r>
      <w:r>
        <w:rPr>
          <w:rFonts w:ascii="黑体" w:eastAsia="黑体" w:hAnsi="黑体" w:cs="黑体" w:hint="eastAsia"/>
          <w:lang w:val="en-US" w:eastAsia="zh-CN"/>
        </w:rPr>
        <w:t>；</w:t>
      </w:r>
      <w:r>
        <w:rPr>
          <w:rFonts w:hint="eastAsia"/>
          <w:lang w:val="en-US" w:eastAsia="zh-CN"/>
        </w:rPr>
        <w:t>冷链物流配送；时间窗；配送路径优化</w:t>
      </w:r>
    </w:p>
    <w:p>
      <w:pPr>
        <w:rPr>
          <w:rFonts w:hint="eastAsia"/>
        </w:rPr>
      </w:pPr>
    </w:p>
    <w:p>
      <w:bookmarkStart w:id="2" w:name="_GoBack"/>
      <w:bookmarkEnd w:id="2"/>
      <w:bookmarkStart w:id="3" w:name="_Toc11393"/>
    </w:p>
    <w:p>
      <w:pPr>
        <w:pStyle w:val="Heading1"/>
        <w:bidi w:val="0"/>
        <w:rPr>
          <w:rFonts w:hint="default"/>
          <w:lang w:val="en-US" w:eastAsia="zh-CN"/>
        </w:rPr>
      </w:pPr>
      <w:bookmarkStart w:id="4" w:name="_Toc19342"/>
      <w:bookmarkStart w:id="5" w:name="_Toc2664"/>
      <w:bookmarkStart w:id="6" w:name="_Toc4430"/>
      <w:r>
        <w:rPr>
          <w:rFonts w:hint="eastAsia"/>
          <w:lang w:val="en-US" w:eastAsia="zh-CN"/>
        </w:rPr>
        <w:t>一、</w:t>
      </w:r>
      <w:bookmarkEnd w:id="3"/>
      <w:bookmarkEnd w:id="4"/>
      <w:bookmarkEnd w:id="5"/>
      <w:bookmarkEnd w:id="6"/>
      <w:r>
        <w:rPr>
          <w:rFonts w:hint="eastAsia"/>
          <w:lang w:val="en-US" w:eastAsia="zh-CN"/>
        </w:rPr>
        <w:t>绪论</w:t>
      </w:r>
    </w:p>
    <w:p>
      <w:pPr>
        <w:pStyle w:val="Heading2"/>
        <w:bidi w:val="0"/>
        <w:rPr>
          <w:rFonts w:hint="eastAsia"/>
        </w:rPr>
      </w:pPr>
      <w:bookmarkStart w:id="7" w:name="_Toc12360"/>
      <w:bookmarkStart w:id="8" w:name="_Toc21583"/>
      <w:bookmarkStart w:id="9" w:name="_Toc15457"/>
      <w:bookmarkStart w:id="10" w:name="_Toc6182"/>
      <w:r>
        <w:rPr>
          <w:rFonts w:hint="eastAsia"/>
          <w:lang w:val="en-US" w:eastAsia="zh-CN"/>
        </w:rPr>
        <w:t>（一）</w:t>
      </w:r>
      <w:r>
        <w:rPr>
          <w:rFonts w:hint="eastAsia"/>
        </w:rPr>
        <w:t>实际意义</w:t>
      </w:r>
      <w:bookmarkEnd w:id="7"/>
      <w:bookmarkEnd w:id="8"/>
      <w:bookmarkEnd w:id="9"/>
      <w:bookmarkEnd w:id="10"/>
    </w:p>
    <w:p>
      <w:pPr>
        <w:ind w:firstLine="480" w:firstLineChars="200"/>
        <w:rPr>
          <w:rFonts w:hint="eastAsia"/>
        </w:rPr>
      </w:pPr>
      <w:bookmarkStart w:id="11" w:name="_Toc15265"/>
      <w:bookmarkStart w:id="12" w:name="_Toc31613"/>
      <w:r>
        <w:rPr>
          <w:rFonts w:hint="eastAsia"/>
        </w:rPr>
        <w:t>在冷链物流高速发展的背景下，如果对配送路径不进行科学合理的研究，仅凭经验进行判断，容易造成在途时间长，损耗产品，降低运输效率，降低客户满意度等问题，从而增加配送成本。况且，对于生鲜的冷链物流的时效性更短，那么其对配送时间的要求便会更加严格，对冷链物流配送路径优化就尤为重要。通过对带时间窗的冷链物流路径优化，合理对车辆进行调度，减少不必要的行驶路径，首先，可以缩短配送时间，可以保证冷链产品的时效性，确保冷藏食品的安全性，提高产品的品质；其次，通过精准恰当的配送路径，可以提高冷链物流的运输效率，降低冷链物流运输成本，提升企业利润。再者，可以保障物品准时送到客户手中，满足客户对时间窗的要求，提高客户满意度和忠诚度，提升品牌溢价，从而提高企业的竞争力。</w:t>
      </w:r>
    </w:p>
    <w:p>
      <w:pPr>
        <w:pStyle w:val="Heading2"/>
        <w:bidi w:val="0"/>
        <w:rPr>
          <w:rFonts w:hint="eastAsia"/>
        </w:rPr>
      </w:pPr>
      <w:bookmarkStart w:id="13" w:name="_Toc28832"/>
      <w:bookmarkStart w:id="14" w:name="_Toc12938"/>
      <w:r>
        <w:rPr>
          <w:rFonts w:hint="eastAsia"/>
          <w:lang w:eastAsia="zh-CN"/>
        </w:rPr>
        <w:t>（</w:t>
      </w:r>
      <w:r>
        <w:rPr>
          <w:rFonts w:hint="eastAsia"/>
          <w:lang w:val="en-US" w:eastAsia="zh-CN"/>
        </w:rPr>
        <w:t>二</w:t>
      </w:r>
      <w:r>
        <w:rPr>
          <w:rFonts w:hint="eastAsia"/>
          <w:lang w:eastAsia="zh-CN"/>
        </w:rPr>
        <w:t>）</w:t>
      </w:r>
      <w:r>
        <w:rPr>
          <w:rFonts w:hint="eastAsia"/>
        </w:rPr>
        <w:t>理论意义</w:t>
      </w:r>
      <w:bookmarkEnd w:id="11"/>
      <w:bookmarkEnd w:id="12"/>
      <w:bookmarkEnd w:id="13"/>
      <w:bookmarkEnd w:id="14"/>
    </w:p>
    <w:p>
      <w:pPr>
        <w:bidi w:val="0"/>
        <w:rPr>
          <w:rFonts w:hint="eastAsia"/>
        </w:rPr>
        <w:sectPr>
          <w:footerReference w:type="default" r:id="rId9"/>
          <w:type w:val="nextPage"/>
          <w:pgSz w:w="11906" w:h="16838"/>
          <w:pgMar w:top="1440" w:right="1800" w:bottom="1440" w:left="1800" w:header="851" w:footer="992" w:gutter="0"/>
          <w:pgNumType w:start="3"/>
          <w:cols w:num="1" w:space="425"/>
          <w:titlePg w:val="0"/>
          <w:docGrid w:type="lines" w:linePitch="312" w:charSpace="0"/>
        </w:sectPr>
      </w:pPr>
      <w:bookmarkStart w:id="15" w:name="_Toc5971"/>
      <w:bookmarkStart w:id="16" w:name="_Toc17530"/>
      <w:r>
        <w:rPr>
          <w:rFonts w:hint="eastAsia"/>
        </w:rPr>
        <w:t>本文</w:t>
      </w:r>
      <w:r>
        <w:rPr>
          <w:rFonts w:hint="eastAsia"/>
          <w:lang w:val="en-US" w:eastAsia="zh-CN"/>
        </w:rPr>
        <w:t>通过对冷链物流配送、车辆路径优化，以及时间窗理论，如软时间窗、硬时间窗、模糊时间窗等理论进行搜索学习研究，研究与带时间窗的冷链物流配送路径优化的相关文献，并对相关理论进行归纳总结。然后</w:t>
      </w:r>
      <w:r>
        <w:rPr>
          <w:rFonts w:hint="eastAsia"/>
        </w:rPr>
        <w:t>在</w:t>
      </w:r>
      <w:r>
        <w:rPr>
          <w:rFonts w:hint="eastAsia"/>
          <w:lang w:val="en-US" w:eastAsia="zh-CN"/>
        </w:rPr>
        <w:t>已有的学者研究的</w:t>
      </w:r>
      <w:r>
        <w:rPr>
          <w:rFonts w:hint="eastAsia"/>
        </w:rPr>
        <w:t>理论</w:t>
      </w:r>
      <w:r>
        <w:rPr>
          <w:rFonts w:hint="eastAsia"/>
          <w:lang w:val="en-US" w:eastAsia="zh-CN"/>
        </w:rPr>
        <w:t>方法</w:t>
      </w:r>
      <w:r>
        <w:rPr>
          <w:rFonts w:hint="eastAsia"/>
        </w:rPr>
        <w:t>基础</w:t>
      </w:r>
      <w:r>
        <w:rPr>
          <w:rFonts w:hint="eastAsia"/>
          <w:lang w:val="en-US" w:eastAsia="zh-CN"/>
        </w:rPr>
        <w:t>上</w:t>
      </w:r>
      <w:r>
        <w:rPr>
          <w:rFonts w:hint="eastAsia"/>
        </w:rPr>
        <w:t>，分析冷链物流配送过程中产生的</w:t>
      </w:r>
      <w:r>
        <w:rPr>
          <w:rFonts w:hint="eastAsia"/>
          <w:lang w:val="en-US" w:eastAsia="zh-CN"/>
        </w:rPr>
        <w:t>主要</w:t>
      </w:r>
      <w:r>
        <w:rPr>
          <w:rFonts w:hint="eastAsia"/>
        </w:rPr>
        <w:t>成本</w:t>
      </w:r>
      <w:r>
        <w:rPr>
          <w:rFonts w:hint="eastAsia"/>
          <w:lang w:val="en-US" w:eastAsia="zh-CN"/>
        </w:rPr>
        <w:t>构成</w:t>
      </w:r>
      <w:r>
        <w:rPr>
          <w:rFonts w:hint="eastAsia"/>
        </w:rPr>
        <w:t>，</w:t>
      </w:r>
      <w:r>
        <w:rPr>
          <w:rFonts w:hint="eastAsia"/>
          <w:lang w:val="en-US" w:eastAsia="zh-CN"/>
        </w:rPr>
        <w:t>然后在以满足客户要求下，</w:t>
      </w:r>
      <w:r>
        <w:rPr>
          <w:rFonts w:hint="eastAsia"/>
        </w:rPr>
        <w:t>总成本最小</w:t>
      </w:r>
      <w:r>
        <w:rPr>
          <w:rFonts w:hint="eastAsia"/>
          <w:lang w:val="en-US" w:eastAsia="zh-CN"/>
        </w:rPr>
        <w:t>为目标函数，</w:t>
      </w:r>
      <w:r>
        <w:rPr>
          <w:rFonts w:hint="eastAsia"/>
        </w:rPr>
        <w:t>建立带时间窗的冷链物流配送路径优化模型</w:t>
      </w:r>
      <w:r>
        <w:rPr>
          <w:rFonts w:hint="eastAsia"/>
          <w:lang w:eastAsia="zh-CN"/>
        </w:rPr>
        <w:t>。</w:t>
      </w:r>
      <w:r>
        <w:rPr>
          <w:rFonts w:hint="eastAsia"/>
          <w:lang w:val="en-US" w:eastAsia="zh-CN"/>
        </w:rPr>
        <w:t>最后以某一生鲜食品</w:t>
      </w:r>
      <w:r>
        <w:rPr>
          <w:rFonts w:hint="eastAsia"/>
        </w:rPr>
        <w:t>的配送路径为</w:t>
      </w:r>
      <w:r>
        <w:rPr>
          <w:rFonts w:hint="eastAsia"/>
          <w:lang w:val="en-US" w:eastAsia="zh-CN"/>
        </w:rPr>
        <w:t>为例，进行对其仿真实验，得出相对合理的冷链物流配送路径优化方案。</w:t>
      </w:r>
    </w:p>
    <w:p>
      <w:pPr>
        <w:pStyle w:val="Heading2"/>
        <w:bidi w:val="0"/>
        <w:rPr>
          <w:rFonts w:hint="default"/>
          <w:lang w:val="en-US" w:eastAsia="zh-CN"/>
        </w:rPr>
      </w:pPr>
      <w:bookmarkStart w:id="17" w:name="_Toc6766"/>
      <w:bookmarkStart w:id="18" w:name="_Toc14959"/>
      <w:r>
        <w:rPr>
          <w:rFonts w:hint="eastAsia"/>
          <w:lang w:val="en-US" w:eastAsia="zh-CN"/>
        </w:rPr>
        <w:t>（三）研究背景</w:t>
      </w:r>
      <w:bookmarkEnd w:id="15"/>
      <w:bookmarkEnd w:id="16"/>
      <w:bookmarkEnd w:id="17"/>
      <w:bookmarkEnd w:id="18"/>
    </w:p>
    <w:p>
      <w:pPr>
        <w:ind w:firstLine="480" w:firstLineChars="200"/>
        <w:rPr>
          <w:rFonts w:hint="eastAsia"/>
        </w:rPr>
      </w:pPr>
      <w:bookmarkStart w:id="19" w:name="_Toc7284"/>
      <w:bookmarkStart w:id="20" w:name="_Toc10720"/>
      <w:r>
        <w:rPr>
          <w:rFonts w:hint="eastAsia"/>
          <w:lang w:val="en-US" w:eastAsia="zh-CN"/>
        </w:rPr>
        <w:t>随着我国经济增长的步伐不断的加快，经济发展的水平都是在与日俱增，经济发展水平的上升带来的就是国民生活水平的不断提高，这就会引发人们对于物质生活资源的需求，所以人们对于生鲜、瓜果蔬菜等一系列的冷链品的需求增加，随着这一改变冷链物流业得到了快速的发展。近些年我国的冷链物流的市场规模在不断的上升，估计在2025年将会达到4500亿元，这主要也是因为在2016年到2020年这一阶段我们国家对于冷链物流市场的需求达到了4000亿元。加快冷链物流业的快速发展，不仅仅是各个冷链物流公司为之奋斗。为了促进冷链物流的发展，我们国家也相应出台了多项政策措施，比如2014年出台的《物流业发展中长期规划》、《关于进一步促进冷链运输物流企业健康发展的指导意见》《关于进一步促进冷链运输物流企业健康发展的知道意见》、2016年出台的《铁路冷链物流网络布局“十三五”发展规划》、2017年出台的《冷链即食食品生成实施细则》、《关于加快发展冷链物流保障食品安全促进消费升级的实施意见》等相关政策，目的在于促进我们国家冷链物流的发展。国家出台的政策给相关企业和人员指引了发展的道路，为进一步完善我们国家的冷链物流体系提供条件，规范冷链物流的组织模式。但是我国冷链物流起步相较于其他国家起步较晚，冷链物流公司规模较小，是以中小企业为主，而且中小城市的物流公司发展比较落后，因此尚未能够建立起完整系统的冷链物流系统。况且冷链物流配送基本上是作为物流企业的非主营业，把重点放在提供冷链物流配送的企业不多，对冷链物流配送不够重视，因而缺少对冷链物流配送的系统、详细的规划，冷链物流整体的配送水平较低。现在在互联网普及下，中国居民的生活日渐便利，节奏加快，网购，生鲜电商，蔬菜宅送等方式都是当下消费市场的热门选择，同时，消费者也对冷链产品物流的时效性提出了更高的要求，限制送达时间，运输环节十分重要，但是同时兼顾降低配送成本和满足客户需求较难达到。冷链物流配送成本主要源于冷链运输成本、惩罚成本、固定成本、货损成本、能源损耗成本等。因此，在满足顾客对冷链物流的需求下，对配送车辆进行合理的调度，优化配送路径，最大限度的降低冷链物流配送成本，对于想要的到更好的发展的冷链物流企业而言，是急需解决的问题。</w:t>
      </w:r>
    </w:p>
    <w:bookmarkEnd w:id="19"/>
    <w:bookmarkEnd w:id="20"/>
    <w:p>
      <w:pPr>
        <w:rPr>
          <w:rFonts w:hint="eastAsia"/>
        </w:rPr>
        <w:sectPr>
          <w:footerReference w:type="default" r:id="rId10"/>
          <w:type w:val="nextPage"/>
          <w:pgSz w:w="11906" w:h="16838"/>
          <w:pgMar w:top="1440" w:right="1800" w:bottom="1440" w:left="1800" w:header="851" w:footer="992" w:gutter="0"/>
          <w:pgNumType w:start="4"/>
          <w:cols w:num="1" w:space="425"/>
          <w:titlePg w:val="0"/>
          <w:docGrid w:type="lines" w:linePitch="312" w:charSpace="0"/>
        </w:sectPr>
      </w:pPr>
    </w:p>
    <w:p>
      <w:pPr>
        <w:pStyle w:val="Heading1"/>
        <w:bidi w:val="0"/>
        <w:rPr>
          <w:rFonts w:hint="default"/>
          <w:lang w:val="en-US" w:eastAsia="zh-CN"/>
        </w:rPr>
      </w:pPr>
      <w:bookmarkStart w:id="21" w:name="_Toc9059"/>
      <w:bookmarkStart w:id="22" w:name="_Toc12672"/>
      <w:bookmarkStart w:id="23" w:name="_Toc31060"/>
      <w:bookmarkStart w:id="24" w:name="_Toc30655"/>
      <w:r>
        <w:rPr>
          <w:rFonts w:hint="eastAsia"/>
          <w:lang w:val="en-US" w:eastAsia="zh-CN"/>
        </w:rPr>
        <w:t>二、冷链物流配送相关理论及方法</w:t>
      </w:r>
      <w:bookmarkEnd w:id="21"/>
      <w:bookmarkEnd w:id="22"/>
      <w:bookmarkEnd w:id="23"/>
      <w:bookmarkEnd w:id="24"/>
    </w:p>
    <w:p>
      <w:pPr>
        <w:pStyle w:val="Heading2"/>
        <w:bidi w:val="0"/>
        <w:rPr>
          <w:rFonts w:hint="eastAsia"/>
          <w:lang w:val="en-US" w:eastAsia="zh-CN"/>
        </w:rPr>
      </w:pPr>
      <w:bookmarkStart w:id="25" w:name="_Toc28338"/>
      <w:bookmarkStart w:id="26" w:name="_Toc30694"/>
      <w:bookmarkStart w:id="27" w:name="_Toc18553"/>
      <w:bookmarkStart w:id="28" w:name="_Toc29254"/>
      <w:r>
        <w:rPr>
          <w:rFonts w:hint="eastAsia"/>
          <w:lang w:val="en-US" w:eastAsia="zh-CN"/>
        </w:rPr>
        <w:t>（一）冷链物流相关理论</w:t>
      </w:r>
      <w:bookmarkEnd w:id="25"/>
      <w:bookmarkEnd w:id="26"/>
      <w:bookmarkEnd w:id="27"/>
      <w:bookmarkEnd w:id="28"/>
    </w:p>
    <w:p>
      <w:pPr>
        <w:pStyle w:val="Heading3"/>
        <w:bidi w:val="0"/>
        <w:rPr>
          <w:rFonts w:hint="default"/>
          <w:lang w:val="en-US" w:eastAsia="zh-CN"/>
        </w:rPr>
      </w:pPr>
      <w:bookmarkStart w:id="29" w:name="_Toc1628"/>
      <w:bookmarkStart w:id="30" w:name="_Toc5883"/>
      <w:bookmarkStart w:id="31" w:name="_Toc22993"/>
      <w:bookmarkStart w:id="32" w:name="_Toc30446"/>
      <w:r>
        <w:rPr>
          <w:rFonts w:hint="eastAsia"/>
          <w:lang w:val="en-US" w:eastAsia="zh-CN"/>
        </w:rPr>
        <w:t>1、冷链物流的定义</w:t>
      </w:r>
      <w:bookmarkEnd w:id="29"/>
      <w:bookmarkEnd w:id="30"/>
      <w:bookmarkEnd w:id="31"/>
      <w:bookmarkEnd w:id="32"/>
    </w:p>
    <w:p>
      <w:pPr>
        <w:ind w:firstLine="480" w:firstLineChars="200"/>
        <w:rPr>
          <w:rFonts w:hint="eastAsia"/>
          <w:color w:val="000000" w:themeColor="text1"/>
          <w14:textFill>
            <w14:solidFill>
              <w14:schemeClr w14:val="tx1"/>
            </w14:solidFill>
          </w14:textFill>
        </w:rPr>
      </w:pPr>
      <w:bookmarkStart w:id="33" w:name="_Toc23199"/>
      <w:bookmarkStart w:id="34" w:name="_Toc17610"/>
      <w:r>
        <w:rPr>
          <w:rFonts w:hint="eastAsia"/>
          <w:color w:val="000000" w:themeColor="text1"/>
          <w:lang w:val="en-US" w:eastAsia="zh-CN"/>
          <w14:textFill>
            <w14:solidFill>
              <w14:schemeClr w14:val="tx1"/>
            </w14:solidFill>
          </w14:textFill>
        </w:rPr>
        <w:t>需要冷链物流运输的产品，其一般货物易变质。为了保障产品的品质，从生产到消费过程需要根据产品本身的特性对不同温度的储运要求，使物流整个环节处于适宜的低温的状态。即由于大多冷链产品有易腐蚀性特殊性，所以冷链产品运输时对温度以及湿度感知极其敏感，需要以冷冻工艺为基础、制冷技术为手段使冷链产品储运时维持在适宜的低温状态。同时为了使冷链产品整个过程都处在适宜的温度下，需要管理物流环节的整套设施设备。除了产品的耐藏性，冷链物流运输保障产品品质的关键是对时间和温度的把控。在运输效率一定的情况下，时间的长短主要与物流运输路径长短相关。存储温度则可以分冷冻、制冷和恒温，冷链运输时需要根据不同产品对温度的要求进行把控。因此使用冷链物流来最大限度的保障产品的安全性和新鲜度需要较完善的物流系统，程序繁琐，投入成本也较高。</w:t>
      </w:r>
    </w:p>
    <w:p>
      <w:pPr>
        <w:pStyle w:val="Heading3"/>
        <w:bidi w:val="0"/>
        <w:rPr>
          <w:rFonts w:hint="default"/>
          <w:lang w:val="en-US" w:eastAsia="zh-CN"/>
        </w:rPr>
      </w:pPr>
      <w:bookmarkStart w:id="35" w:name="_Toc10477"/>
      <w:bookmarkStart w:id="36" w:name="_Toc19677"/>
      <w:r>
        <w:rPr>
          <w:rFonts w:hint="eastAsia"/>
          <w:lang w:val="en-US" w:eastAsia="zh-CN"/>
        </w:rPr>
        <w:t>2、冷链物流的特点</w:t>
      </w:r>
      <w:bookmarkEnd w:id="33"/>
      <w:bookmarkEnd w:id="34"/>
      <w:bookmarkEnd w:id="35"/>
      <w:bookmarkEnd w:id="36"/>
    </w:p>
    <w:p>
      <w:pPr>
        <w:bidi w:val="0"/>
        <w:rPr>
          <w:rFonts w:hint="default"/>
        </w:rPr>
      </w:pPr>
      <w:r>
        <w:rPr>
          <w:rFonts w:hint="eastAsia"/>
          <w:lang w:val="en-US" w:eastAsia="zh-CN"/>
        </w:rPr>
        <w:t>（1）生鲜有易腐蚀性</w:t>
      </w:r>
    </w:p>
    <w:p>
      <w:pPr>
        <w:ind w:firstLine="480" w:firstLineChars="200"/>
        <w:rPr>
          <w:rFonts w:hint="eastAsia"/>
        </w:rPr>
      </w:pPr>
      <w:r>
        <w:rPr>
          <w:rFonts w:hint="eastAsia"/>
          <w:lang w:val="en-US" w:eastAsia="zh-CN"/>
        </w:rPr>
        <w:t>冷链物流运输产品通常是一些对温度、湿度、氧气含量要求较高的易腐产品，比如加工食品肉，海鲜，包装熟食，蔬菜、水果、肉、禽等农产品以及医药疫苗。如果对冷链产品的温度，湿度，氧气含量控制不当，将会影响冷链产品的质量，如产品表面滋生微生物细菌，促进微生物细菌的生长和繁殖，从而对冷链产品质量造成损失。因此，对于产品冷链分配时，注意不同温度的要求极其重要。</w:t>
      </w:r>
    </w:p>
    <w:p>
      <w:pPr>
        <w:bidi w:val="0"/>
        <w:rPr>
          <w:rFonts w:hint="default"/>
        </w:rPr>
      </w:pPr>
      <w:r>
        <w:rPr>
          <w:rFonts w:hint="eastAsia"/>
          <w:lang w:val="en-US" w:eastAsia="zh-CN"/>
        </w:rPr>
        <w:t>（2）对于时效性的要求高</w:t>
      </w:r>
    </w:p>
    <w:p>
      <w:pPr>
        <w:ind w:firstLine="480" w:firstLineChars="200"/>
        <w:rPr>
          <w:rFonts w:hint="default"/>
        </w:rPr>
      </w:pPr>
      <w:r>
        <w:rPr>
          <w:rFonts w:hint="eastAsia"/>
          <w:lang w:val="en-US" w:eastAsia="zh-CN"/>
        </w:rPr>
        <w:t>由于冷链物流和分销产品的特殊性，它们很容易腐烂，并且在流通过程中容易损坏。同时，消费者对产品质量的要求也越来越高。这就迫使冷链物流不断的提升自己的配送速度，从而可以更好的满足消费者对于送货服务时间的要求，更高效地将货物送达客户手中。</w:t>
      </w:r>
    </w:p>
    <w:p>
      <w:pPr>
        <w:bidi w:val="0"/>
        <w:rPr>
          <w:rFonts w:hint="default"/>
        </w:rPr>
      </w:pPr>
      <w:r>
        <w:rPr>
          <w:rFonts w:hint="eastAsia"/>
          <w:lang w:val="en-US" w:eastAsia="zh-CN"/>
        </w:rPr>
        <w:t>（3）高成本性</w:t>
      </w:r>
    </w:p>
    <w:p>
      <w:pPr>
        <w:ind w:firstLine="480" w:firstLineChars="200"/>
        <w:rPr>
          <w:rFonts w:hint="eastAsia"/>
        </w:rPr>
        <w:sectPr>
          <w:footerReference w:type="default" r:id="rId11"/>
          <w:type w:val="nextPage"/>
          <w:pgSz w:w="11906" w:h="16838"/>
          <w:pgMar w:top="1440" w:right="1800" w:bottom="1440" w:left="1800" w:header="851" w:footer="992" w:gutter="0"/>
          <w:pgNumType w:start="5"/>
          <w:cols w:num="1" w:space="425"/>
          <w:titlePg w:val="0"/>
          <w:docGrid w:type="lines" w:linePitch="312" w:charSpace="0"/>
        </w:sectPr>
      </w:pPr>
    </w:p>
    <w:p>
      <w:pPr>
        <w:ind w:firstLine="480" w:firstLineChars="200"/>
        <w:rPr>
          <w:rFonts w:hint="eastAsia"/>
        </w:rPr>
      </w:pPr>
      <w:r>
        <w:rPr>
          <w:rFonts w:hint="eastAsia"/>
          <w:lang w:val="en-US" w:eastAsia="zh-CN"/>
        </w:rPr>
        <w:t>冷链物流运输的产品本身具有易腐蚀性，为了防止冷链产品腐蚀，最大限度的保证冷链产品的质量和新鲜度送达客户手中，冷链产品在生产、分销、运输、存储和销售过程都需要处于特定的低温环境中，这需要一个较为完整的冷链系统作为支撑。冷链物流系统给冷链产品维持低温的环境需要有低温的仓库冷藏车，以维持冷链产品存储分销过程处于其特定的温度中，还需要有特殊温度控制装置和冷藏车等冷链专用设备，以及监控物流系统时需要的较先进信息技术和物流工程技术，比如自动控制，射频技术，定位跟踪等技术，因此，冷链系统维持低温需要的专用设施设备以及技术。此外，还需要培养专业的技术人才对冷链系统进行管理，附加了额外的成本，所以使得冷链物流具有高成本性。</w:t>
      </w:r>
    </w:p>
    <w:p>
      <w:pPr>
        <w:bidi w:val="0"/>
        <w:rPr>
          <w:rFonts w:hint="default"/>
        </w:rPr>
      </w:pPr>
      <w:r>
        <w:rPr>
          <w:rFonts w:hint="eastAsia"/>
          <w:lang w:val="en-US" w:eastAsia="zh-CN"/>
        </w:rPr>
        <w:t>（4）组织协调性</w:t>
      </w:r>
    </w:p>
    <w:p>
      <w:pPr>
        <w:ind w:firstLine="480" w:firstLineChars="200"/>
        <w:rPr>
          <w:rFonts w:hint="eastAsia"/>
        </w:rPr>
      </w:pPr>
      <w:r>
        <w:rPr>
          <w:rFonts w:hint="eastAsia"/>
          <w:lang w:val="en-US" w:eastAsia="zh-CN"/>
        </w:rPr>
        <w:t>冷链物流所配送的产品都是对时间有非常严格的限制的，当配送路径一定的时候，配送时间越短，流通的效率越高，保障冷链产品的可能性越大，因此配送要有高效性。而提高配送效率问题势必要从配送的各个环节入手，让每个环节恰当分工，组织间紧密协调合作下，高效运作，才能最大程度达到缩短配送时间的目的，才能达到提高总的配送效率的目标。因此，如果要减少冷链物流的配送时间，提高配送效率，就需要实现组织的协调性，达到冷链配送系统能够高效的运作。</w:t>
      </w:r>
    </w:p>
    <w:p>
      <w:pPr>
        <w:ind w:firstLine="480" w:firstLineChars="200"/>
        <w:rPr>
          <w:rFonts w:hint="default"/>
        </w:rPr>
      </w:pPr>
    </w:p>
    <w:p>
      <w:pPr>
        <w:pStyle w:val="Heading2"/>
        <w:bidi w:val="0"/>
        <w:rPr>
          <w:rFonts w:hint="default"/>
          <w:lang w:val="en-US" w:eastAsia="zh-CN"/>
        </w:rPr>
      </w:pPr>
      <w:bookmarkStart w:id="37" w:name="_Toc18128"/>
      <w:bookmarkStart w:id="38" w:name="_Toc25261"/>
      <w:bookmarkStart w:id="39" w:name="_Toc31765"/>
      <w:bookmarkStart w:id="40" w:name="_Toc21568"/>
      <w:r>
        <w:rPr>
          <w:rFonts w:hint="eastAsia"/>
          <w:lang w:val="en-US" w:eastAsia="zh-CN"/>
        </w:rPr>
        <w:t>（二）冷链物流配送问题</w:t>
      </w:r>
      <w:bookmarkEnd w:id="37"/>
      <w:bookmarkEnd w:id="38"/>
      <w:r>
        <w:rPr>
          <w:rFonts w:hint="eastAsia"/>
          <w:lang w:val="en-US" w:eastAsia="zh-CN"/>
        </w:rPr>
        <w:t>概述</w:t>
      </w:r>
      <w:bookmarkEnd w:id="39"/>
      <w:bookmarkEnd w:id="40"/>
    </w:p>
    <w:p>
      <w:pPr>
        <w:rPr>
          <w:rFonts w:hint="eastAsia"/>
          <w:color w:val="auto"/>
        </w:rPr>
      </w:pPr>
      <w:r>
        <w:rPr>
          <w:rFonts w:hint="eastAsia"/>
          <w:color w:val="auto"/>
          <w:lang w:val="en-US" w:eastAsia="zh-CN"/>
        </w:rPr>
        <w:t>冷链物流配送问题的目标在于满足一定的限制条件下，合理的选择一条配送路径，达到优化目标，把货物送达需求点。主要限制条件包括顾客对货物的需求量、时间的要求、配送车辆的最大载重量和最大行驶路程、货物对适宜温度的要求。优化的最终目标是每次配送以最短的时间或行驶最短的路程保证冷链产品品质，减少产品的损耗，产生的配送成本最少，以减少企业的总配送成本，合理配置资源，提高企业利润和客户的满意度。冷链物流配送问题最早被Dantzig 和 Ramser 归纳为车辆路径优化问题，车辆路径优化问题的组成要素主要有客户需求量、配送节点间距离已知等约束条件，时间最短、使用车辆数量最小、总成本最小化的目标函数，以及客户点和配送中心的位置分布，配送网络、车辆、货物等信息要素。</w:t>
      </w:r>
      <w:r>
        <w:rPr>
          <w:rFonts w:hint="eastAsia"/>
          <w:color w:val="auto"/>
        </w:rPr>
        <w:br/>
      </w:r>
      <w:r>
        <w:rPr>
          <w:rFonts w:hint="eastAsia"/>
          <w:color w:val="auto"/>
        </w:rPr>
        <w:br/>
      </w:r>
    </w:p>
    <w:p>
      <w:pPr>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https://d.book118.com/455034004240011121</w:t>
        </w:r>
      </w:hyperlink>
    </w:p>
    <w:p>
      <w:pPr>
        <w:rPr>
          <w:rFonts w:hint="eastAsia"/>
          <w:color w:val="auto"/>
        </w:rPr>
      </w:pPr>
    </w:p>
    <w:sectPr>
      <w:footerReference w:type="default" r:id="rId13"/>
      <w:type w:val="nextPage"/>
      <w:pgSz w:w="11906" w:h="16838"/>
      <w:pgMar w:top="1440" w:right="1800" w:bottom="1440" w:left="1800" w:header="851" w:footer="992" w:gutter="0"/>
      <w:pgNumType w:start="6"/>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Math">
    <w:panose1 w:val="02040503050406030204"/>
    <w:charset w:val="00"/>
    <w:family w:val="auto"/>
    <w:pitch w:val="default"/>
    <w:sig w:usb0="E00002FF" w:usb1="42002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1</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1</w:t>
                    </w:r>
                    <w:r>
                      <w:rPr>
                        <w:rFonts w:ascii="Times New Roman" w:hAnsi="Times New Roman" w:cs="Times New Roman" w:hint="default"/>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15941353"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2</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2</w:t>
                    </w:r>
                    <w:r>
                      <w:rPr>
                        <w:rFonts w:ascii="Times New Roman" w:hAnsi="Times New Roman" w:cs="Times New Roman" w:hint="default"/>
                        <w:lang w:eastAsia="zh-CN"/>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971026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4</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4</w:t>
                    </w:r>
                    <w:r>
                      <w:rPr>
                        <w:rFonts w:ascii="Times New Roman" w:hAnsi="Times New Roman" w:cs="Times New Roman" w:hint="default"/>
                        <w:lang w:eastAsia="zh-CN"/>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515740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4</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4</w:t>
                    </w:r>
                    <w:r>
                      <w:rPr>
                        <w:rFonts w:ascii="Times New Roman" w:hAnsi="Times New Roman" w:cs="Times New Roman" w:hint="default"/>
                        <w:lang w:eastAsia="zh-CN"/>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4204790"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5</w:t>
                    </w:r>
                    <w:r>
                      <w:rPr>
                        <w:rFonts w:ascii="Times New Roman" w:hAnsi="Times New Roman" w:cs="Times New Roman" w:hint="default"/>
                        <w:lang w:eastAsia="zh-CN"/>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061143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6</w:t>
                          </w:r>
                          <w:r>
                            <w:rPr>
                              <w:rFonts w:ascii="Times New Roman" w:hAnsi="Times New Roman" w:cs="Times New Roman" w:hint="default"/>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jc w:val="both"/>
                      <w:rPr>
                        <w:rFonts w:ascii="Times New Roman" w:eastAsia="宋体" w:hAnsi="Times New Roman" w:cs="Times New Roman" w:hint="default"/>
                        <w:lang w:eastAsia="zh-CN"/>
                      </w:rPr>
                    </w:pPr>
                    <w:r>
                      <w:rPr>
                        <w:rFonts w:ascii="Times New Roman" w:hAnsi="Times New Roman" w:cs="Times New Roman" w:hint="default"/>
                        <w:lang w:eastAsia="zh-CN"/>
                      </w:rPr>
                      <w:fldChar w:fldCharType="begin"/>
                    </w:r>
                    <w:r>
                      <w:rPr>
                        <w:rFonts w:ascii="Times New Roman" w:hAnsi="Times New Roman" w:cs="Times New Roman" w:hint="default"/>
                        <w:lang w:eastAsia="zh-CN"/>
                      </w:rPr>
                      <w:instrText xml:space="preserve"> PAGE  \* MERGEFORMAT </w:instrText>
                    </w:r>
                    <w:r>
                      <w:rPr>
                        <w:rFonts w:ascii="Times New Roman" w:hAnsi="Times New Roman" w:cs="Times New Roman" w:hint="default"/>
                        <w:lang w:eastAsia="zh-CN"/>
                      </w:rPr>
                      <w:fldChar w:fldCharType="separate"/>
                    </w:r>
                    <w:r>
                      <w:rPr>
                        <w:rFonts w:ascii="Times New Roman" w:hAnsi="Times New Roman" w:cs="Times New Roman" w:hint="default"/>
                        <w:lang w:eastAsia="zh-CN"/>
                      </w:rPr>
                      <w:t>6</w:t>
                    </w:r>
                    <w:r>
                      <w:rPr>
                        <w:rFonts w:ascii="Times New Roman" w:hAnsi="Times New Roman" w:cs="Times New Roman" w:hint="default"/>
                        <w:lang w:eastAsia="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51ACEFB"/>
    <w:multiLevelType w:val="singleLevel"/>
    <w:tmpl w:val="951ACEFB"/>
    <w:lvl w:ilvl="0">
      <w:start w:val="2"/>
      <w:numFmt w:val="decimal"/>
      <w:suff w:val="nothing"/>
      <w:lvlText w:val="（%1）"/>
      <w:lvlJc w:val="left"/>
    </w:lvl>
  </w:abstractNum>
  <w:abstractNum w:abstractNumId="1">
    <w:nsid w:val="E9D1AE41"/>
    <w:multiLevelType w:val="singleLevel"/>
    <w:tmpl w:val="E9D1AE41"/>
    <w:lvl w:ilvl="0">
      <w:start w:val="1"/>
      <w:numFmt w:val="decimal"/>
      <w:suff w:val="nothing"/>
      <w:lvlText w:val="（%1）"/>
      <w:lvlJc w:val="left"/>
    </w:lvl>
  </w:abstractNum>
  <w:abstractNum w:abstractNumId="2">
    <w:nsid w:val="0AFF9DA6"/>
    <w:multiLevelType w:val="singleLevel"/>
    <w:tmpl w:val="0AFF9DA6"/>
    <w:lvl w:ilvl="0">
      <w:start w:val="14"/>
      <w:numFmt w:val="decimal"/>
      <w:suff w:val="space"/>
      <w:lvlText w:val="[%1]"/>
      <w:lvlJc w:val="left"/>
    </w:lvl>
  </w:abstractNum>
  <w:abstractNum w:abstractNumId="3">
    <w:nsid w:val="37A2BCBD"/>
    <w:multiLevelType w:val="singleLevel"/>
    <w:tmpl w:val="37A2BCBD"/>
    <w:lvl w:ilvl="0">
      <w:start w:val="2"/>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436005"/>
    <w:rsid w:val="03436005"/>
    <w:rsid w:val="0D3031D4"/>
    <w:rsid w:val="100C5B32"/>
    <w:rsid w:val="18ED327D"/>
    <w:rsid w:val="40363CBD"/>
    <w:rsid w:val="56FB2042"/>
    <w:rsid w:val="612E758B"/>
    <w:rsid w:val="61C03AD0"/>
    <w:rsid w:val="6622496D"/>
    <w:rsid w:val="72242932"/>
    <w:rsid w:val="723F1C7A"/>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spacing w:line="360" w:lineRule="auto"/>
      <w:ind w:firstLine="883" w:firstLineChars="200"/>
      <w:jc w:val="left"/>
    </w:pPr>
    <w:rPr>
      <w:rFonts w:eastAsia="宋体" w:asciiTheme="minorAscii" w:hAnsiTheme="minorAscii" w:cstheme="minorBidi"/>
      <w:kern w:val="0"/>
      <w:sz w:val="24"/>
      <w:szCs w:val="24"/>
      <w:lang w:val="en-US" w:eastAsia="zh-CN" w:bidi="ar"/>
    </w:rPr>
  </w:style>
  <w:style w:type="paragraph" w:styleId="Heading1">
    <w:name w:val="heading 1"/>
    <w:basedOn w:val="Normal"/>
    <w:next w:val="Normal"/>
    <w:link w:val="1Char"/>
    <w:qFormat/>
    <w:pPr>
      <w:keepNext/>
      <w:keepLines/>
      <w:spacing w:before="100" w:beforeLines="100" w:beforeAutospacing="0" w:after="50" w:afterLines="50" w:afterAutospacing="0" w:line="240" w:lineRule="auto"/>
      <w:ind w:firstLine="0" w:firstLineChars="0"/>
      <w:jc w:val="center"/>
      <w:outlineLvl w:val="0"/>
    </w:pPr>
    <w:rPr>
      <w:rFonts w:eastAsia="黑体" w:asciiTheme="minorAscii" w:hAnsiTheme="minorAscii"/>
      <w:kern w:val="44"/>
      <w:sz w:val="36"/>
      <w:lang w:bidi="ar"/>
    </w:rPr>
  </w:style>
  <w:style w:type="paragraph" w:styleId="Heading2">
    <w:name w:val="heading 2"/>
    <w:basedOn w:val="Normal"/>
    <w:next w:val="Normal"/>
    <w:link w:val="2Char"/>
    <w:semiHidden/>
    <w:unhideWhenUsed/>
    <w:qFormat/>
    <w:pPr>
      <w:keepNext/>
      <w:keepLines/>
      <w:spacing w:before="50" w:beforeLines="50" w:beforeAutospacing="0" w:afterLines="0" w:afterAutospacing="0" w:line="240" w:lineRule="auto"/>
      <w:ind w:firstLine="880" w:firstLineChars="200"/>
      <w:outlineLvl w:val="1"/>
    </w:pPr>
    <w:rPr>
      <w:rFonts w:ascii="Arial" w:eastAsia="黑体" w:hAnsi="Arial"/>
      <w:b/>
      <w:kern w:val="0"/>
      <w:sz w:val="24"/>
      <w:lang w:bidi="ar"/>
    </w:rPr>
  </w:style>
  <w:style w:type="paragraph" w:styleId="Heading3">
    <w:name w:val="heading 3"/>
    <w:basedOn w:val="Normal"/>
    <w:next w:val="Normal"/>
    <w:semiHidden/>
    <w:unhideWhenUsed/>
    <w:qFormat/>
    <w:pPr>
      <w:keepNext/>
      <w:keepLines/>
      <w:spacing w:before="50" w:beforeLines="50" w:beforeAutospacing="0" w:afterLines="0" w:afterAutospacing="0" w:line="240" w:lineRule="auto"/>
      <w:outlineLvl w:val="2"/>
    </w:pPr>
    <w:rPr>
      <w:rFonts w:eastAsia="黑体"/>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Caption">
    <w:name w:val="caption"/>
    <w:basedOn w:val="Normal"/>
    <w:next w:val="Normal"/>
    <w:semiHidden/>
    <w:unhideWhenUsed/>
    <w:qFormat/>
    <w:rPr>
      <w:rFonts w:ascii="Arial" w:eastAsia="黑体" w:hAnsi="Arial"/>
      <w:sz w:val="20"/>
    </w:rPr>
  </w:style>
  <w:style w:type="paragraph" w:styleId="TOC3">
    <w:name w:val="toc 3"/>
    <w:basedOn w:val="Normal"/>
    <w:next w:val="Normal"/>
    <w:autoRedefine/>
    <w:qFormat/>
    <w:pPr>
      <w:ind w:left="840" w:leftChars="400"/>
    </w:pPr>
  </w:style>
  <w:style w:type="paragraph" w:styleId="Footer">
    <w:name w:val="footer"/>
    <w:basedOn w:val="Normal"/>
    <w:pPr>
      <w:tabs>
        <w:tab w:val="center" w:pos="4153"/>
        <w:tab w:val="right" w:pos="8306"/>
      </w:tabs>
      <w:snapToGrid w:val="0"/>
      <w:jc w:val="left"/>
    </w:pPr>
    <w:rPr>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
    <w:name w:val="标题 2 Char"/>
    <w:link w:val="Heading2"/>
    <w:qFormat/>
    <w:rPr>
      <w:rFonts w:ascii="Arial" w:eastAsia="黑体" w:hAnsi="Arial"/>
      <w:b/>
      <w:kern w:val="0"/>
      <w:sz w:val="24"/>
      <w:lang w:bidi="ar"/>
    </w:rPr>
  </w:style>
  <w:style w:type="character" w:customStyle="1" w:styleId="1Char">
    <w:name w:val="标题 1 Char"/>
    <w:link w:val="Heading1"/>
    <w:qFormat/>
    <w:rPr>
      <w:rFonts w:eastAsia="黑体" w:asciiTheme="minorAscii" w:hAnsiTheme="minorAscii"/>
      <w:kern w:val="44"/>
      <w:sz w:val="36"/>
      <w:lang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hyperlink" Target="https://d.book118.com/455034004240011121" TargetMode="External" /><Relationship Id="rId13" Type="http://schemas.openxmlformats.org/officeDocument/2006/relationships/footer" Target="footer6.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李敏兰</dc:creator>
  <cp:lastModifiedBy>ABEEL</cp:lastModifiedBy>
  <cp:revision>1</cp:revision>
  <dcterms:created xsi:type="dcterms:W3CDTF">2021-05-06T15:09:00Z</dcterms:created>
  <dcterms:modified xsi:type="dcterms:W3CDTF">2024-03-11T03:42:39Z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CB9307641ACB4BA68E8C9388FA4639B3_13</vt:lpwstr>
  </property>
  <property fmtid="{D5CDD505-2E9C-101B-9397-08002B2CF9AE}" pid="3" name="KSOProductBuildVer">
    <vt:lpwstr>2052-12.1.0.16388</vt:lpwstr>
  </property>
</Properties>
</file>