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80" w:lineRule="exact"/>
        <w:jc w:val="center"/>
        <w:rPr>
          <w:rFonts w:eastAsia="华文新魏" w:hint="eastAsia"/>
          <w:bCs/>
          <w:sz w:val="52"/>
          <w:szCs w:val="52"/>
        </w:rPr>
      </w:pPr>
      <w:bookmarkStart w:id="0" w:name="_Ref250014498"/>
      <w:r>
        <w:rPr>
          <w:rFonts w:eastAsia="华文新魏" w:hint="eastAsia"/>
          <w:bCs/>
          <w:sz w:val="52"/>
          <w:szCs w:val="52"/>
        </w:rPr>
        <w:pict>
          <v:rect id="矩形 522" o:spid="_x0000_s1025" style="width:128.95pt;height:55.5pt;margin-top:13.25pt;margin-left:293.9pt;mso-wrap-style:square;position:absolute;z-index:251658240" filled="f" stroked="t">
            <v:stroke dashstyle="dash" linestyle="single"/>
            <v:textbox>
              <w:txbxContent>
                <w:p>
                  <w:pPr>
                    <w:jc w:val="center"/>
                    <w:rPr>
                      <w:rFonts w:hint="eastAsia"/>
                      <w:b/>
                    </w:rPr>
                  </w:pPr>
                  <w:r>
                    <w:rPr>
                      <w:rFonts w:hint="eastAsia"/>
                      <w:b/>
                    </w:rPr>
                    <w:t>本报告简本仅供建设</w:t>
                  </w:r>
                </w:p>
                <w:p>
                  <w:pPr>
                    <w:jc w:val="center"/>
                    <w:rPr>
                      <w:rFonts w:hint="eastAsia"/>
                      <w:b/>
                    </w:rPr>
                  </w:pPr>
                  <w:r>
                    <w:rPr>
                      <w:rFonts w:hint="eastAsia"/>
                      <w:b/>
                    </w:rPr>
                    <w:t>项目审批公示用</w:t>
                  </w:r>
                </w:p>
              </w:txbxContent>
            </v:textbox>
          </v:rect>
        </w:pict>
      </w:r>
    </w:p>
    <w:p>
      <w:pPr>
        <w:spacing w:line="480" w:lineRule="exact"/>
        <w:jc w:val="center"/>
        <w:rPr>
          <w:rFonts w:eastAsia="华文新魏" w:hint="eastAsia"/>
          <w:bCs/>
          <w:sz w:val="52"/>
          <w:szCs w:val="52"/>
        </w:rPr>
      </w:pPr>
    </w:p>
    <w:p>
      <w:pPr>
        <w:spacing w:line="480" w:lineRule="exact"/>
        <w:jc w:val="center"/>
        <w:rPr>
          <w:rFonts w:eastAsia="华文新魏" w:hint="eastAsia"/>
          <w:bCs/>
          <w:sz w:val="52"/>
          <w:szCs w:val="52"/>
        </w:rPr>
      </w:pPr>
    </w:p>
    <w:p>
      <w:pPr>
        <w:pStyle w:val="NormalIndent"/>
      </w:pPr>
    </w:p>
    <w:p>
      <w:pPr>
        <w:spacing w:before="216" w:beforeLines="50"/>
        <w:ind w:left="-254" w:leftChars="-106"/>
        <w:jc w:val="center"/>
        <w:rPr>
          <w:rFonts w:hint="eastAsia"/>
          <w:b/>
          <w:spacing w:val="20"/>
          <w:sz w:val="48"/>
          <w:szCs w:val="48"/>
        </w:rPr>
      </w:pPr>
      <w:r>
        <w:rPr>
          <w:rFonts w:ascii="宋体" w:hAnsi="宋体" w:cs="宋体" w:hint="eastAsia"/>
          <w:b/>
          <w:spacing w:val="20"/>
          <w:sz w:val="48"/>
          <w:szCs w:val="48"/>
        </w:rPr>
        <w:t>越剑路（中兴南路至谢墅江）建设工程</w:t>
      </w:r>
    </w:p>
    <w:p>
      <w:pPr>
        <w:spacing w:before="216" w:beforeLines="50"/>
        <w:ind w:left="-254" w:leftChars="-106"/>
        <w:jc w:val="center"/>
        <w:rPr>
          <w:b/>
          <w:spacing w:val="20"/>
          <w:sz w:val="52"/>
          <w:szCs w:val="52"/>
        </w:rPr>
      </w:pPr>
      <w:r>
        <w:rPr>
          <w:b/>
          <w:spacing w:val="20"/>
          <w:sz w:val="52"/>
          <w:szCs w:val="52"/>
        </w:rPr>
        <w:t>环境影响报告书</w:t>
      </w:r>
    </w:p>
    <w:p>
      <w:pPr>
        <w:pStyle w:val="NormalIndent"/>
        <w:ind w:firstLine="0" w:firstLineChars="0"/>
        <w:jc w:val="center"/>
        <w:rPr>
          <w:b/>
          <w:w w:val="97"/>
          <w:sz w:val="28"/>
        </w:rPr>
      </w:pPr>
      <w:r>
        <w:rPr>
          <w:rFonts w:hint="eastAsia"/>
          <w:b/>
          <w:w w:val="97"/>
          <w:sz w:val="28"/>
        </w:rPr>
        <w:t>（简本）</w:t>
      </w: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pPr>
    </w:p>
    <w:p>
      <w:pPr>
        <w:pStyle w:val="NormalIndent"/>
        <w:rPr>
          <w:rFonts w:hint="eastAsia"/>
        </w:rPr>
      </w:pPr>
    </w:p>
    <w:p>
      <w:pPr>
        <w:pStyle w:val="NormalIndent"/>
        <w:rPr>
          <w:rFonts w:hint="eastAsia"/>
        </w:rPr>
      </w:pPr>
    </w:p>
    <w:p>
      <w:pPr>
        <w:pStyle w:val="NormalIndent"/>
      </w:pPr>
    </w:p>
    <w:p>
      <w:pPr>
        <w:pStyle w:val="NormalIndent"/>
        <w:spacing w:line="0" w:lineRule="atLeast"/>
      </w:pPr>
    </w:p>
    <w:p>
      <w:pPr>
        <w:pStyle w:val="NormalIndent"/>
      </w:pPr>
    </w:p>
    <w:p>
      <w:pPr>
        <w:pStyle w:val="NormalIndent"/>
      </w:pPr>
    </w:p>
    <w:p>
      <w:pPr>
        <w:jc w:val="center"/>
        <w:rPr>
          <w:b/>
        </w:rPr>
      </w:pPr>
      <w:r>
        <w:rPr>
          <w:b/>
          <w:sz w:val="32"/>
        </w:rPr>
        <w:t>二</w:t>
      </w:r>
      <w:r>
        <w:rPr>
          <w:rFonts w:hint="eastAsia"/>
          <w:b/>
          <w:sz w:val="32"/>
        </w:rPr>
        <w:t>〇</w:t>
      </w:r>
      <w:r>
        <w:rPr>
          <w:b/>
          <w:sz w:val="32"/>
        </w:rPr>
        <w:t>一</w:t>
      </w:r>
      <w:r>
        <w:rPr>
          <w:rFonts w:hint="eastAsia"/>
          <w:b/>
          <w:sz w:val="32"/>
        </w:rPr>
        <w:t>四</w:t>
      </w:r>
      <w:r>
        <w:rPr>
          <w:b/>
          <w:sz w:val="32"/>
        </w:rPr>
        <w:t>年</w:t>
      </w:r>
      <w:r>
        <w:rPr>
          <w:rFonts w:hint="eastAsia"/>
          <w:b/>
          <w:sz w:val="32"/>
        </w:rPr>
        <w:t>七月</w:t>
      </w:r>
    </w:p>
    <w:p>
      <w:pPr>
        <w:pStyle w:val="NormalIndent"/>
        <w:jc w:val="center"/>
        <w:sectPr>
          <w:headerReference w:type="default" r:id="rId4"/>
          <w:footerReference w:type="even" r:id="rId5"/>
          <w:footerReference w:type="default" r:id="rId6"/>
          <w:pgSz w:w="11907" w:h="16840"/>
          <w:pgMar w:top="1418" w:right="1701" w:bottom="1559" w:left="1701" w:header="902" w:footer="907" w:gutter="0"/>
          <w:pgNumType w:fmt="upperRoman" w:start="1"/>
          <w:cols w:space="708"/>
          <w:docGrid w:type="linesAndChars" w:linePitch="433" w:charSpace="-3315"/>
        </w:sectPr>
      </w:pPr>
    </w:p>
    <w:p>
      <w:pPr>
        <w:pStyle w:val="NormalIndent"/>
        <w:ind w:firstLine="610"/>
        <w:jc w:val="center"/>
        <w:rPr>
          <w:b/>
          <w:sz w:val="32"/>
        </w:rPr>
      </w:pPr>
      <w:r>
        <w:rPr>
          <w:b/>
          <w:sz w:val="32"/>
        </w:rPr>
        <w:t>目    录</w:t>
      </w:r>
    </w:p>
    <w:p>
      <w:pPr>
        <w:pStyle w:val="NormalIndent"/>
      </w:pPr>
    </w:p>
    <w:p>
      <w:pPr>
        <w:pStyle w:val="TOC1"/>
        <w:tabs>
          <w:tab w:val="right" w:leader="dot" w:pos="8495"/>
        </w:tabs>
        <w:rPr>
          <w:rFonts w:ascii="Calibri" w:hAnsi="Calibri" w:cs="Times New Roman"/>
          <w:b w:val="0"/>
          <w:kern w:val="2"/>
          <w:sz w:val="21"/>
        </w:rPr>
      </w:pPr>
      <w:r>
        <w:rPr>
          <w:rFonts w:cs="Times New Roman"/>
          <w:sz w:val="21"/>
        </w:rPr>
        <w:fldChar w:fldCharType="begin"/>
      </w:r>
      <w:r>
        <w:rPr>
          <w:rFonts w:cs="Times New Roman"/>
          <w:sz w:val="21"/>
        </w:rPr>
        <w:instrText xml:space="preserve"> TOC \o "2-2" \h \z \t "标题 1,1" </w:instrText>
      </w:r>
      <w:r>
        <w:rPr>
          <w:rFonts w:cs="Times New Roman"/>
          <w:sz w:val="21"/>
        </w:rPr>
        <w:fldChar w:fldCharType="separate"/>
      </w:r>
      <w:hyperlink w:anchor="_Toc389816527" w:history="1">
        <w:r>
          <w:rPr>
            <w:rStyle w:val="Hyperlink"/>
            <w:rFonts w:cs="Times New Roman" w:hint="eastAsia"/>
            <w:snapToGrid w:val="0"/>
            <w:w w:val="0"/>
          </w:rPr>
          <w:t>第1章</w:t>
        </w:r>
        <w:r>
          <w:rPr>
            <w:rStyle w:val="Hyperlink"/>
            <w:rFonts w:cs="Times New Roman" w:hint="eastAsia"/>
          </w:rPr>
          <w:t xml:space="preserve"> 前言</w:t>
        </w:r>
        <w:r>
          <w:tab/>
        </w:r>
        <w:r>
          <w:fldChar w:fldCharType="begin"/>
        </w:r>
        <w:r>
          <w:instrText xml:space="preserve"> PAGEREF _Toc389816527 \h </w:instrText>
        </w:r>
        <w:r>
          <w:fldChar w:fldCharType="separate"/>
        </w:r>
        <w:r>
          <w:t>1</w:t>
        </w:r>
        <w:r>
          <w:fldChar w:fldCharType="end"/>
        </w:r>
      </w:hyperlink>
    </w:p>
    <w:p>
      <w:pPr>
        <w:pStyle w:val="TOC2"/>
        <w:tabs>
          <w:tab w:val="left" w:pos="993"/>
          <w:tab w:val="left" w:pos="1276"/>
          <w:tab w:val="right" w:leader="dot" w:pos="8495"/>
        </w:tabs>
        <w:rPr>
          <w:rFonts w:ascii="Calibri" w:hAnsi="Calibri"/>
          <w:kern w:val="2"/>
        </w:rPr>
      </w:pPr>
      <w:hyperlink w:anchor="_Toc389816528" w:history="1">
        <w:r>
          <w:rPr>
            <w:rStyle w:val="Hyperlink"/>
          </w:rPr>
          <w:t>1.1</w:t>
        </w:r>
        <w:r>
          <w:rPr>
            <w:rStyle w:val="Hyperlink"/>
            <w:rFonts w:hint="eastAsia"/>
          </w:rPr>
          <w:t xml:space="preserve"> 建设项目特点</w:t>
        </w:r>
        <w:r>
          <w:tab/>
        </w:r>
        <w:r>
          <w:fldChar w:fldCharType="begin"/>
        </w:r>
        <w:r>
          <w:instrText xml:space="preserve"> PAGEREF _Toc389816528 \h </w:instrText>
        </w:r>
        <w:r>
          <w:fldChar w:fldCharType="separate"/>
        </w:r>
        <w:r>
          <w:t>1</w:t>
        </w:r>
        <w:r>
          <w:fldChar w:fldCharType="end"/>
        </w:r>
      </w:hyperlink>
    </w:p>
    <w:p>
      <w:pPr>
        <w:pStyle w:val="TOC1"/>
        <w:tabs>
          <w:tab w:val="right" w:leader="dot" w:pos="8495"/>
        </w:tabs>
        <w:rPr>
          <w:rFonts w:ascii="Calibri" w:hAnsi="Calibri" w:cs="Times New Roman"/>
          <w:b w:val="0"/>
          <w:kern w:val="2"/>
          <w:sz w:val="21"/>
        </w:rPr>
      </w:pPr>
      <w:hyperlink w:anchor="_Toc389816529" w:history="1">
        <w:r>
          <w:rPr>
            <w:rStyle w:val="Hyperlink"/>
            <w:rFonts w:cs="Times New Roman" w:hint="eastAsia"/>
            <w:snapToGrid w:val="0"/>
            <w:w w:val="0"/>
          </w:rPr>
          <w:t>第2章</w:t>
        </w:r>
        <w:r>
          <w:rPr>
            <w:rStyle w:val="Hyperlink"/>
            <w:rFonts w:cs="Times New Roman" w:hint="eastAsia"/>
          </w:rPr>
          <w:t xml:space="preserve"> 项目概况及污染源分析</w:t>
        </w:r>
        <w:r>
          <w:tab/>
        </w:r>
        <w:r>
          <w:fldChar w:fldCharType="begin"/>
        </w:r>
        <w:r>
          <w:instrText xml:space="preserve"> PAGEREF _Toc389816529 \h </w:instrText>
        </w:r>
        <w:r>
          <w:fldChar w:fldCharType="separate"/>
        </w:r>
        <w:r>
          <w:t>1</w:t>
        </w:r>
        <w:r>
          <w:fldChar w:fldCharType="end"/>
        </w:r>
      </w:hyperlink>
    </w:p>
    <w:p>
      <w:pPr>
        <w:pStyle w:val="TOC2"/>
        <w:tabs>
          <w:tab w:val="left" w:pos="993"/>
          <w:tab w:val="left" w:pos="1276"/>
          <w:tab w:val="right" w:leader="dot" w:pos="8495"/>
        </w:tabs>
        <w:rPr>
          <w:rFonts w:ascii="Calibri" w:hAnsi="Calibri"/>
          <w:kern w:val="2"/>
        </w:rPr>
      </w:pPr>
      <w:hyperlink w:anchor="_Toc389816530" w:history="1">
        <w:r>
          <w:rPr>
            <w:rStyle w:val="Hyperlink"/>
          </w:rPr>
          <w:t>2.1</w:t>
        </w:r>
        <w:r>
          <w:rPr>
            <w:rStyle w:val="Hyperlink"/>
            <w:rFonts w:hint="eastAsia"/>
          </w:rPr>
          <w:t xml:space="preserve"> 项目概况</w:t>
        </w:r>
        <w:r>
          <w:tab/>
        </w:r>
        <w:r>
          <w:fldChar w:fldCharType="begin"/>
        </w:r>
        <w:r>
          <w:instrText xml:space="preserve"> PAGEREF _Toc389816530 \h </w:instrText>
        </w:r>
        <w:r>
          <w:fldChar w:fldCharType="separate"/>
        </w:r>
        <w:r>
          <w:t>2</w:t>
        </w:r>
        <w:r>
          <w:fldChar w:fldCharType="end"/>
        </w:r>
      </w:hyperlink>
    </w:p>
    <w:p>
      <w:pPr>
        <w:pStyle w:val="TOC1"/>
        <w:tabs>
          <w:tab w:val="right" w:leader="dot" w:pos="8495"/>
        </w:tabs>
        <w:rPr>
          <w:rFonts w:ascii="Calibri" w:hAnsi="Calibri" w:cs="Times New Roman"/>
          <w:b w:val="0"/>
          <w:kern w:val="2"/>
          <w:sz w:val="21"/>
        </w:rPr>
      </w:pPr>
      <w:hyperlink w:anchor="_Toc389816531" w:history="1">
        <w:r>
          <w:rPr>
            <w:rStyle w:val="Hyperlink"/>
            <w:rFonts w:cs="Times New Roman" w:hint="eastAsia"/>
            <w:snapToGrid w:val="0"/>
            <w:w w:val="0"/>
          </w:rPr>
          <w:t>第3章</w:t>
        </w:r>
        <w:r>
          <w:rPr>
            <w:rStyle w:val="Hyperlink"/>
            <w:rFonts w:cs="Times New Roman" w:hint="eastAsia"/>
          </w:rPr>
          <w:t xml:space="preserve"> 环境质量现状</w:t>
        </w:r>
        <w:r>
          <w:tab/>
        </w:r>
        <w:r>
          <w:fldChar w:fldCharType="begin"/>
        </w:r>
        <w:r>
          <w:instrText xml:space="preserve"> PAGEREF _Toc389816531 \h </w:instrText>
        </w:r>
        <w:r>
          <w:fldChar w:fldCharType="separate"/>
        </w:r>
        <w:r>
          <w:t>5</w:t>
        </w:r>
        <w:r>
          <w:fldChar w:fldCharType="end"/>
        </w:r>
      </w:hyperlink>
    </w:p>
    <w:p>
      <w:pPr>
        <w:pStyle w:val="TOC2"/>
        <w:tabs>
          <w:tab w:val="left" w:pos="993"/>
          <w:tab w:val="left" w:pos="1276"/>
          <w:tab w:val="right" w:leader="dot" w:pos="8495"/>
        </w:tabs>
        <w:rPr>
          <w:rFonts w:ascii="Calibri" w:hAnsi="Calibri"/>
          <w:kern w:val="2"/>
        </w:rPr>
      </w:pPr>
      <w:hyperlink w:anchor="_Toc389816532" w:history="1">
        <w:r>
          <w:rPr>
            <w:rStyle w:val="Hyperlink"/>
          </w:rPr>
          <w:t>3.1</w:t>
        </w:r>
        <w:r>
          <w:rPr>
            <w:rStyle w:val="Hyperlink"/>
            <w:rFonts w:hint="eastAsia"/>
          </w:rPr>
          <w:t xml:space="preserve"> 水环境质量现状评价</w:t>
        </w:r>
        <w:r>
          <w:tab/>
        </w:r>
        <w:r>
          <w:fldChar w:fldCharType="begin"/>
        </w:r>
        <w:r>
          <w:instrText xml:space="preserve"> PAGEREF _Toc389816532 \h </w:instrText>
        </w:r>
        <w:r>
          <w:fldChar w:fldCharType="separate"/>
        </w:r>
        <w:r>
          <w:t>5</w:t>
        </w:r>
        <w:r>
          <w:fldChar w:fldCharType="end"/>
        </w:r>
      </w:hyperlink>
    </w:p>
    <w:p>
      <w:pPr>
        <w:pStyle w:val="TOC2"/>
        <w:tabs>
          <w:tab w:val="left" w:pos="993"/>
          <w:tab w:val="left" w:pos="1276"/>
          <w:tab w:val="right" w:leader="dot" w:pos="8495"/>
        </w:tabs>
        <w:rPr>
          <w:rFonts w:ascii="Calibri" w:hAnsi="Calibri"/>
          <w:kern w:val="2"/>
        </w:rPr>
      </w:pPr>
      <w:hyperlink w:anchor="_Toc389816533" w:history="1">
        <w:r>
          <w:rPr>
            <w:rStyle w:val="Hyperlink"/>
          </w:rPr>
          <w:t>3.2</w:t>
        </w:r>
        <w:r>
          <w:rPr>
            <w:rStyle w:val="Hyperlink"/>
            <w:rFonts w:hint="eastAsia"/>
          </w:rPr>
          <w:t xml:space="preserve"> 环境空气质量现状评价</w:t>
        </w:r>
        <w:r>
          <w:tab/>
        </w:r>
        <w:r>
          <w:fldChar w:fldCharType="begin"/>
        </w:r>
        <w:r>
          <w:instrText xml:space="preserve"> PAGEREF _Toc389816533 \h </w:instrText>
        </w:r>
        <w:r>
          <w:fldChar w:fldCharType="separate"/>
        </w:r>
        <w:r>
          <w:t>5</w:t>
        </w:r>
        <w:r>
          <w:fldChar w:fldCharType="end"/>
        </w:r>
      </w:hyperlink>
    </w:p>
    <w:p>
      <w:pPr>
        <w:pStyle w:val="TOC2"/>
        <w:tabs>
          <w:tab w:val="left" w:pos="993"/>
          <w:tab w:val="left" w:pos="1276"/>
          <w:tab w:val="right" w:leader="dot" w:pos="8495"/>
        </w:tabs>
        <w:rPr>
          <w:rFonts w:ascii="Calibri" w:hAnsi="Calibri"/>
          <w:kern w:val="2"/>
        </w:rPr>
      </w:pPr>
      <w:hyperlink w:anchor="_Toc389816534" w:history="1">
        <w:r>
          <w:rPr>
            <w:rStyle w:val="Hyperlink"/>
          </w:rPr>
          <w:t>3.3</w:t>
        </w:r>
        <w:r>
          <w:rPr>
            <w:rStyle w:val="Hyperlink"/>
            <w:rFonts w:hint="eastAsia"/>
          </w:rPr>
          <w:t xml:space="preserve"> 声环境质量现状评价</w:t>
        </w:r>
        <w:r>
          <w:tab/>
        </w:r>
        <w:r>
          <w:fldChar w:fldCharType="begin"/>
        </w:r>
        <w:r>
          <w:instrText xml:space="preserve"> PAGEREF _Toc389816534 \h </w:instrText>
        </w:r>
        <w:r>
          <w:fldChar w:fldCharType="separate"/>
        </w:r>
        <w:r>
          <w:t>5</w:t>
        </w:r>
        <w:r>
          <w:fldChar w:fldCharType="end"/>
        </w:r>
      </w:hyperlink>
    </w:p>
    <w:p>
      <w:pPr>
        <w:pStyle w:val="TOC2"/>
        <w:tabs>
          <w:tab w:val="left" w:pos="993"/>
          <w:tab w:val="left" w:pos="1276"/>
          <w:tab w:val="right" w:leader="dot" w:pos="8495"/>
        </w:tabs>
        <w:rPr>
          <w:rFonts w:ascii="Calibri" w:hAnsi="Calibri"/>
          <w:kern w:val="2"/>
        </w:rPr>
      </w:pPr>
      <w:hyperlink w:anchor="_Toc389816535" w:history="1">
        <w:r>
          <w:rPr>
            <w:rStyle w:val="Hyperlink"/>
          </w:rPr>
          <w:t>3.4</w:t>
        </w:r>
        <w:r>
          <w:rPr>
            <w:rStyle w:val="Hyperlink"/>
            <w:rFonts w:hint="eastAsia"/>
          </w:rPr>
          <w:t xml:space="preserve"> 生态环境质量现状</w:t>
        </w:r>
        <w:r>
          <w:tab/>
        </w:r>
        <w:r>
          <w:fldChar w:fldCharType="begin"/>
        </w:r>
        <w:r>
          <w:instrText xml:space="preserve"> PAGEREF _Toc389816535 \h </w:instrText>
        </w:r>
        <w:r>
          <w:fldChar w:fldCharType="separate"/>
        </w:r>
        <w:r>
          <w:t>5</w:t>
        </w:r>
        <w:r>
          <w:fldChar w:fldCharType="end"/>
        </w:r>
      </w:hyperlink>
    </w:p>
    <w:p>
      <w:pPr>
        <w:pStyle w:val="TOC1"/>
        <w:tabs>
          <w:tab w:val="right" w:leader="dot" w:pos="8495"/>
        </w:tabs>
        <w:rPr>
          <w:rFonts w:ascii="Calibri" w:hAnsi="Calibri" w:cs="Times New Roman"/>
          <w:b w:val="0"/>
          <w:kern w:val="2"/>
          <w:sz w:val="21"/>
        </w:rPr>
      </w:pPr>
      <w:hyperlink w:anchor="_Toc389816536" w:history="1">
        <w:r>
          <w:rPr>
            <w:rStyle w:val="Hyperlink"/>
            <w:rFonts w:cs="Times New Roman" w:hint="eastAsia"/>
            <w:snapToGrid w:val="0"/>
            <w:w w:val="0"/>
          </w:rPr>
          <w:t>第4章</w:t>
        </w:r>
        <w:r>
          <w:rPr>
            <w:rStyle w:val="Hyperlink"/>
            <w:rFonts w:cs="Times New Roman" w:hint="eastAsia"/>
          </w:rPr>
          <w:t xml:space="preserve"> 环境影响分析</w:t>
        </w:r>
        <w:r>
          <w:tab/>
        </w:r>
        <w:r>
          <w:fldChar w:fldCharType="begin"/>
        </w:r>
        <w:r>
          <w:instrText xml:space="preserve"> PAGEREF _Toc389816536 \h </w:instrText>
        </w:r>
        <w:r>
          <w:fldChar w:fldCharType="separate"/>
        </w:r>
        <w:r>
          <w:t>6</w:t>
        </w:r>
        <w:r>
          <w:fldChar w:fldCharType="end"/>
        </w:r>
      </w:hyperlink>
    </w:p>
    <w:p>
      <w:pPr>
        <w:pStyle w:val="TOC2"/>
        <w:tabs>
          <w:tab w:val="left" w:pos="993"/>
          <w:tab w:val="left" w:pos="1276"/>
          <w:tab w:val="right" w:leader="dot" w:pos="8495"/>
        </w:tabs>
        <w:rPr>
          <w:rFonts w:ascii="Calibri" w:hAnsi="Calibri"/>
          <w:kern w:val="2"/>
        </w:rPr>
      </w:pPr>
      <w:hyperlink w:anchor="_Toc389816537" w:history="1">
        <w:r>
          <w:rPr>
            <w:rStyle w:val="Hyperlink"/>
          </w:rPr>
          <w:t>4.1</w:t>
        </w:r>
        <w:r>
          <w:rPr>
            <w:rStyle w:val="Hyperlink"/>
            <w:rFonts w:hint="eastAsia"/>
          </w:rPr>
          <w:t xml:space="preserve"> 建设期环境影响分析</w:t>
        </w:r>
        <w:r>
          <w:tab/>
        </w:r>
        <w:r>
          <w:fldChar w:fldCharType="begin"/>
        </w:r>
        <w:r>
          <w:instrText xml:space="preserve"> PAGEREF _Toc389816537 \h </w:instrText>
        </w:r>
        <w:r>
          <w:fldChar w:fldCharType="separate"/>
        </w:r>
        <w:r>
          <w:t>6</w:t>
        </w:r>
        <w:r>
          <w:fldChar w:fldCharType="end"/>
        </w:r>
      </w:hyperlink>
    </w:p>
    <w:p>
      <w:pPr>
        <w:pStyle w:val="TOC2"/>
        <w:tabs>
          <w:tab w:val="left" w:pos="993"/>
          <w:tab w:val="left" w:pos="1276"/>
          <w:tab w:val="right" w:leader="dot" w:pos="8495"/>
        </w:tabs>
        <w:rPr>
          <w:rFonts w:ascii="Calibri" w:hAnsi="Calibri"/>
          <w:kern w:val="2"/>
        </w:rPr>
      </w:pPr>
      <w:hyperlink w:anchor="_Toc389816538" w:history="1">
        <w:r>
          <w:rPr>
            <w:rStyle w:val="Hyperlink"/>
          </w:rPr>
          <w:t>4.2</w:t>
        </w:r>
        <w:r>
          <w:rPr>
            <w:rStyle w:val="Hyperlink"/>
            <w:rFonts w:hint="eastAsia"/>
          </w:rPr>
          <w:t xml:space="preserve"> 营运期环境影响分析</w:t>
        </w:r>
        <w:r>
          <w:tab/>
        </w:r>
        <w:r>
          <w:fldChar w:fldCharType="begin"/>
        </w:r>
        <w:r>
          <w:instrText xml:space="preserve"> PAGEREF _Toc389816538 \h </w:instrText>
        </w:r>
        <w:r>
          <w:fldChar w:fldCharType="separate"/>
        </w:r>
        <w:r>
          <w:t>8</w:t>
        </w:r>
        <w:r>
          <w:fldChar w:fldCharType="end"/>
        </w:r>
      </w:hyperlink>
    </w:p>
    <w:p>
      <w:pPr>
        <w:pStyle w:val="TOC1"/>
        <w:tabs>
          <w:tab w:val="right" w:leader="dot" w:pos="8495"/>
        </w:tabs>
        <w:rPr>
          <w:rFonts w:ascii="Calibri" w:hAnsi="Calibri" w:cs="Times New Roman"/>
          <w:b w:val="0"/>
          <w:kern w:val="2"/>
          <w:sz w:val="21"/>
        </w:rPr>
      </w:pPr>
      <w:hyperlink w:anchor="_Toc389816539" w:history="1">
        <w:r>
          <w:rPr>
            <w:rStyle w:val="Hyperlink"/>
            <w:rFonts w:cs="Times New Roman" w:hint="eastAsia"/>
            <w:snapToGrid w:val="0"/>
            <w:w w:val="0"/>
          </w:rPr>
          <w:t>第5章</w:t>
        </w:r>
        <w:r>
          <w:rPr>
            <w:rStyle w:val="Hyperlink"/>
            <w:rFonts w:cs="Times New Roman" w:hint="eastAsia"/>
          </w:rPr>
          <w:t xml:space="preserve"> 污染防治措施及总量控制</w:t>
        </w:r>
        <w:r>
          <w:tab/>
        </w:r>
        <w:r>
          <w:fldChar w:fldCharType="begin"/>
        </w:r>
        <w:r>
          <w:instrText xml:space="preserve"> PAGEREF _Toc389816539 \h </w:instrText>
        </w:r>
        <w:r>
          <w:fldChar w:fldCharType="separate"/>
        </w:r>
        <w:r>
          <w:t>11</w:t>
        </w:r>
        <w:r>
          <w:fldChar w:fldCharType="end"/>
        </w:r>
      </w:hyperlink>
    </w:p>
    <w:p>
      <w:pPr>
        <w:pStyle w:val="TOC2"/>
        <w:tabs>
          <w:tab w:val="left" w:pos="993"/>
          <w:tab w:val="left" w:pos="1276"/>
          <w:tab w:val="right" w:leader="dot" w:pos="8495"/>
        </w:tabs>
        <w:rPr>
          <w:rFonts w:ascii="Calibri" w:hAnsi="Calibri"/>
          <w:kern w:val="2"/>
        </w:rPr>
      </w:pPr>
      <w:hyperlink w:anchor="_Toc389816540" w:history="1">
        <w:r>
          <w:rPr>
            <w:rStyle w:val="Hyperlink"/>
          </w:rPr>
          <w:t>5.1</w:t>
        </w:r>
        <w:r>
          <w:rPr>
            <w:rStyle w:val="Hyperlink"/>
            <w:rFonts w:hint="eastAsia"/>
          </w:rPr>
          <w:t xml:space="preserve"> 污染防治措施汇总</w:t>
        </w:r>
        <w:r>
          <w:tab/>
        </w:r>
        <w:r>
          <w:fldChar w:fldCharType="begin"/>
        </w:r>
        <w:r>
          <w:instrText xml:space="preserve"> PAGEREF _Toc389816540 \h </w:instrText>
        </w:r>
        <w:r>
          <w:fldChar w:fldCharType="separate"/>
        </w:r>
        <w:r>
          <w:t>11</w:t>
        </w:r>
        <w:r>
          <w:fldChar w:fldCharType="end"/>
        </w:r>
      </w:hyperlink>
    </w:p>
    <w:p>
      <w:pPr>
        <w:pStyle w:val="TOC2"/>
        <w:tabs>
          <w:tab w:val="left" w:pos="993"/>
          <w:tab w:val="left" w:pos="1276"/>
          <w:tab w:val="right" w:leader="dot" w:pos="8495"/>
        </w:tabs>
        <w:rPr>
          <w:rFonts w:ascii="Calibri" w:hAnsi="Calibri"/>
          <w:kern w:val="2"/>
        </w:rPr>
      </w:pPr>
      <w:hyperlink w:anchor="_Toc389816541" w:history="1">
        <w:r>
          <w:rPr>
            <w:rStyle w:val="Hyperlink"/>
          </w:rPr>
          <w:t>5.2</w:t>
        </w:r>
        <w:r>
          <w:rPr>
            <w:rStyle w:val="Hyperlink"/>
            <w:rFonts w:hint="eastAsia"/>
          </w:rPr>
          <w:t xml:space="preserve"> 总量控制</w:t>
        </w:r>
        <w:r>
          <w:tab/>
        </w:r>
        <w:r>
          <w:fldChar w:fldCharType="begin"/>
        </w:r>
        <w:r>
          <w:instrText xml:space="preserve"> PAGEREF _Toc389816541 \h </w:instrText>
        </w:r>
        <w:r>
          <w:fldChar w:fldCharType="separate"/>
        </w:r>
        <w:r>
          <w:t>11</w:t>
        </w:r>
        <w:r>
          <w:fldChar w:fldCharType="end"/>
        </w:r>
      </w:hyperlink>
    </w:p>
    <w:p>
      <w:pPr>
        <w:pStyle w:val="TOC1"/>
        <w:tabs>
          <w:tab w:val="right" w:leader="dot" w:pos="8495"/>
        </w:tabs>
        <w:rPr>
          <w:rFonts w:ascii="Calibri" w:hAnsi="Calibri" w:cs="Times New Roman"/>
          <w:b w:val="0"/>
          <w:kern w:val="2"/>
          <w:sz w:val="21"/>
        </w:rPr>
      </w:pPr>
      <w:hyperlink w:anchor="_Toc389816542" w:history="1">
        <w:r>
          <w:rPr>
            <w:rStyle w:val="Hyperlink"/>
            <w:rFonts w:cs="Times New Roman" w:hint="eastAsia"/>
            <w:snapToGrid w:val="0"/>
            <w:w w:val="0"/>
          </w:rPr>
          <w:t>第6章</w:t>
        </w:r>
        <w:r>
          <w:rPr>
            <w:rStyle w:val="Hyperlink"/>
            <w:rFonts w:cs="Times New Roman" w:hint="eastAsia"/>
          </w:rPr>
          <w:t xml:space="preserve"> 公众参与</w:t>
        </w:r>
        <w:r>
          <w:tab/>
        </w:r>
        <w:r>
          <w:fldChar w:fldCharType="begin"/>
        </w:r>
        <w:r>
          <w:instrText xml:space="preserve"> PAGEREF _Toc389816542 \h </w:instrText>
        </w:r>
        <w:r>
          <w:fldChar w:fldCharType="separate"/>
        </w:r>
        <w:r>
          <w:t>15</w:t>
        </w:r>
        <w:r>
          <w:fldChar w:fldCharType="end"/>
        </w:r>
      </w:hyperlink>
    </w:p>
    <w:p>
      <w:pPr>
        <w:pStyle w:val="TOC2"/>
        <w:tabs>
          <w:tab w:val="left" w:pos="993"/>
          <w:tab w:val="left" w:pos="1276"/>
          <w:tab w:val="right" w:leader="dot" w:pos="8495"/>
        </w:tabs>
        <w:rPr>
          <w:rFonts w:ascii="Calibri" w:hAnsi="Calibri"/>
          <w:kern w:val="2"/>
        </w:rPr>
      </w:pPr>
      <w:hyperlink w:anchor="_Toc389816543" w:history="1">
        <w:r>
          <w:rPr>
            <w:rStyle w:val="Hyperlink"/>
          </w:rPr>
          <w:t>6.1</w:t>
        </w:r>
        <w:r>
          <w:rPr>
            <w:rStyle w:val="Hyperlink"/>
            <w:rFonts w:hint="eastAsia"/>
          </w:rPr>
          <w:t xml:space="preserve"> 公众调查</w:t>
        </w:r>
        <w:r>
          <w:tab/>
        </w:r>
        <w:r>
          <w:fldChar w:fldCharType="begin"/>
        </w:r>
        <w:r>
          <w:instrText xml:space="preserve"> PAGEREF _Toc389816543 \h </w:instrText>
        </w:r>
        <w:r>
          <w:fldChar w:fldCharType="separate"/>
        </w:r>
        <w:r>
          <w:t>15</w:t>
        </w:r>
        <w:r>
          <w:fldChar w:fldCharType="end"/>
        </w:r>
      </w:hyperlink>
    </w:p>
    <w:p>
      <w:pPr>
        <w:pStyle w:val="TOC2"/>
        <w:tabs>
          <w:tab w:val="left" w:pos="993"/>
          <w:tab w:val="left" w:pos="1276"/>
          <w:tab w:val="right" w:leader="dot" w:pos="8495"/>
        </w:tabs>
        <w:rPr>
          <w:rFonts w:ascii="Calibri" w:hAnsi="Calibri"/>
          <w:kern w:val="2"/>
        </w:rPr>
      </w:pPr>
      <w:hyperlink w:anchor="_Toc389816544" w:history="1">
        <w:r>
          <w:rPr>
            <w:rStyle w:val="Hyperlink"/>
          </w:rPr>
          <w:t>6.2</w:t>
        </w:r>
        <w:r>
          <w:rPr>
            <w:rStyle w:val="Hyperlink"/>
            <w:rFonts w:hint="eastAsia"/>
          </w:rPr>
          <w:t xml:space="preserve"> 公示情况</w:t>
        </w:r>
        <w:r>
          <w:tab/>
        </w:r>
        <w:r>
          <w:fldChar w:fldCharType="begin"/>
        </w:r>
        <w:r>
          <w:instrText xml:space="preserve"> PAGEREF _Toc389816544 \h </w:instrText>
        </w:r>
        <w:r>
          <w:fldChar w:fldCharType="separate"/>
        </w:r>
        <w:r>
          <w:t>15</w:t>
        </w:r>
        <w:r>
          <w:fldChar w:fldCharType="end"/>
        </w:r>
      </w:hyperlink>
    </w:p>
    <w:p>
      <w:pPr>
        <w:pStyle w:val="TOC2"/>
        <w:tabs>
          <w:tab w:val="left" w:pos="993"/>
          <w:tab w:val="left" w:pos="1276"/>
          <w:tab w:val="right" w:leader="dot" w:pos="8495"/>
        </w:tabs>
        <w:rPr>
          <w:rFonts w:ascii="Calibri" w:hAnsi="Calibri"/>
          <w:kern w:val="2"/>
        </w:rPr>
      </w:pPr>
      <w:hyperlink w:anchor="_Toc389816545" w:history="1">
        <w:r>
          <w:rPr>
            <w:rStyle w:val="Hyperlink"/>
          </w:rPr>
          <w:t>6.3</w:t>
        </w:r>
        <w:r>
          <w:rPr>
            <w:rStyle w:val="Hyperlink"/>
            <w:rFonts w:hint="eastAsia"/>
          </w:rPr>
          <w:t xml:space="preserve"> 公众参与调查综合结果</w:t>
        </w:r>
        <w:r>
          <w:tab/>
        </w:r>
        <w:r>
          <w:fldChar w:fldCharType="begin"/>
        </w:r>
        <w:r>
          <w:instrText xml:space="preserve"> PAGEREF _Toc389816545 \h </w:instrText>
        </w:r>
        <w:r>
          <w:fldChar w:fldCharType="separate"/>
        </w:r>
        <w:r>
          <w:t>15</w:t>
        </w:r>
        <w:r>
          <w:fldChar w:fldCharType="end"/>
        </w:r>
      </w:hyperlink>
    </w:p>
    <w:p>
      <w:pPr>
        <w:pStyle w:val="TOC1"/>
        <w:tabs>
          <w:tab w:val="right" w:leader="dot" w:pos="8495"/>
        </w:tabs>
        <w:rPr>
          <w:rFonts w:ascii="Calibri" w:hAnsi="Calibri" w:cs="Times New Roman"/>
          <w:b w:val="0"/>
          <w:kern w:val="2"/>
          <w:sz w:val="21"/>
        </w:rPr>
      </w:pPr>
      <w:hyperlink w:anchor="_Toc389816546" w:history="1">
        <w:r>
          <w:rPr>
            <w:rStyle w:val="Hyperlink"/>
            <w:rFonts w:cs="Times New Roman" w:hint="eastAsia"/>
            <w:snapToGrid w:val="0"/>
            <w:w w:val="0"/>
          </w:rPr>
          <w:t>第7章</w:t>
        </w:r>
        <w:r>
          <w:rPr>
            <w:rStyle w:val="Hyperlink"/>
            <w:rFonts w:cs="Times New Roman" w:hint="eastAsia"/>
          </w:rPr>
          <w:t xml:space="preserve"> 项目建设合理性分析</w:t>
        </w:r>
        <w:r>
          <w:tab/>
        </w:r>
        <w:r>
          <w:fldChar w:fldCharType="begin"/>
        </w:r>
        <w:r>
          <w:instrText xml:space="preserve"> PAGEREF _Toc389816546 \h </w:instrText>
        </w:r>
        <w:r>
          <w:fldChar w:fldCharType="separate"/>
        </w:r>
        <w:r>
          <w:t>17</w:t>
        </w:r>
        <w:r>
          <w:fldChar w:fldCharType="end"/>
        </w:r>
      </w:hyperlink>
    </w:p>
    <w:p>
      <w:pPr>
        <w:pStyle w:val="TOC2"/>
        <w:tabs>
          <w:tab w:val="left" w:pos="993"/>
          <w:tab w:val="left" w:pos="1276"/>
          <w:tab w:val="right" w:leader="dot" w:pos="8495"/>
        </w:tabs>
        <w:rPr>
          <w:rFonts w:ascii="Calibri" w:hAnsi="Calibri"/>
          <w:kern w:val="2"/>
        </w:rPr>
      </w:pPr>
      <w:hyperlink w:anchor="_Toc389816547" w:history="1">
        <w:r>
          <w:rPr>
            <w:rStyle w:val="Hyperlink"/>
          </w:rPr>
          <w:t>7.1</w:t>
        </w:r>
        <w:r>
          <w:rPr>
            <w:rStyle w:val="Hyperlink"/>
            <w:rFonts w:hint="eastAsia"/>
          </w:rPr>
          <w:t xml:space="preserve"> 选线合理性分析</w:t>
        </w:r>
        <w:r>
          <w:tab/>
        </w:r>
        <w:r>
          <w:fldChar w:fldCharType="begin"/>
        </w:r>
        <w:r>
          <w:instrText xml:space="preserve"> PAGEREF _Toc389816547 \h </w:instrText>
        </w:r>
        <w:r>
          <w:fldChar w:fldCharType="separate"/>
        </w:r>
        <w:r>
          <w:t>17</w:t>
        </w:r>
        <w:r>
          <w:fldChar w:fldCharType="end"/>
        </w:r>
      </w:hyperlink>
    </w:p>
    <w:p>
      <w:pPr>
        <w:pStyle w:val="TOC2"/>
        <w:tabs>
          <w:tab w:val="left" w:pos="993"/>
          <w:tab w:val="left" w:pos="1276"/>
          <w:tab w:val="right" w:leader="dot" w:pos="8495"/>
        </w:tabs>
        <w:rPr>
          <w:rFonts w:ascii="Calibri" w:hAnsi="Calibri"/>
          <w:kern w:val="2"/>
        </w:rPr>
      </w:pPr>
      <w:hyperlink w:anchor="_Toc389816548" w:history="1">
        <w:r>
          <w:rPr>
            <w:rStyle w:val="Hyperlink"/>
          </w:rPr>
          <w:t>7.2</w:t>
        </w:r>
        <w:r>
          <w:rPr>
            <w:rStyle w:val="Hyperlink"/>
            <w:rFonts w:hint="eastAsia"/>
          </w:rPr>
          <w:t xml:space="preserve"> 环保审批符合性分析</w:t>
        </w:r>
        <w:r>
          <w:tab/>
        </w:r>
        <w:r>
          <w:fldChar w:fldCharType="begin"/>
        </w:r>
        <w:r>
          <w:instrText xml:space="preserve"> PAGEREF _Toc389816548 \h </w:instrText>
        </w:r>
        <w:r>
          <w:fldChar w:fldCharType="separate"/>
        </w:r>
        <w:r>
          <w:t>17</w:t>
        </w:r>
        <w:r>
          <w:fldChar w:fldCharType="end"/>
        </w:r>
      </w:hyperlink>
    </w:p>
    <w:p>
      <w:pPr>
        <w:pStyle w:val="TOC1"/>
        <w:tabs>
          <w:tab w:val="right" w:leader="dot" w:pos="8495"/>
        </w:tabs>
        <w:rPr>
          <w:rFonts w:ascii="Calibri" w:hAnsi="Calibri" w:cs="Times New Roman"/>
          <w:b w:val="0"/>
          <w:kern w:val="2"/>
          <w:sz w:val="21"/>
        </w:rPr>
      </w:pPr>
      <w:hyperlink w:anchor="_Toc389816549" w:history="1">
        <w:r>
          <w:rPr>
            <w:rStyle w:val="Hyperlink"/>
            <w:rFonts w:cs="Times New Roman" w:hint="eastAsia"/>
            <w:snapToGrid w:val="0"/>
            <w:w w:val="0"/>
          </w:rPr>
          <w:t>第8章</w:t>
        </w:r>
        <w:r>
          <w:rPr>
            <w:rStyle w:val="Hyperlink"/>
            <w:rFonts w:cs="Times New Roman" w:hint="eastAsia"/>
          </w:rPr>
          <w:t xml:space="preserve"> 结论与建议</w:t>
        </w:r>
        <w:r>
          <w:tab/>
        </w:r>
        <w:r>
          <w:fldChar w:fldCharType="begin"/>
        </w:r>
        <w:r>
          <w:instrText xml:space="preserve"> PAGEREF _Toc389816549 \h </w:instrText>
        </w:r>
        <w:r>
          <w:fldChar w:fldCharType="separate"/>
        </w:r>
        <w:r>
          <w:t>18</w:t>
        </w:r>
        <w:r>
          <w:fldChar w:fldCharType="end"/>
        </w:r>
      </w:hyperlink>
    </w:p>
    <w:p>
      <w:pPr>
        <w:pStyle w:val="TOC2"/>
        <w:tabs>
          <w:tab w:val="left" w:pos="993"/>
          <w:tab w:val="left" w:pos="1276"/>
          <w:tab w:val="right" w:leader="dot" w:pos="8495"/>
        </w:tabs>
        <w:rPr>
          <w:rFonts w:ascii="Calibri" w:hAnsi="Calibri"/>
          <w:kern w:val="2"/>
        </w:rPr>
      </w:pPr>
      <w:hyperlink w:anchor="_Toc389816550" w:history="1">
        <w:r>
          <w:rPr>
            <w:rStyle w:val="Hyperlink"/>
          </w:rPr>
          <w:t>8.1</w:t>
        </w:r>
        <w:r>
          <w:rPr>
            <w:rStyle w:val="Hyperlink"/>
            <w:rFonts w:hint="eastAsia"/>
          </w:rPr>
          <w:t xml:space="preserve"> 综合评价结论</w:t>
        </w:r>
        <w:r>
          <w:tab/>
        </w:r>
        <w:r>
          <w:fldChar w:fldCharType="begin"/>
        </w:r>
        <w:r>
          <w:instrText xml:space="preserve"> PAGEREF _Toc389816550 \h </w:instrText>
        </w:r>
        <w:r>
          <w:fldChar w:fldCharType="separate"/>
        </w:r>
        <w:r>
          <w:t>18</w:t>
        </w:r>
        <w:r>
          <w:fldChar w:fldCharType="end"/>
        </w:r>
      </w:hyperlink>
    </w:p>
    <w:p>
      <w:pPr>
        <w:pStyle w:val="TOC2"/>
        <w:tabs>
          <w:tab w:val="left" w:pos="993"/>
          <w:tab w:val="left" w:pos="1276"/>
          <w:tab w:val="right" w:leader="dot" w:pos="8495"/>
        </w:tabs>
        <w:rPr>
          <w:rFonts w:ascii="Calibri" w:hAnsi="Calibri"/>
          <w:kern w:val="2"/>
        </w:rPr>
      </w:pPr>
      <w:hyperlink w:anchor="_Toc389816551" w:history="1">
        <w:r>
          <w:rPr>
            <w:rStyle w:val="Hyperlink"/>
          </w:rPr>
          <w:t>8.2</w:t>
        </w:r>
        <w:r>
          <w:rPr>
            <w:rStyle w:val="Hyperlink"/>
            <w:rFonts w:hint="eastAsia"/>
          </w:rPr>
          <w:t xml:space="preserve"> 建</w:t>
        </w:r>
        <w:r>
          <w:rPr>
            <w:rStyle w:val="Hyperlink"/>
          </w:rPr>
          <w:t xml:space="preserve">           </w:t>
        </w:r>
        <w:r>
          <w:rPr>
            <w:rStyle w:val="Hyperlink"/>
            <w:rFonts w:hint="eastAsia"/>
          </w:rPr>
          <w:t>议</w:t>
        </w:r>
        <w:r>
          <w:tab/>
        </w:r>
        <w:r>
          <w:fldChar w:fldCharType="begin"/>
        </w:r>
        <w:r>
          <w:instrText xml:space="preserve"> PAGEREF _Toc389816551 \h </w:instrText>
        </w:r>
        <w:r>
          <w:fldChar w:fldCharType="separate"/>
        </w:r>
        <w:r>
          <w:t>18</w:t>
        </w:r>
        <w:r>
          <w:fldChar w:fldCharType="end"/>
        </w:r>
      </w:hyperlink>
    </w:p>
    <w:p>
      <w:pPr>
        <w:pStyle w:val="TOC1"/>
        <w:tabs>
          <w:tab w:val="right" w:leader="dot" w:pos="8495"/>
        </w:tabs>
        <w:rPr>
          <w:rFonts w:ascii="Calibri" w:hAnsi="Calibri" w:cs="Times New Roman"/>
          <w:b w:val="0"/>
          <w:kern w:val="2"/>
          <w:sz w:val="21"/>
        </w:rPr>
      </w:pPr>
      <w:hyperlink w:anchor="_Toc389816552" w:history="1">
        <w:r>
          <w:rPr>
            <w:rStyle w:val="Hyperlink"/>
            <w:rFonts w:cs="Times New Roman" w:hint="eastAsia"/>
            <w:snapToGrid w:val="0"/>
            <w:w w:val="0"/>
          </w:rPr>
          <w:t>第9章</w:t>
        </w:r>
        <w:r>
          <w:rPr>
            <w:rStyle w:val="Hyperlink"/>
            <w:rFonts w:cs="Times New Roman" w:hint="eastAsia"/>
          </w:rPr>
          <w:t xml:space="preserve"> 联系方式</w:t>
        </w:r>
        <w:r>
          <w:tab/>
        </w:r>
        <w:r>
          <w:fldChar w:fldCharType="begin"/>
        </w:r>
        <w:r>
          <w:instrText xml:space="preserve"> PAGEREF _Toc389816552 \h </w:instrText>
        </w:r>
        <w:r>
          <w:fldChar w:fldCharType="separate"/>
        </w:r>
        <w:r>
          <w:t>19</w:t>
        </w:r>
        <w:r>
          <w:fldChar w:fldCharType="end"/>
        </w:r>
      </w:hyperlink>
    </w:p>
    <w:p>
      <w:pPr>
        <w:pStyle w:val="TOC2"/>
        <w:tabs>
          <w:tab w:val="left" w:pos="993"/>
          <w:tab w:val="left" w:pos="1276"/>
          <w:tab w:val="right" w:leader="dot" w:pos="8495"/>
        </w:tabs>
        <w:rPr>
          <w:rFonts w:ascii="Calibri" w:hAnsi="Calibri"/>
          <w:kern w:val="2"/>
        </w:rPr>
      </w:pPr>
      <w:hyperlink w:anchor="_Toc389816553" w:history="1">
        <w:r>
          <w:rPr>
            <w:rStyle w:val="Hyperlink"/>
          </w:rPr>
          <w:t>9.1</w:t>
        </w:r>
        <w:r>
          <w:rPr>
            <w:rStyle w:val="Hyperlink"/>
            <w:rFonts w:hint="eastAsia"/>
          </w:rPr>
          <w:t xml:space="preserve"> 建设单位联系方式</w:t>
        </w:r>
        <w:r>
          <w:tab/>
        </w:r>
        <w:r>
          <w:fldChar w:fldCharType="begin"/>
        </w:r>
        <w:r>
          <w:instrText xml:space="preserve"> PAGEREF _Toc389816553 \h </w:instrText>
        </w:r>
        <w:r>
          <w:fldChar w:fldCharType="separate"/>
        </w:r>
        <w:r>
          <w:t>19</w:t>
        </w:r>
        <w:r>
          <w:fldChar w:fldCharType="end"/>
        </w:r>
      </w:hyperlink>
    </w:p>
    <w:p>
      <w:pPr>
        <w:pStyle w:val="TOC2"/>
        <w:tabs>
          <w:tab w:val="left" w:pos="993"/>
          <w:tab w:val="left" w:pos="1276"/>
          <w:tab w:val="right" w:leader="dot" w:pos="8495"/>
        </w:tabs>
        <w:rPr>
          <w:rFonts w:ascii="Calibri" w:hAnsi="Calibri"/>
          <w:kern w:val="2"/>
        </w:rPr>
      </w:pPr>
      <w:hyperlink w:anchor="_Toc389816554" w:history="1">
        <w:r>
          <w:rPr>
            <w:rStyle w:val="Hyperlink"/>
          </w:rPr>
          <w:t>9.2</w:t>
        </w:r>
        <w:r>
          <w:rPr>
            <w:rStyle w:val="Hyperlink"/>
            <w:rFonts w:hint="eastAsia"/>
          </w:rPr>
          <w:t xml:space="preserve"> 环评单位联系方式</w:t>
        </w:r>
        <w:r>
          <w:tab/>
        </w:r>
        <w:r>
          <w:fldChar w:fldCharType="begin"/>
        </w:r>
        <w:r>
          <w:instrText xml:space="preserve"> PAGEREF _Toc389816554 \h </w:instrText>
        </w:r>
        <w:r>
          <w:fldChar w:fldCharType="separate"/>
        </w:r>
        <w:r>
          <w:t>19</w:t>
        </w:r>
        <w:r>
          <w:fldChar w:fldCharType="end"/>
        </w:r>
      </w:hyperlink>
    </w:p>
    <w:p>
      <w:pPr>
        <w:pStyle w:val="NormalIndent"/>
        <w:ind w:firstLine="389"/>
        <w:rPr>
          <w:color w:val="984806"/>
        </w:rPr>
      </w:pPr>
      <w:r>
        <w:rPr>
          <w:b/>
          <w:sz w:val="21"/>
        </w:rPr>
        <w:fldChar w:fldCharType="end"/>
      </w:r>
    </w:p>
    <w:p>
      <w:pPr>
        <w:pStyle w:val="NormalIndent"/>
        <w:ind w:firstLine="0" w:firstLineChars="0"/>
        <w:rPr>
          <w:rFonts w:hint="eastAsia"/>
          <w:color w:val="984806"/>
        </w:rPr>
        <w:sectPr>
          <w:headerReference w:type="default" r:id="rId7"/>
          <w:footerReference w:type="even" r:id="rId8"/>
          <w:footerReference w:type="default" r:id="rId9"/>
          <w:pgSz w:w="11907" w:h="16840"/>
          <w:pgMar w:top="1418" w:right="1701" w:bottom="1559" w:left="1701" w:header="902" w:footer="907" w:gutter="0"/>
          <w:pgNumType w:fmt="upperRoman" w:start="1"/>
          <w:cols w:space="708"/>
          <w:docGrid w:type="linesAndChars" w:linePitch="433" w:charSpace="-3315"/>
        </w:sectPr>
      </w:pPr>
    </w:p>
    <w:p>
      <w:pPr>
        <w:pStyle w:val="Heading1"/>
        <w:ind w:left="0"/>
      </w:pPr>
      <w:bookmarkStart w:id="1" w:name="_Toc389816527"/>
      <w:bookmarkEnd w:id="0"/>
      <w:r>
        <w:rPr>
          <w:rFonts w:hint="eastAsia"/>
        </w:rPr>
        <w:t>前言</w:t>
      </w:r>
      <w:bookmarkEnd w:id="1"/>
    </w:p>
    <w:p>
      <w:pPr>
        <w:pStyle w:val="Heading2"/>
        <w:spacing w:before="216" w:after="216"/>
        <w:ind w:left="0"/>
      </w:pPr>
      <w:bookmarkStart w:id="2" w:name="_Toc389816528"/>
      <w:r>
        <w:rPr>
          <w:rFonts w:hint="eastAsia"/>
        </w:rPr>
        <w:t>建设项目特点</w:t>
      </w:r>
      <w:bookmarkEnd w:id="2"/>
    </w:p>
    <w:p>
      <w:pPr>
        <w:ind w:firstLine="480" w:firstLineChars="200"/>
        <w:rPr>
          <w:color w:val="000000"/>
          <w:szCs w:val="24"/>
        </w:rPr>
      </w:pPr>
      <w:bookmarkStart w:id="3" w:name="_Ref245626817"/>
      <w:bookmarkStart w:id="4" w:name="_Toc246176805"/>
      <w:bookmarkStart w:id="5" w:name="_Ref243148339"/>
      <w:bookmarkStart w:id="6" w:name="_Toc246176811"/>
      <w:r>
        <w:rPr>
          <w:rFonts w:hint="eastAsia"/>
          <w:color w:val="000000"/>
          <w:szCs w:val="24"/>
        </w:rPr>
        <w:t>城南新区位于绍兴市越城组团城市中轴线西南翼，区位十分重要，城市主要内部交通干道</w:t>
      </w:r>
      <w:r>
        <w:rPr>
          <w:color w:val="000000"/>
          <w:szCs w:val="24"/>
        </w:rPr>
        <w:t>解放路、中兴路穿过南区，同时，地块内部的绍甘公路是城市主要的对外交通干道之一。优越的地理位置和便捷的交通条件成为城南新区开发建设的有力支撑</w:t>
      </w:r>
      <w:r>
        <w:rPr>
          <w:rFonts w:hint="eastAsia"/>
          <w:color w:val="000000"/>
          <w:szCs w:val="24"/>
        </w:rPr>
        <w:t>，</w:t>
      </w:r>
      <w:r>
        <w:rPr>
          <w:szCs w:val="24"/>
        </w:rPr>
        <w:t>城南区块经过十多年的开发建设，规划面积60多平方公里，建成面积10多平方公里，实际居住人口已达15余万人。但是城南的医疗服务水平已经不能满足不断增长城南的人口增长需求，需要设立综合性的医疗服务机构。为合理培植医疗资源，市政府明确新建城南综合性医院工程，并与绍兴市第六医院迁建工程合并建设，于是提出绍兴市立医院建设工程，该工程选址</w:t>
      </w:r>
      <w:r>
        <w:rPr>
          <w:color w:val="000000"/>
          <w:szCs w:val="24"/>
        </w:rPr>
        <w:t>地块东、南至河流，西至</w:t>
      </w:r>
      <w:r>
        <w:rPr>
          <w:szCs w:val="24"/>
        </w:rPr>
        <w:t>中兴南路，北至规划越剑路</w:t>
      </w:r>
      <w:r>
        <w:rPr>
          <w:color w:val="000000"/>
          <w:szCs w:val="24"/>
        </w:rPr>
        <w:t>，并于2013年开工建设，因此为顺利推进绍兴市立医院的建设，医院周边的道路基础设施迫切需要跟进，因此，绍兴市街景综合开发有限公司提出了越剑路（中兴南路—谢墅江段）建设工程</w:t>
      </w:r>
      <w:r>
        <w:rPr>
          <w:rFonts w:hAnsi="宋体"/>
          <w:szCs w:val="24"/>
        </w:rPr>
        <w:t>。</w:t>
      </w:r>
    </w:p>
    <w:p>
      <w:pPr>
        <w:pStyle w:val="NormalIndent"/>
        <w:rPr>
          <w:rFonts w:hint="eastAsia"/>
        </w:rPr>
      </w:pPr>
      <w:bookmarkStart w:id="7" w:name="_Toc389816529"/>
      <w:r>
        <w:t>根据《建设项目环境保护管理条例》及《中华人民共和国环境影响评价法》，该建设项目需进行环境影响评价。项目</w:t>
      </w:r>
      <w:r>
        <w:rPr>
          <w:rFonts w:hint="eastAsia"/>
        </w:rPr>
        <w:t>建议书</w:t>
      </w:r>
      <w:r>
        <w:t>于</w:t>
      </w:r>
      <w:r>
        <w:rPr>
          <w:rFonts w:hint="eastAsia"/>
        </w:rPr>
        <w:t>2014</w:t>
      </w:r>
      <w:r>
        <w:t>年</w:t>
      </w:r>
      <w:r>
        <w:rPr>
          <w:rFonts w:hint="eastAsia"/>
        </w:rPr>
        <w:t>1</w:t>
      </w:r>
      <w:r>
        <w:t>月由</w:t>
      </w:r>
      <w:r>
        <w:rPr>
          <w:rFonts w:hint="eastAsia"/>
        </w:rPr>
        <w:t>绍兴市发展和改革委员会批复</w:t>
      </w:r>
      <w:r>
        <w:t>。在此基础上，</w:t>
      </w:r>
      <w:r>
        <w:rPr>
          <w:rFonts w:hint="eastAsia"/>
        </w:rPr>
        <w:t>绍兴市街景综合开发有限公司</w:t>
      </w:r>
      <w:r>
        <w:t>委托杭州一达环保技术咨询服务有限公司承担该项目的环境影响评价工作。参照《建设项目环境影响评价分类管理名录》，该项目主体工程属于</w:t>
      </w:r>
      <w:r>
        <w:rPr>
          <w:rFonts w:hint="eastAsia"/>
        </w:rPr>
        <w:t>“</w:t>
      </w:r>
      <w:r>
        <w:rPr>
          <w:rFonts w:hint="eastAsia"/>
        </w:rPr>
        <w:t>T 城市交通设施</w:t>
      </w:r>
      <w:r>
        <w:rPr>
          <w:rFonts w:hint="eastAsia"/>
        </w:rPr>
        <w:t>”</w:t>
      </w:r>
      <w:r>
        <w:t>中的</w:t>
      </w:r>
      <w:r>
        <w:rPr>
          <w:rFonts w:hint="eastAsia"/>
        </w:rPr>
        <w:t>“</w:t>
      </w:r>
      <w:r>
        <w:rPr>
          <w:rFonts w:hint="eastAsia"/>
        </w:rPr>
        <w:t>1</w:t>
      </w:r>
      <w:r>
        <w:t>、</w:t>
      </w:r>
      <w:r>
        <w:rPr>
          <w:rFonts w:hint="eastAsia"/>
        </w:rPr>
        <w:t>道路新建、扩建</w:t>
      </w:r>
      <w:r>
        <w:rPr>
          <w:rFonts w:hint="eastAsia"/>
        </w:rPr>
        <w:t>”</w:t>
      </w:r>
      <w:r>
        <w:t>，因此需编制环境影响报告书，属于</w:t>
      </w:r>
      <w:r>
        <w:rPr>
          <w:rFonts w:hint="eastAsia"/>
        </w:rPr>
        <w:t>交通运输类</w:t>
      </w:r>
      <w:r>
        <w:t>环评；同时根据《浙江省人民政府办公厅关于印发浙江省建设项目环境影响评价文件分级审批管理办法的通知》（浙政办发[2012]132号）和 《绍兴市环保局关于贯彻落实国家、省建设项目环境影响文件分级审批制度的意见》（绍市环发[2009]5号），该项目环保审批权限为</w:t>
      </w:r>
      <w:r>
        <w:rPr>
          <w:rFonts w:hint="eastAsia"/>
        </w:rPr>
        <w:t>绍兴市环境保护</w:t>
      </w:r>
      <w:r>
        <w:t>局。</w:t>
      </w:r>
    </w:p>
    <w:p>
      <w:pPr>
        <w:pStyle w:val="NormalIndent"/>
        <w:rPr>
          <w:rFonts w:hint="eastAsia"/>
        </w:rPr>
        <w:sectPr>
          <w:headerReference w:type="default" r:id="rId10"/>
          <w:footerReference w:type="even" r:id="rId11"/>
          <w:footerReference w:type="default" r:id="rId12"/>
          <w:pgSz w:w="11907" w:h="16840"/>
          <w:pgMar w:top="1418" w:right="1701" w:bottom="1559" w:left="1701" w:header="902" w:footer="907" w:gutter="0"/>
          <w:pgNumType w:start="1"/>
          <w:cols w:space="708"/>
          <w:docGrid w:type="linesAndChars" w:linePitch="433" w:charSpace="-3315"/>
        </w:sectPr>
      </w:pPr>
      <w:r>
        <w:t>我单位技术人员对本项目沿线区域进行了实地踏勘及现状资料收集工作，根据《环境影响评价技术导则》等文件和相关规范的要求，编制该项目的环境影响报告书</w:t>
      </w:r>
      <w:r>
        <w:rPr>
          <w:rFonts w:hint="eastAsia"/>
        </w:rPr>
        <w:t>，</w:t>
      </w:r>
      <w:r>
        <w:t>供环保主管部门审查、审批，为项目实施和管理提供参考依据。</w:t>
      </w:r>
    </w:p>
    <w:p>
      <w:pPr>
        <w:pStyle w:val="Heading1"/>
        <w:ind w:left="0"/>
      </w:pPr>
      <w:r>
        <w:t>项目概况</w:t>
      </w:r>
      <w:bookmarkEnd w:id="3"/>
      <w:bookmarkEnd w:id="4"/>
      <w:r>
        <w:rPr>
          <w:rFonts w:hint="eastAsia"/>
        </w:rPr>
        <w:t>及污染源分析</w:t>
      </w:r>
      <w:bookmarkEnd w:id="7"/>
    </w:p>
    <w:p>
      <w:pPr>
        <w:pStyle w:val="Heading2"/>
        <w:spacing w:before="216" w:after="216"/>
        <w:ind w:left="0"/>
        <w:rPr>
          <w:rFonts w:hint="eastAsia"/>
        </w:rPr>
      </w:pPr>
      <w:bookmarkStart w:id="8" w:name="_Toc389816530"/>
      <w:r>
        <w:t>项目</w:t>
      </w:r>
      <w:r>
        <w:rPr>
          <w:rFonts w:hint="eastAsia"/>
        </w:rPr>
        <w:t>概况</w:t>
      </w:r>
      <w:bookmarkEnd w:id="8"/>
    </w:p>
    <w:p>
      <w:pPr>
        <w:pStyle w:val="Heading3"/>
        <w:ind w:left="142" w:hanging="142"/>
        <w:rPr>
          <w:rFonts w:hint="eastAsia"/>
        </w:rPr>
      </w:pPr>
      <w:r>
        <w:rPr>
          <w:rFonts w:hint="eastAsia"/>
        </w:rPr>
        <w:t>项目基本情况</w:t>
      </w:r>
    </w:p>
    <w:p>
      <w:pPr>
        <w:pStyle w:val="10"/>
        <w:numPr>
          <w:ilvl w:val="0"/>
          <w:numId w:val="33"/>
        </w:numPr>
        <w:tabs>
          <w:tab w:val="left" w:pos="896"/>
        </w:tabs>
        <w:ind w:left="1" w:firstLine="425"/>
        <w:rPr>
          <w:color w:val="FF0000"/>
        </w:rPr>
      </w:pPr>
      <w:r>
        <w:rPr>
          <w:b/>
        </w:rPr>
        <w:t>项目名称：</w:t>
      </w:r>
      <w:r>
        <w:rPr>
          <w:rFonts w:hint="eastAsia"/>
        </w:rPr>
        <w:t>越剑路（中兴南路至谢墅江）建设工程</w:t>
      </w:r>
    </w:p>
    <w:p>
      <w:pPr>
        <w:pStyle w:val="10"/>
        <w:numPr>
          <w:ilvl w:val="0"/>
          <w:numId w:val="34"/>
        </w:numPr>
        <w:tabs>
          <w:tab w:val="left" w:pos="896"/>
        </w:tabs>
        <w:ind w:left="1" w:firstLine="425"/>
        <w:rPr>
          <w:rFonts w:hint="eastAsia"/>
        </w:rPr>
      </w:pPr>
      <w:r>
        <w:rPr>
          <w:b/>
        </w:rPr>
        <w:t>建设单位：</w:t>
      </w:r>
      <w:r>
        <w:rPr>
          <w:rFonts w:hint="eastAsia"/>
        </w:rPr>
        <w:t>绍兴市街景综合开发有限公司</w:t>
      </w:r>
    </w:p>
    <w:p>
      <w:pPr>
        <w:pStyle w:val="10"/>
        <w:numPr>
          <w:ilvl w:val="0"/>
          <w:numId w:val="34"/>
        </w:numPr>
        <w:tabs>
          <w:tab w:val="left" w:pos="896"/>
        </w:tabs>
        <w:ind w:left="1" w:firstLine="425"/>
      </w:pPr>
      <w:r>
        <w:rPr>
          <w:b/>
        </w:rPr>
        <w:t>总投资：</w:t>
      </w:r>
      <w:r>
        <w:rPr>
          <w:rFonts w:hint="eastAsia"/>
        </w:rPr>
        <w:t>1156</w:t>
      </w:r>
      <w:r>
        <w:t>万元</w:t>
      </w:r>
    </w:p>
    <w:p>
      <w:pPr>
        <w:pStyle w:val="10"/>
        <w:numPr>
          <w:ilvl w:val="0"/>
          <w:numId w:val="34"/>
        </w:numPr>
        <w:tabs>
          <w:tab w:val="left" w:pos="896"/>
        </w:tabs>
        <w:ind w:left="1" w:firstLine="425"/>
      </w:pPr>
      <w:r>
        <w:rPr>
          <w:b/>
        </w:rPr>
        <w:t>建设性质：</w:t>
      </w:r>
      <w:r>
        <w:rPr>
          <w:rFonts w:hint="eastAsia"/>
        </w:rPr>
        <w:t>新建</w:t>
      </w:r>
    </w:p>
    <w:p>
      <w:pPr>
        <w:pStyle w:val="10"/>
        <w:numPr>
          <w:ilvl w:val="0"/>
          <w:numId w:val="34"/>
        </w:numPr>
        <w:tabs>
          <w:tab w:val="left" w:pos="896"/>
        </w:tabs>
        <w:ind w:left="1" w:firstLine="425"/>
        <w:rPr>
          <w:rFonts w:hint="eastAsia"/>
        </w:rPr>
      </w:pPr>
      <w:r>
        <w:rPr>
          <w:b/>
        </w:rPr>
        <w:t>工程内容及规模</w:t>
      </w:r>
      <w:r>
        <w:rPr>
          <w:rFonts w:hint="eastAsia"/>
          <w:b/>
        </w:rPr>
        <w:t>：</w:t>
      </w:r>
    </w:p>
    <w:p>
      <w:pPr>
        <w:pStyle w:val="NormalIndent"/>
        <w:rPr>
          <w:rFonts w:hint="eastAsia"/>
          <w:color w:val="FF0000"/>
        </w:rPr>
      </w:pPr>
      <w:r>
        <w:rPr>
          <w:rFonts w:hint="eastAsia"/>
        </w:rPr>
        <w:t>越剑路（中兴南路至谢墅江）建设工程总投资1156万元，规划用地面积6593平方米，新建道路西起中兴南路，东至谢墅江，道路全长270米，路幅宽24米，为城市次干道，规划时速为40km/h，并配套建设道路雨水、照明、绿化、交通标志等工程，项目建成后，将加快城南道路基础设施建设，完善城市功能布局，推动沿线两侧地块的开发有着重要的意义。</w:t>
      </w:r>
    </w:p>
    <w:p>
      <w:pPr>
        <w:pStyle w:val="10"/>
        <w:numPr>
          <w:ilvl w:val="0"/>
          <w:numId w:val="34"/>
        </w:numPr>
        <w:tabs>
          <w:tab w:val="left" w:pos="896"/>
        </w:tabs>
        <w:ind w:left="1" w:firstLine="425"/>
        <w:rPr>
          <w:rFonts w:hint="eastAsia"/>
          <w:b/>
        </w:rPr>
      </w:pPr>
      <w:r>
        <w:rPr>
          <w:rFonts w:hint="eastAsia"/>
          <w:b/>
        </w:rPr>
        <w:t>建设周期：2014年6月~2014年12月</w:t>
      </w:r>
    </w:p>
    <w:p>
      <w:pPr>
        <w:pStyle w:val="10"/>
        <w:numPr>
          <w:ilvl w:val="0"/>
          <w:numId w:val="34"/>
        </w:numPr>
        <w:tabs>
          <w:tab w:val="left" w:pos="896"/>
        </w:tabs>
        <w:ind w:left="1" w:firstLine="425"/>
        <w:rPr>
          <w:rFonts w:hint="eastAsia"/>
          <w:b/>
        </w:rPr>
      </w:pPr>
      <w:r>
        <w:rPr>
          <w:rFonts w:hint="eastAsia"/>
          <w:b/>
        </w:rPr>
        <w:t>设计标准和技术指标</w:t>
      </w:r>
    </w:p>
    <w:p>
      <w:pPr>
        <w:pStyle w:val="Caption"/>
        <w:rPr>
          <w:rFonts w:hint="eastAsia"/>
        </w:rPr>
      </w:pPr>
      <w:bookmarkStart w:id="9" w:name="_Ref271866108"/>
      <w:r>
        <w:t>表</w:t>
      </w:r>
      <w:bookmarkEnd w:id="9"/>
      <w:r>
        <w:rPr>
          <w:rFonts w:hint="eastAsia"/>
        </w:rPr>
        <w:t xml:space="preserve">1     </w:t>
      </w:r>
      <w:r>
        <w:t>主要设计标准和技术参数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64"/>
        <w:gridCol w:w="2791"/>
        <w:gridCol w:w="456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b/>
              </w:rPr>
            </w:pPr>
            <w:r>
              <w:rPr>
                <w:rFonts w:hint="eastAsia"/>
                <w:b/>
              </w:rPr>
              <w:t>序号</w:t>
            </w:r>
          </w:p>
        </w:tc>
        <w:tc>
          <w:tcPr>
            <w:tcW w:w="1600" w:type="pct"/>
            <w:vAlign w:val="center"/>
          </w:tcPr>
          <w:p>
            <w:pPr>
              <w:pStyle w:val="a"/>
              <w:rPr>
                <w:rFonts w:hint="eastAsia"/>
                <w:b/>
              </w:rPr>
            </w:pPr>
            <w:r>
              <w:rPr>
                <w:rFonts w:hint="eastAsia"/>
                <w:b/>
              </w:rPr>
              <w:t>项目</w:t>
            </w:r>
          </w:p>
        </w:tc>
        <w:tc>
          <w:tcPr>
            <w:tcW w:w="2618" w:type="pct"/>
            <w:vAlign w:val="center"/>
          </w:tcPr>
          <w:p>
            <w:pPr>
              <w:pStyle w:val="a"/>
              <w:rPr>
                <w:rFonts w:hint="eastAsia"/>
                <w:b/>
              </w:rPr>
            </w:pPr>
            <w:r>
              <w:rPr>
                <w:rFonts w:hint="eastAsia"/>
                <w:b/>
              </w:rPr>
              <w:t>内容</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1</w:t>
            </w:r>
          </w:p>
        </w:tc>
        <w:tc>
          <w:tcPr>
            <w:tcW w:w="1600" w:type="pct"/>
            <w:vAlign w:val="center"/>
          </w:tcPr>
          <w:p>
            <w:pPr>
              <w:pStyle w:val="a"/>
            </w:pPr>
            <w:r>
              <w:rPr>
                <w:rFonts w:hint="eastAsia"/>
              </w:rPr>
              <w:t>项目性质</w:t>
            </w:r>
          </w:p>
        </w:tc>
        <w:tc>
          <w:tcPr>
            <w:tcW w:w="2618" w:type="pct"/>
            <w:vAlign w:val="center"/>
          </w:tcPr>
          <w:p>
            <w:pPr>
              <w:pStyle w:val="a"/>
            </w:pPr>
            <w:r>
              <w:rPr>
                <w:rFonts w:hint="eastAsia"/>
              </w:rPr>
              <w:t>新建</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2</w:t>
            </w:r>
          </w:p>
        </w:tc>
        <w:tc>
          <w:tcPr>
            <w:tcW w:w="1600" w:type="pct"/>
            <w:vAlign w:val="center"/>
          </w:tcPr>
          <w:p>
            <w:pPr>
              <w:pStyle w:val="a"/>
            </w:pPr>
            <w:r>
              <w:rPr>
                <w:rFonts w:hint="eastAsia"/>
              </w:rPr>
              <w:t>道路等级</w:t>
            </w:r>
          </w:p>
        </w:tc>
        <w:tc>
          <w:tcPr>
            <w:tcW w:w="2618" w:type="pct"/>
            <w:vAlign w:val="center"/>
          </w:tcPr>
          <w:p>
            <w:pPr>
              <w:pStyle w:val="a"/>
            </w:pPr>
            <w:r>
              <w:rPr>
                <w:rFonts w:hint="eastAsia"/>
              </w:rPr>
              <w:t>次干路</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3</w:t>
            </w:r>
          </w:p>
        </w:tc>
        <w:tc>
          <w:tcPr>
            <w:tcW w:w="1600" w:type="pct"/>
            <w:vAlign w:val="center"/>
          </w:tcPr>
          <w:p>
            <w:pPr>
              <w:pStyle w:val="a"/>
            </w:pPr>
            <w:r>
              <w:rPr>
                <w:rFonts w:hint="eastAsia"/>
              </w:rPr>
              <w:t>设计车速</w:t>
            </w:r>
          </w:p>
        </w:tc>
        <w:tc>
          <w:tcPr>
            <w:tcW w:w="2618" w:type="pct"/>
            <w:vAlign w:val="center"/>
          </w:tcPr>
          <w:p>
            <w:pPr>
              <w:pStyle w:val="a"/>
            </w:pPr>
            <w:r>
              <w:rPr>
                <w:rFonts w:hint="eastAsia"/>
              </w:rPr>
              <w:t>40 km/h</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4</w:t>
            </w:r>
          </w:p>
        </w:tc>
        <w:tc>
          <w:tcPr>
            <w:tcW w:w="1600" w:type="pct"/>
            <w:vAlign w:val="center"/>
          </w:tcPr>
          <w:p>
            <w:pPr>
              <w:pStyle w:val="a"/>
              <w:rPr>
                <w:rFonts w:hint="eastAsia"/>
              </w:rPr>
            </w:pPr>
            <w:r>
              <w:rPr>
                <w:rFonts w:hint="eastAsia"/>
              </w:rPr>
              <w:t>占地面积</w:t>
            </w:r>
          </w:p>
        </w:tc>
        <w:tc>
          <w:tcPr>
            <w:tcW w:w="2618" w:type="pct"/>
            <w:vAlign w:val="center"/>
          </w:tcPr>
          <w:p>
            <w:pPr>
              <w:pStyle w:val="a"/>
            </w:pPr>
            <w:r>
              <w:rPr>
                <w:rFonts w:hint="eastAsia"/>
              </w:rPr>
              <w:t>6593平方米</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5</w:t>
            </w:r>
          </w:p>
        </w:tc>
        <w:tc>
          <w:tcPr>
            <w:tcW w:w="1600" w:type="pct"/>
            <w:vAlign w:val="center"/>
          </w:tcPr>
          <w:p>
            <w:pPr>
              <w:pStyle w:val="a"/>
              <w:rPr>
                <w:rFonts w:hint="eastAsia"/>
              </w:rPr>
            </w:pPr>
            <w:r>
              <w:rPr>
                <w:rFonts w:hint="eastAsia"/>
              </w:rPr>
              <w:t>起讫点</w:t>
            </w:r>
          </w:p>
        </w:tc>
        <w:tc>
          <w:tcPr>
            <w:tcW w:w="2618" w:type="pct"/>
            <w:vAlign w:val="center"/>
          </w:tcPr>
          <w:p>
            <w:pPr>
              <w:pStyle w:val="a"/>
              <w:rPr>
                <w:rFonts w:hint="eastAsia"/>
              </w:rPr>
            </w:pPr>
            <w:r>
              <w:rPr>
                <w:rFonts w:hint="eastAsia"/>
              </w:rPr>
              <w:t>西起中兴南路，东至谢墅江</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6</w:t>
            </w:r>
          </w:p>
        </w:tc>
        <w:tc>
          <w:tcPr>
            <w:tcW w:w="1600" w:type="pct"/>
            <w:vAlign w:val="center"/>
          </w:tcPr>
          <w:p>
            <w:pPr>
              <w:pStyle w:val="a"/>
              <w:rPr>
                <w:rFonts w:hint="eastAsia"/>
              </w:rPr>
            </w:pPr>
            <w:r>
              <w:rPr>
                <w:rFonts w:hint="eastAsia"/>
              </w:rPr>
              <w:t>道路全长</w:t>
            </w:r>
          </w:p>
        </w:tc>
        <w:tc>
          <w:tcPr>
            <w:tcW w:w="2618" w:type="pct"/>
            <w:vAlign w:val="center"/>
          </w:tcPr>
          <w:p>
            <w:pPr>
              <w:pStyle w:val="a"/>
            </w:pPr>
            <w:r>
              <w:rPr>
                <w:rFonts w:hint="eastAsia"/>
              </w:rPr>
              <w:t>270m</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7</w:t>
            </w:r>
          </w:p>
        </w:tc>
        <w:tc>
          <w:tcPr>
            <w:tcW w:w="1600" w:type="pct"/>
            <w:vAlign w:val="center"/>
          </w:tcPr>
          <w:p>
            <w:pPr>
              <w:pStyle w:val="a"/>
              <w:rPr>
                <w:rFonts w:hint="eastAsia"/>
              </w:rPr>
            </w:pPr>
            <w:r>
              <w:rPr>
                <w:rFonts w:hint="eastAsia"/>
              </w:rPr>
              <w:t>规划路幅宽度</w:t>
            </w:r>
          </w:p>
        </w:tc>
        <w:tc>
          <w:tcPr>
            <w:tcW w:w="2618" w:type="pct"/>
            <w:vAlign w:val="center"/>
          </w:tcPr>
          <w:p>
            <w:pPr>
              <w:pStyle w:val="a"/>
            </w:pPr>
            <w:r>
              <w:rPr>
                <w:rFonts w:hint="eastAsia"/>
              </w:rPr>
              <w:t>24m</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8</w:t>
            </w:r>
          </w:p>
        </w:tc>
        <w:tc>
          <w:tcPr>
            <w:tcW w:w="1600" w:type="pct"/>
            <w:vAlign w:val="center"/>
          </w:tcPr>
          <w:p>
            <w:pPr>
              <w:pStyle w:val="a"/>
              <w:rPr>
                <w:rFonts w:hint="eastAsia"/>
              </w:rPr>
            </w:pPr>
            <w:r>
              <w:rPr>
                <w:rFonts w:hint="eastAsia"/>
              </w:rPr>
              <w:t>行车道</w:t>
            </w:r>
          </w:p>
        </w:tc>
        <w:tc>
          <w:tcPr>
            <w:tcW w:w="2618" w:type="pct"/>
            <w:vAlign w:val="center"/>
          </w:tcPr>
          <w:p>
            <w:pPr>
              <w:pStyle w:val="a"/>
            </w:pPr>
            <w:r>
              <w:rPr>
                <w:szCs w:val="21"/>
              </w:rPr>
              <w:t>双向</w:t>
            </w:r>
            <w:r>
              <w:rPr>
                <w:rFonts w:hint="eastAsia"/>
                <w:szCs w:val="21"/>
              </w:rPr>
              <w:t>4</w:t>
            </w:r>
            <w:r>
              <w:rPr>
                <w:szCs w:val="21"/>
              </w:rPr>
              <w:t>车道</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9</w:t>
            </w:r>
          </w:p>
        </w:tc>
        <w:tc>
          <w:tcPr>
            <w:tcW w:w="1600" w:type="pct"/>
            <w:vAlign w:val="center"/>
          </w:tcPr>
          <w:p>
            <w:pPr>
              <w:pStyle w:val="a"/>
              <w:rPr>
                <w:rFonts w:hint="eastAsia"/>
              </w:rPr>
            </w:pPr>
            <w:r>
              <w:rPr>
                <w:rFonts w:hint="eastAsia"/>
              </w:rPr>
              <w:t>路面类型</w:t>
            </w:r>
          </w:p>
        </w:tc>
        <w:tc>
          <w:tcPr>
            <w:tcW w:w="2618" w:type="pct"/>
            <w:vAlign w:val="center"/>
          </w:tcPr>
          <w:p>
            <w:pPr>
              <w:pStyle w:val="a"/>
            </w:pPr>
            <w:r>
              <w:rPr>
                <w:rFonts w:hint="eastAsia"/>
              </w:rPr>
              <w:t>沥青砼路面，15年</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10</w:t>
            </w:r>
          </w:p>
        </w:tc>
        <w:tc>
          <w:tcPr>
            <w:tcW w:w="1600" w:type="pct"/>
            <w:vAlign w:val="center"/>
          </w:tcPr>
          <w:p>
            <w:pPr>
              <w:pStyle w:val="a"/>
              <w:rPr>
                <w:rFonts w:hint="eastAsia"/>
              </w:rPr>
            </w:pPr>
            <w:r>
              <w:t>设计标准轴载</w:t>
            </w:r>
          </w:p>
        </w:tc>
        <w:tc>
          <w:tcPr>
            <w:tcW w:w="2618" w:type="pct"/>
            <w:vAlign w:val="center"/>
          </w:tcPr>
          <w:p>
            <w:pPr>
              <w:pStyle w:val="a"/>
              <w:rPr>
                <w:rFonts w:hint="eastAsia"/>
              </w:rPr>
            </w:pPr>
            <w:r>
              <w:t>汽车BZZ-100标准荷载</w:t>
            </w:r>
          </w:p>
        </w:tc>
      </w:tr>
      <w:tr>
        <w:tblPrEx>
          <w:tblW w:w="5000" w:type="pct"/>
          <w:jc w:val="center"/>
          <w:tblCellMar>
            <w:top w:w="0" w:type="dxa"/>
            <w:left w:w="108" w:type="dxa"/>
            <w:bottom w:w="0" w:type="dxa"/>
            <w:right w:w="108" w:type="dxa"/>
          </w:tblCellMar>
          <w:tblLook w:val="0000"/>
        </w:tblPrEx>
        <w:trPr>
          <w:trHeight w:val="340"/>
          <w:jc w:val="center"/>
        </w:trPr>
        <w:tc>
          <w:tcPr>
            <w:tcW w:w="782" w:type="pct"/>
            <w:vAlign w:val="center"/>
          </w:tcPr>
          <w:p>
            <w:pPr>
              <w:pStyle w:val="a"/>
              <w:rPr>
                <w:rFonts w:hint="eastAsia"/>
              </w:rPr>
            </w:pPr>
            <w:r>
              <w:rPr>
                <w:rFonts w:hint="eastAsia"/>
              </w:rPr>
              <w:t>11</w:t>
            </w:r>
          </w:p>
        </w:tc>
        <w:tc>
          <w:tcPr>
            <w:tcW w:w="1600" w:type="pct"/>
            <w:vAlign w:val="center"/>
          </w:tcPr>
          <w:p>
            <w:pPr>
              <w:pStyle w:val="a"/>
              <w:rPr>
                <w:rFonts w:hint="eastAsia"/>
              </w:rPr>
            </w:pPr>
            <w:r>
              <w:rPr>
                <w:rFonts w:hint="eastAsia"/>
              </w:rPr>
              <w:t>相交道路</w:t>
            </w:r>
          </w:p>
        </w:tc>
        <w:tc>
          <w:tcPr>
            <w:tcW w:w="2618" w:type="pct"/>
            <w:vAlign w:val="center"/>
          </w:tcPr>
          <w:p>
            <w:pPr>
              <w:pStyle w:val="a"/>
            </w:pPr>
            <w:r>
              <w:rPr>
                <w:rFonts w:hint="eastAsia"/>
              </w:rPr>
              <w:t>中兴南路</w:t>
            </w:r>
          </w:p>
        </w:tc>
      </w:tr>
    </w:tbl>
    <w:p>
      <w:pPr>
        <w:pStyle w:val="NormalIndent"/>
        <w:rPr>
          <w:rFonts w:hint="eastAsia"/>
        </w:rPr>
        <w:sectPr>
          <w:headerReference w:type="default" r:id="rId13"/>
          <w:footerReference w:type="even" r:id="rId14"/>
          <w:footerReference w:type="default" r:id="rId15"/>
          <w:type w:val="nextPage"/>
          <w:pgSz w:w="11907" w:h="16840"/>
          <w:pgMar w:top="1418" w:right="1701" w:bottom="1559" w:left="1701" w:header="902" w:footer="907" w:gutter="0"/>
          <w:pgNumType w:start="2"/>
          <w:cols w:space="708"/>
          <w:titlePg w:val="0"/>
          <w:docGrid w:type="linesAndChars" w:linePitch="433" w:charSpace="-3315"/>
        </w:sectPr>
      </w:pPr>
    </w:p>
    <w:p>
      <w:pPr>
        <w:pStyle w:val="Heading3"/>
        <w:rPr>
          <w:rFonts w:hint="eastAsia"/>
        </w:rPr>
      </w:pPr>
      <w:bookmarkStart w:id="10" w:name="_Toc157417790"/>
      <w:bookmarkStart w:id="11" w:name="_Toc163708631"/>
      <w:bookmarkStart w:id="12" w:name="_Toc231538022"/>
      <w:bookmarkStart w:id="13" w:name="_Toc389751553"/>
      <w:bookmarkStart w:id="14" w:name="_Toc246176820"/>
      <w:bookmarkStart w:id="15" w:name="_Toc233348387"/>
      <w:bookmarkStart w:id="16" w:name="_Toc238900035"/>
      <w:bookmarkStart w:id="17" w:name="_Toc165011478"/>
      <w:bookmarkStart w:id="18" w:name="_Toc243566984"/>
      <w:bookmarkStart w:id="19" w:name="_Toc84058531"/>
      <w:bookmarkStart w:id="20" w:name="_Toc157417787"/>
      <w:bookmarkEnd w:id="5"/>
      <w:bookmarkEnd w:id="6"/>
      <w:r>
        <w:rPr>
          <w:rFonts w:hint="eastAsia"/>
        </w:rPr>
        <w:t>工程占地及拆迁</w:t>
      </w:r>
      <w:bookmarkEnd w:id="10"/>
      <w:bookmarkEnd w:id="11"/>
      <w:r>
        <w:rPr>
          <w:rFonts w:hint="eastAsia"/>
        </w:rPr>
        <w:t>情况</w:t>
      </w:r>
      <w:bookmarkEnd w:id="12"/>
      <w:bookmarkEnd w:id="13"/>
    </w:p>
    <w:p>
      <w:pPr>
        <w:pStyle w:val="NormalIndent"/>
        <w:rPr>
          <w:rFonts w:hint="eastAsia"/>
        </w:rPr>
      </w:pPr>
      <w:r>
        <w:rPr>
          <w:rFonts w:hint="eastAsia"/>
        </w:rPr>
        <w:t>项目位于城南新区，本路段建设用地现状主要为耕地</w:t>
      </w:r>
      <w:r>
        <w:t>，</w:t>
      </w:r>
      <w:r>
        <w:rPr>
          <w:rFonts w:hint="eastAsia"/>
        </w:rPr>
        <w:t>本项目用地符合供地政策，可参照《划拨用地目录》按划拨方式供地,不涉及拆迁。</w:t>
      </w:r>
    </w:p>
    <w:p>
      <w:pPr>
        <w:pStyle w:val="Heading3"/>
        <w:rPr>
          <w:rFonts w:hint="eastAsia"/>
        </w:rPr>
      </w:pPr>
      <w:bookmarkStart w:id="21" w:name="_Toc389751555"/>
      <w:bookmarkStart w:id="22" w:name="_Ref324341467"/>
      <w:r>
        <w:t>工程土石</w:t>
      </w:r>
      <w:r>
        <w:rPr>
          <w:rFonts w:hint="eastAsia"/>
        </w:rPr>
        <w:t>方平衡</w:t>
      </w:r>
      <w:bookmarkEnd w:id="21"/>
      <w:bookmarkEnd w:id="22"/>
    </w:p>
    <w:p>
      <w:pPr>
        <w:pStyle w:val="NormalIndent"/>
      </w:pPr>
      <w:bookmarkStart w:id="23" w:name="_Ref343679208"/>
      <w:bookmarkStart w:id="24" w:name="_Ref343679129"/>
      <w:bookmarkStart w:id="25" w:name="_Toc389751556"/>
      <w:bookmarkStart w:id="26" w:name="_Toc163708632"/>
      <w:bookmarkStart w:id="27" w:name="_Toc157417791"/>
      <w:bookmarkStart w:id="28" w:name="_Toc231538023"/>
      <w:r>
        <w:t>工程大部分路段需填高，部分路段还需土方填低洼处，预计需填方</w:t>
      </w:r>
      <w:r>
        <w:rPr>
          <w:rFonts w:hint="eastAsia"/>
        </w:rPr>
        <w:t>1.5</w:t>
      </w:r>
      <w:r>
        <w:t>万方。工程挖方主要来自道路基础建设和沿线管线埋设，预计挖方产生量约为</w:t>
      </w:r>
      <w:r>
        <w:rPr>
          <w:rFonts w:hint="eastAsia"/>
        </w:rPr>
        <w:t>0.75</w:t>
      </w:r>
      <w:r>
        <w:t>万方，由于项目填方多于挖方，并且挖方全部可以利用，工程土方可以在工程内部平衡，不另外设置弃土、弃渣场，不够部分</w:t>
      </w:r>
      <w:r>
        <w:rPr>
          <w:rFonts w:hint="eastAsia"/>
        </w:rPr>
        <w:t>0.75</w:t>
      </w:r>
      <w:r>
        <w:t>万立方填方由专业土方公司提供，建设单位不另外开辟取土场。</w:t>
      </w:r>
    </w:p>
    <w:p>
      <w:pPr>
        <w:pStyle w:val="Caption"/>
        <w:rPr>
          <w:rFonts w:hint="eastAsia"/>
        </w:rPr>
      </w:pPr>
      <w:r>
        <w:rPr>
          <w:rFonts w:hint="eastAsia"/>
        </w:rPr>
        <w:t>表2</w:t>
      </w:r>
      <w:r>
        <w:t xml:space="preserve">   </w:t>
      </w:r>
      <w:r>
        <w:rPr>
          <w:rFonts w:hint="eastAsia"/>
        </w:rPr>
        <w:t xml:space="preserve">     </w:t>
      </w:r>
      <w:r>
        <w:t>工程土石方平衡表（万立方）</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674"/>
        <w:gridCol w:w="1560"/>
        <w:gridCol w:w="853"/>
        <w:gridCol w:w="1415"/>
        <w:gridCol w:w="708"/>
        <w:gridCol w:w="1278"/>
        <w:gridCol w:w="2799"/>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340"/>
          <w:jc w:val="center"/>
        </w:trPr>
        <w:tc>
          <w:tcPr>
            <w:tcW w:w="674"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分区</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总挖方</w:t>
            </w:r>
          </w:p>
        </w:tc>
        <w:tc>
          <w:tcPr>
            <w:tcW w:w="853"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总填方</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利用方</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弃方</w:t>
            </w:r>
          </w:p>
        </w:tc>
        <w:tc>
          <w:tcPr>
            <w:tcW w:w="1278"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外购填方量</w:t>
            </w:r>
          </w:p>
        </w:tc>
        <w:tc>
          <w:tcPr>
            <w:tcW w:w="2799"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外购填方量来源</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674"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路基</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0.75</w:t>
            </w:r>
          </w:p>
        </w:tc>
        <w:tc>
          <w:tcPr>
            <w:tcW w:w="853"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1.5</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0.75</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a"/>
            </w:pPr>
            <w:r>
              <w:t>0</w:t>
            </w:r>
          </w:p>
        </w:tc>
        <w:tc>
          <w:tcPr>
            <w:tcW w:w="1278"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0.75</w:t>
            </w:r>
          </w:p>
        </w:tc>
        <w:tc>
          <w:tcPr>
            <w:tcW w:w="2799" w:type="dxa"/>
            <w:tcBorders>
              <w:top w:val="single" w:sz="4" w:space="0" w:color="000000"/>
              <w:left w:val="single" w:sz="4" w:space="0" w:color="000000"/>
              <w:bottom w:val="single" w:sz="4" w:space="0" w:color="000000"/>
              <w:right w:val="single" w:sz="4" w:space="0" w:color="000000"/>
            </w:tcBorders>
            <w:vAlign w:val="center"/>
          </w:tcPr>
          <w:p>
            <w:pPr>
              <w:pStyle w:val="a0"/>
              <w:ind w:firstLineChars="0"/>
              <w:rPr>
                <w:rFonts w:ascii="Times New Roman" w:hAnsi="Times New Roman"/>
              </w:rPr>
            </w:pPr>
            <w:r>
              <w:rPr>
                <w:rFonts w:ascii="Times New Roman" w:hAnsi="Times New Roman" w:hint="eastAsia"/>
              </w:rPr>
              <w:t>专业土方公司提供，土方来自于市县周边专业土方场所</w:t>
            </w:r>
          </w:p>
        </w:tc>
      </w:tr>
      <w:tr>
        <w:tblPrEx>
          <w:tblW w:w="0" w:type="auto"/>
          <w:jc w:val="center"/>
          <w:tblLayout w:type="fixed"/>
          <w:tblCellMar>
            <w:top w:w="0" w:type="dxa"/>
            <w:left w:w="108" w:type="dxa"/>
            <w:bottom w:w="0" w:type="dxa"/>
            <w:right w:w="108" w:type="dxa"/>
          </w:tblCellMar>
          <w:tblLook w:val="0000"/>
        </w:tblPrEx>
        <w:trPr>
          <w:trHeight w:val="340"/>
          <w:jc w:val="center"/>
        </w:trPr>
        <w:tc>
          <w:tcPr>
            <w:tcW w:w="674"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rPr>
              <w:t>备注</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szCs w:val="21"/>
              </w:rPr>
              <w:t>耕植土</w:t>
            </w:r>
          </w:p>
        </w:tc>
        <w:tc>
          <w:tcPr>
            <w:tcW w:w="853" w:type="dxa"/>
            <w:tcBorders>
              <w:top w:val="single" w:sz="4" w:space="0" w:color="000000"/>
              <w:left w:val="single" w:sz="4" w:space="0" w:color="000000"/>
              <w:bottom w:val="single" w:sz="4" w:space="0" w:color="000000"/>
              <w:right w:val="single" w:sz="4" w:space="0" w:color="000000"/>
            </w:tcBorders>
            <w:vAlign w:val="center"/>
          </w:tcPr>
          <w:p>
            <w:pPr>
              <w:pStyle w:val="a"/>
            </w:pPr>
            <w: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a"/>
            </w:pPr>
            <w:r>
              <w:rPr>
                <w:rFonts w:hint="eastAsia"/>
                <w:szCs w:val="21"/>
              </w:rPr>
              <w:t>耕植土</w:t>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a"/>
            </w:pPr>
            <w:r>
              <w:t>/</w:t>
            </w:r>
          </w:p>
        </w:tc>
        <w:tc>
          <w:tcPr>
            <w:tcW w:w="1278" w:type="dxa"/>
            <w:tcBorders>
              <w:top w:val="single" w:sz="4" w:space="0" w:color="000000"/>
              <w:left w:val="single" w:sz="4" w:space="0" w:color="000000"/>
              <w:bottom w:val="single" w:sz="4" w:space="0" w:color="000000"/>
              <w:right w:val="single" w:sz="4" w:space="0" w:color="000000"/>
            </w:tcBorders>
            <w:vAlign w:val="center"/>
          </w:tcPr>
          <w:p>
            <w:pPr>
              <w:pStyle w:val="a"/>
            </w:pPr>
            <w:r>
              <w:t>/</w:t>
            </w:r>
          </w:p>
        </w:tc>
        <w:tc>
          <w:tcPr>
            <w:tcW w:w="2799" w:type="dxa"/>
            <w:tcBorders>
              <w:top w:val="single" w:sz="4" w:space="0" w:color="000000"/>
              <w:left w:val="single" w:sz="4" w:space="0" w:color="000000"/>
              <w:bottom w:val="single" w:sz="4" w:space="0" w:color="000000"/>
              <w:right w:val="single" w:sz="4" w:space="0" w:color="000000"/>
            </w:tcBorders>
            <w:vAlign w:val="center"/>
          </w:tcPr>
          <w:p>
            <w:pPr>
              <w:pStyle w:val="a"/>
            </w:pPr>
            <w:r>
              <w:t>/</w:t>
            </w:r>
          </w:p>
        </w:tc>
      </w:tr>
    </w:tbl>
    <w:p>
      <w:pPr>
        <w:pStyle w:val="Heading3"/>
        <w:rPr>
          <w:rFonts w:hint="eastAsia"/>
        </w:rPr>
      </w:pPr>
      <w:r>
        <w:rPr>
          <w:rFonts w:hint="eastAsia"/>
        </w:rPr>
        <w:t>交通量预测</w:t>
      </w:r>
      <w:bookmarkEnd w:id="27"/>
      <w:bookmarkEnd w:id="28"/>
      <w:bookmarkEnd w:id="23"/>
      <w:bookmarkEnd w:id="24"/>
      <w:bookmarkEnd w:id="25"/>
      <w:bookmarkEnd w:id="26"/>
    </w:p>
    <w:p>
      <w:pPr>
        <w:pStyle w:val="NormalIndent"/>
        <w:rPr>
          <w:rFonts w:hint="eastAsia"/>
        </w:rPr>
      </w:pPr>
      <w:bookmarkEnd w:id="15"/>
      <w:bookmarkEnd w:id="16"/>
      <w:bookmarkEnd w:id="17"/>
      <w:bookmarkEnd w:id="18"/>
      <w:bookmarkEnd w:id="14"/>
      <w:bookmarkEnd w:id="19"/>
      <w:bookmarkEnd w:id="20"/>
      <w:r>
        <w:rPr>
          <w:rFonts w:hint="eastAsia"/>
        </w:rPr>
        <w:t>本项目交通量预测为近期混合车型预测交通量为3992辆/日（即昼间227辆/小时，夜间45辆/小时）；中期混合车型预测交通量为5988辆/日（即昼间340辆/小时，夜间68辆/小时）；</w:t>
      </w:r>
      <w:r>
        <w:t>远期</w:t>
      </w:r>
      <w:r>
        <w:rPr>
          <w:rFonts w:hint="eastAsia"/>
        </w:rPr>
        <w:t>混合车型预测交通量为7984辆/日（即昼间455辆/小时，夜间91辆/小时）。车流量昼夜比为5:1</w:t>
      </w:r>
      <w:r>
        <w:t>。项目道路以生活性为主，小车型、中车型、大车型之比以70:25:5计。</w:t>
      </w:r>
      <w:r>
        <w:rPr>
          <w:rFonts w:hint="eastAsia"/>
        </w:rPr>
        <w:t>（本次环评期间，我们将该车流量预测思路、结果与项目道路设计单位进行了沟通，设计单位认为该车流量预测是合适的）。</w:t>
      </w:r>
      <w:r>
        <w:rPr>
          <w:snapToGrid w:val="0"/>
        </w:rPr>
        <w:t>高峰时车流量，按每日车流量的7.5%算</w:t>
      </w:r>
      <w:r>
        <w:rPr>
          <w:rFonts w:hint="eastAsia"/>
        </w:rPr>
        <w:t>，昼夜间小时交通量比为</w:t>
      </w:r>
      <w:r>
        <w:t>5</w:t>
      </w:r>
      <w:r>
        <w:rPr>
          <w:rFonts w:hint="eastAsia"/>
        </w:rPr>
        <w:t>：</w:t>
      </w:r>
      <w:r>
        <w:t>1</w:t>
      </w:r>
      <w:r>
        <w:rPr>
          <w:rFonts w:hint="eastAsia"/>
        </w:rPr>
        <w:t>，设计车速</w:t>
      </w:r>
      <w:r>
        <w:t>40km/h</w:t>
      </w:r>
      <w:r>
        <w:rPr>
          <w:rFonts w:hint="eastAsia"/>
        </w:rPr>
        <w:t>。昼间按</w:t>
      </w:r>
      <w:r>
        <w:t xml:space="preserve">16 </w:t>
      </w:r>
      <w:r>
        <w:rPr>
          <w:rFonts w:hint="eastAsia"/>
        </w:rPr>
        <w:t>小时计算，夜间按</w:t>
      </w:r>
      <w:r>
        <w:t>8</w:t>
      </w:r>
      <w:r>
        <w:rPr>
          <w:rFonts w:hint="eastAsia"/>
        </w:rPr>
        <w:t>小时计算。</w:t>
      </w:r>
    </w:p>
    <w:p>
      <w:pPr>
        <w:pStyle w:val="Caption"/>
      </w:pPr>
      <w:bookmarkStart w:id="29" w:name="_Ref323039137"/>
      <w:r>
        <w:t>表</w:t>
      </w:r>
      <w:bookmarkEnd w:id="29"/>
      <w:r>
        <w:rPr>
          <w:rFonts w:hint="eastAsia"/>
        </w:rPr>
        <w:t>3    预测日均及高峰期交通量</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814"/>
        <w:gridCol w:w="1815"/>
        <w:gridCol w:w="1815"/>
        <w:gridCol w:w="1815"/>
        <w:gridCol w:w="1813"/>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1000" w:type="pct"/>
            <w:vAlign w:val="center"/>
          </w:tcPr>
          <w:p>
            <w:pPr>
              <w:pStyle w:val="a"/>
            </w:pPr>
            <w:r>
              <w:rPr>
                <w:rFonts w:hint="eastAsia"/>
              </w:rPr>
              <w:t>道路</w:t>
            </w:r>
          </w:p>
        </w:tc>
        <w:tc>
          <w:tcPr>
            <w:tcW w:w="1000" w:type="pct"/>
            <w:vAlign w:val="center"/>
          </w:tcPr>
          <w:p>
            <w:pPr>
              <w:pStyle w:val="a"/>
            </w:pPr>
            <w:r>
              <w:rPr>
                <w:rFonts w:hint="eastAsia"/>
              </w:rPr>
              <w:t>时间</w:t>
            </w:r>
          </w:p>
        </w:tc>
        <w:tc>
          <w:tcPr>
            <w:tcW w:w="1000" w:type="pct"/>
            <w:vAlign w:val="center"/>
          </w:tcPr>
          <w:p>
            <w:pPr>
              <w:pStyle w:val="a"/>
            </w:pPr>
            <w:r>
              <w:rPr>
                <w:rFonts w:hint="eastAsia"/>
              </w:rPr>
              <w:t>2015年</w:t>
            </w:r>
          </w:p>
        </w:tc>
        <w:tc>
          <w:tcPr>
            <w:tcW w:w="1000" w:type="pct"/>
            <w:vAlign w:val="center"/>
          </w:tcPr>
          <w:p>
            <w:pPr>
              <w:pStyle w:val="a"/>
            </w:pPr>
            <w:r>
              <w:rPr>
                <w:rFonts w:hint="eastAsia"/>
              </w:rPr>
              <w:t>2021年</w:t>
            </w:r>
          </w:p>
        </w:tc>
        <w:tc>
          <w:tcPr>
            <w:tcW w:w="999" w:type="pct"/>
            <w:vAlign w:val="center"/>
          </w:tcPr>
          <w:p>
            <w:pPr>
              <w:pStyle w:val="a"/>
            </w:pPr>
            <w:r>
              <w:rPr>
                <w:rFonts w:hint="eastAsia"/>
              </w:rPr>
              <w:t>2029年</w:t>
            </w:r>
          </w:p>
        </w:tc>
      </w:tr>
      <w:tr>
        <w:tblPrEx>
          <w:tblW w:w="9072" w:type="dxa"/>
          <w:jc w:val="center"/>
          <w:tblCellMar>
            <w:top w:w="0" w:type="dxa"/>
            <w:left w:w="108" w:type="dxa"/>
            <w:bottom w:w="0" w:type="dxa"/>
            <w:right w:w="108" w:type="dxa"/>
          </w:tblCellMar>
          <w:tblLook w:val="0000"/>
        </w:tblPrEx>
        <w:trPr>
          <w:trHeight w:val="340"/>
          <w:jc w:val="center"/>
        </w:trPr>
        <w:tc>
          <w:tcPr>
            <w:tcW w:w="1000" w:type="pct"/>
            <w:vMerge w:val="restart"/>
            <w:vAlign w:val="center"/>
          </w:tcPr>
          <w:p>
            <w:pPr>
              <w:pStyle w:val="a"/>
              <w:rPr>
                <w:rFonts w:hint="eastAsia"/>
              </w:rPr>
            </w:pPr>
            <w:r>
              <w:rPr>
                <w:rFonts w:hint="eastAsia"/>
              </w:rPr>
              <w:t>越剑路</w:t>
            </w:r>
          </w:p>
        </w:tc>
        <w:tc>
          <w:tcPr>
            <w:tcW w:w="1000" w:type="pct"/>
            <w:vAlign w:val="center"/>
          </w:tcPr>
          <w:p>
            <w:pPr>
              <w:pStyle w:val="a"/>
            </w:pPr>
            <w:r>
              <w:rPr>
                <w:rFonts w:hint="eastAsia"/>
              </w:rPr>
              <w:t>昼间（辆/h）</w:t>
            </w:r>
          </w:p>
        </w:tc>
        <w:tc>
          <w:tcPr>
            <w:tcW w:w="1000" w:type="pct"/>
            <w:vAlign w:val="center"/>
          </w:tcPr>
          <w:p>
            <w:pPr>
              <w:pStyle w:val="a"/>
              <w:rPr>
                <w:rFonts w:hint="eastAsia"/>
              </w:rPr>
            </w:pPr>
            <w:r>
              <w:rPr>
                <w:rFonts w:hint="eastAsia"/>
              </w:rPr>
              <w:t>227/300</w:t>
            </w:r>
          </w:p>
        </w:tc>
        <w:tc>
          <w:tcPr>
            <w:tcW w:w="1000" w:type="pct"/>
            <w:vAlign w:val="center"/>
          </w:tcPr>
          <w:p>
            <w:pPr>
              <w:pStyle w:val="a"/>
              <w:rPr>
                <w:rFonts w:hint="eastAsia"/>
              </w:rPr>
            </w:pPr>
            <w:r>
              <w:rPr>
                <w:rFonts w:hint="eastAsia"/>
              </w:rPr>
              <w:t>340/450</w:t>
            </w:r>
          </w:p>
        </w:tc>
        <w:tc>
          <w:tcPr>
            <w:tcW w:w="999" w:type="pct"/>
            <w:vAlign w:val="center"/>
          </w:tcPr>
          <w:p>
            <w:pPr>
              <w:pStyle w:val="a"/>
              <w:rPr>
                <w:rFonts w:hint="eastAsia"/>
              </w:rPr>
            </w:pPr>
            <w:r>
              <w:rPr>
                <w:rFonts w:hint="eastAsia"/>
              </w:rPr>
              <w:t>455/599</w:t>
            </w:r>
          </w:p>
        </w:tc>
      </w:tr>
      <w:tr>
        <w:tblPrEx>
          <w:tblW w:w="9072" w:type="dxa"/>
          <w:jc w:val="center"/>
          <w:tblCellMar>
            <w:top w:w="0" w:type="dxa"/>
            <w:left w:w="108" w:type="dxa"/>
            <w:bottom w:w="0" w:type="dxa"/>
            <w:right w:w="108" w:type="dxa"/>
          </w:tblCellMar>
          <w:tblLook w:val="0000"/>
        </w:tblPrEx>
        <w:trPr>
          <w:trHeight w:val="340"/>
          <w:jc w:val="center"/>
        </w:trPr>
        <w:tc>
          <w:tcPr>
            <w:tcW w:w="1000" w:type="pct"/>
            <w:vMerge/>
            <w:vAlign w:val="center"/>
          </w:tcPr>
          <w:p/>
        </w:tc>
        <w:tc>
          <w:tcPr>
            <w:tcW w:w="1000" w:type="pct"/>
            <w:vAlign w:val="center"/>
          </w:tcPr>
          <w:p>
            <w:pPr>
              <w:pStyle w:val="a"/>
            </w:pPr>
            <w:r>
              <w:rPr>
                <w:rFonts w:hint="eastAsia"/>
              </w:rPr>
              <w:t>夜间（辆/h）</w:t>
            </w:r>
          </w:p>
        </w:tc>
        <w:tc>
          <w:tcPr>
            <w:tcW w:w="1000" w:type="pct"/>
            <w:vAlign w:val="center"/>
          </w:tcPr>
          <w:p>
            <w:pPr>
              <w:pStyle w:val="a"/>
              <w:rPr>
                <w:rFonts w:hint="eastAsia"/>
              </w:rPr>
            </w:pPr>
            <w:r>
              <w:rPr>
                <w:rFonts w:hint="eastAsia"/>
              </w:rPr>
              <w:t>45/60</w:t>
            </w:r>
          </w:p>
        </w:tc>
        <w:tc>
          <w:tcPr>
            <w:tcW w:w="1000" w:type="pct"/>
            <w:vAlign w:val="center"/>
          </w:tcPr>
          <w:p>
            <w:pPr>
              <w:pStyle w:val="a"/>
              <w:rPr>
                <w:rFonts w:hint="eastAsia"/>
              </w:rPr>
            </w:pPr>
            <w:r>
              <w:rPr>
                <w:rFonts w:hint="eastAsia"/>
              </w:rPr>
              <w:t>68/90</w:t>
            </w:r>
          </w:p>
        </w:tc>
        <w:tc>
          <w:tcPr>
            <w:tcW w:w="999" w:type="pct"/>
            <w:vAlign w:val="center"/>
          </w:tcPr>
          <w:p>
            <w:pPr>
              <w:pStyle w:val="a"/>
              <w:rPr>
                <w:rFonts w:hint="eastAsia"/>
              </w:rPr>
            </w:pPr>
            <w:r>
              <w:rPr>
                <w:rFonts w:hint="eastAsia"/>
              </w:rPr>
              <w:t>91/120</w:t>
            </w:r>
          </w:p>
        </w:tc>
      </w:tr>
      <w:tr>
        <w:tblPrEx>
          <w:tblW w:w="9072" w:type="dxa"/>
          <w:jc w:val="center"/>
          <w:tblCellMar>
            <w:top w:w="0" w:type="dxa"/>
            <w:left w:w="108" w:type="dxa"/>
            <w:bottom w:w="0" w:type="dxa"/>
            <w:right w:w="108" w:type="dxa"/>
          </w:tblCellMar>
          <w:tblLook w:val="0000"/>
        </w:tblPrEx>
        <w:trPr>
          <w:trHeight w:val="340"/>
          <w:jc w:val="center"/>
        </w:trPr>
        <w:tc>
          <w:tcPr>
            <w:tcW w:w="1000" w:type="pct"/>
            <w:vMerge/>
            <w:tcBorders>
              <w:bottom w:val="single" w:sz="4" w:space="0" w:color="auto"/>
            </w:tcBorders>
            <w:vAlign w:val="center"/>
          </w:tcPr>
          <w:p/>
        </w:tc>
        <w:tc>
          <w:tcPr>
            <w:tcW w:w="1000" w:type="pct"/>
            <w:tcBorders>
              <w:bottom w:val="single" w:sz="4" w:space="0" w:color="auto"/>
            </w:tcBorders>
            <w:vAlign w:val="center"/>
          </w:tcPr>
          <w:p>
            <w:pPr>
              <w:pStyle w:val="a"/>
            </w:pPr>
            <w:r>
              <w:rPr>
                <w:rFonts w:hint="eastAsia"/>
              </w:rPr>
              <w:t>日平均（辆/d）</w:t>
            </w:r>
          </w:p>
        </w:tc>
        <w:tc>
          <w:tcPr>
            <w:tcW w:w="1000" w:type="pct"/>
            <w:tcBorders>
              <w:bottom w:val="single" w:sz="4" w:space="0" w:color="auto"/>
            </w:tcBorders>
            <w:vAlign w:val="center"/>
          </w:tcPr>
          <w:p>
            <w:pPr>
              <w:pStyle w:val="a"/>
              <w:rPr>
                <w:rFonts w:hint="eastAsia"/>
              </w:rPr>
            </w:pPr>
            <w:r>
              <w:rPr>
                <w:rFonts w:hint="eastAsia"/>
              </w:rPr>
              <w:t>3992</w:t>
            </w:r>
          </w:p>
        </w:tc>
        <w:tc>
          <w:tcPr>
            <w:tcW w:w="1000" w:type="pct"/>
            <w:tcBorders>
              <w:bottom w:val="single" w:sz="4" w:space="0" w:color="auto"/>
            </w:tcBorders>
            <w:vAlign w:val="center"/>
          </w:tcPr>
          <w:p>
            <w:pPr>
              <w:pStyle w:val="a"/>
              <w:rPr>
                <w:rFonts w:hint="eastAsia"/>
              </w:rPr>
            </w:pPr>
            <w:r>
              <w:rPr>
                <w:rFonts w:hint="eastAsia"/>
              </w:rPr>
              <w:t>5988</w:t>
            </w:r>
          </w:p>
        </w:tc>
        <w:tc>
          <w:tcPr>
            <w:tcW w:w="999" w:type="pct"/>
            <w:tcBorders>
              <w:bottom w:val="single" w:sz="4" w:space="0" w:color="auto"/>
            </w:tcBorders>
            <w:vAlign w:val="center"/>
          </w:tcPr>
          <w:p>
            <w:pPr>
              <w:pStyle w:val="a"/>
              <w:rPr>
                <w:rFonts w:hint="eastAsia"/>
              </w:rPr>
            </w:pPr>
            <w:r>
              <w:rPr>
                <w:rFonts w:hint="eastAsia"/>
              </w:rPr>
              <w:t>7984</w:t>
            </w:r>
          </w:p>
        </w:tc>
      </w:tr>
    </w:tbl>
    <w:p>
      <w:pPr>
        <w:pStyle w:val="Caption"/>
        <w:rPr>
          <w:rFonts w:hint="eastAsia"/>
        </w:rPr>
      </w:pPr>
      <w:bookmarkStart w:id="30" w:name="_Ref295919840"/>
      <w:r>
        <w:t xml:space="preserve">表 </w:t>
      </w:r>
      <w:bookmarkEnd w:id="30"/>
      <w:r>
        <w:rPr>
          <w:rFonts w:hint="eastAsia"/>
        </w:rPr>
        <w:t xml:space="preserve">4 </w:t>
      </w:r>
      <w:r>
        <w:t xml:space="preserve">    </w:t>
      </w:r>
      <w:r>
        <w:rPr>
          <w:rFonts w:hint="eastAsia"/>
        </w:rPr>
        <w:t>预测日均及高峰期车型组成</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33"/>
        <w:gridCol w:w="833"/>
        <w:gridCol w:w="834"/>
        <w:gridCol w:w="834"/>
        <w:gridCol w:w="1444"/>
        <w:gridCol w:w="834"/>
        <w:gridCol w:w="834"/>
        <w:gridCol w:w="834"/>
        <w:gridCol w:w="144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478" w:type="pct"/>
            <w:noWrap/>
            <w:vAlign w:val="center"/>
          </w:tcPr>
          <w:p>
            <w:pPr>
              <w:pStyle w:val="a11"/>
            </w:pPr>
            <w:r>
              <w:t>时间</w:t>
            </w:r>
          </w:p>
        </w:tc>
        <w:tc>
          <w:tcPr>
            <w:tcW w:w="2262" w:type="pct"/>
            <w:gridSpan w:val="4"/>
            <w:vAlign w:val="center"/>
          </w:tcPr>
          <w:p>
            <w:pPr>
              <w:pStyle w:val="a11"/>
              <w:rPr>
                <w:rFonts w:hint="eastAsia"/>
              </w:rPr>
            </w:pPr>
            <w:r>
              <w:t>昼间</w:t>
            </w:r>
            <w:r>
              <w:rPr>
                <w:rFonts w:hint="eastAsia"/>
              </w:rPr>
              <w:t>（辆/h）</w:t>
            </w:r>
          </w:p>
        </w:tc>
        <w:tc>
          <w:tcPr>
            <w:tcW w:w="2261" w:type="pct"/>
            <w:gridSpan w:val="4"/>
            <w:vAlign w:val="center"/>
          </w:tcPr>
          <w:p>
            <w:pPr>
              <w:pStyle w:val="a11"/>
            </w:pPr>
            <w:r>
              <w:t>夜间</w:t>
            </w:r>
            <w:r>
              <w:rPr>
                <w:rFonts w:hint="eastAsia"/>
              </w:rPr>
              <w:t>（辆/h）</w:t>
            </w:r>
          </w:p>
        </w:tc>
      </w:tr>
      <w:tr>
        <w:tblPrEx>
          <w:tblW w:w="5000" w:type="pct"/>
          <w:jc w:val="center"/>
          <w:tblCellMar>
            <w:top w:w="0" w:type="dxa"/>
            <w:left w:w="108" w:type="dxa"/>
            <w:bottom w:w="0" w:type="dxa"/>
            <w:right w:w="108" w:type="dxa"/>
          </w:tblCellMar>
          <w:tblLook w:val="0000"/>
        </w:tblPrEx>
        <w:trPr>
          <w:trHeight w:val="340"/>
          <w:jc w:val="center"/>
        </w:trPr>
        <w:tc>
          <w:tcPr>
            <w:tcW w:w="478" w:type="pct"/>
            <w:noWrap/>
            <w:vAlign w:val="center"/>
          </w:tcPr>
          <w:p>
            <w:pPr>
              <w:pStyle w:val="a11"/>
            </w:pPr>
            <w:r>
              <w:t>年份</w:t>
            </w:r>
          </w:p>
        </w:tc>
        <w:tc>
          <w:tcPr>
            <w:tcW w:w="478" w:type="pct"/>
            <w:noWrap/>
            <w:vAlign w:val="center"/>
          </w:tcPr>
          <w:p>
            <w:pPr>
              <w:pStyle w:val="a11"/>
            </w:pPr>
            <w:r>
              <w:t>小车</w:t>
            </w:r>
          </w:p>
        </w:tc>
        <w:tc>
          <w:tcPr>
            <w:tcW w:w="478" w:type="pct"/>
            <w:noWrap/>
            <w:vAlign w:val="center"/>
          </w:tcPr>
          <w:p>
            <w:pPr>
              <w:pStyle w:val="a11"/>
            </w:pPr>
            <w:r>
              <w:t>中车</w:t>
            </w:r>
          </w:p>
        </w:tc>
        <w:tc>
          <w:tcPr>
            <w:tcW w:w="478" w:type="pct"/>
            <w:vAlign w:val="center"/>
          </w:tcPr>
          <w:p>
            <w:pPr>
              <w:pStyle w:val="a11"/>
            </w:pPr>
            <w:r>
              <w:t>大车</w:t>
            </w:r>
          </w:p>
        </w:tc>
        <w:tc>
          <w:tcPr>
            <w:tcW w:w="828" w:type="pct"/>
            <w:vAlign w:val="center"/>
          </w:tcPr>
          <w:p>
            <w:pPr>
              <w:pStyle w:val="a11"/>
              <w:rPr>
                <w:rFonts w:hint="eastAsia"/>
              </w:rPr>
            </w:pPr>
            <w:r>
              <w:rPr>
                <w:rFonts w:hint="eastAsia"/>
              </w:rPr>
              <w:t>折成标准</w:t>
            </w:r>
          </w:p>
          <w:p>
            <w:pPr>
              <w:pStyle w:val="a11"/>
              <w:rPr>
                <w:rFonts w:hint="eastAsia"/>
              </w:rPr>
            </w:pPr>
            <w:r>
              <w:rPr>
                <w:rFonts w:hint="eastAsia"/>
              </w:rPr>
              <w:t>小车</w:t>
            </w:r>
            <w:r>
              <w:t>合计</w:t>
            </w:r>
          </w:p>
          <w:p>
            <w:pPr>
              <w:pStyle w:val="a11"/>
            </w:pPr>
            <w:r>
              <w:rPr>
                <w:rFonts w:hint="eastAsia"/>
              </w:rPr>
              <w:t>（pcu/h）</w:t>
            </w:r>
          </w:p>
        </w:tc>
        <w:tc>
          <w:tcPr>
            <w:tcW w:w="478" w:type="pct"/>
            <w:noWrap/>
            <w:vAlign w:val="center"/>
          </w:tcPr>
          <w:p>
            <w:pPr>
              <w:pStyle w:val="a11"/>
            </w:pPr>
            <w:r>
              <w:t>小车</w:t>
            </w:r>
          </w:p>
        </w:tc>
        <w:tc>
          <w:tcPr>
            <w:tcW w:w="478" w:type="pct"/>
            <w:noWrap/>
            <w:vAlign w:val="center"/>
          </w:tcPr>
          <w:p>
            <w:pPr>
              <w:pStyle w:val="a11"/>
            </w:pPr>
            <w:r>
              <w:t>中车</w:t>
            </w:r>
          </w:p>
        </w:tc>
        <w:tc>
          <w:tcPr>
            <w:tcW w:w="478" w:type="pct"/>
            <w:noWrap/>
            <w:vAlign w:val="center"/>
          </w:tcPr>
          <w:p>
            <w:pPr>
              <w:pStyle w:val="a11"/>
            </w:pPr>
            <w:r>
              <w:t>大车</w:t>
            </w:r>
          </w:p>
        </w:tc>
        <w:tc>
          <w:tcPr>
            <w:tcW w:w="826" w:type="pct"/>
            <w:noWrap/>
            <w:vAlign w:val="center"/>
          </w:tcPr>
          <w:p>
            <w:pPr>
              <w:pStyle w:val="a11"/>
              <w:rPr>
                <w:rFonts w:hint="eastAsia"/>
              </w:rPr>
            </w:pPr>
            <w:r>
              <w:rPr>
                <w:rFonts w:hint="eastAsia"/>
              </w:rPr>
              <w:t>折成标准</w:t>
            </w:r>
          </w:p>
          <w:p>
            <w:pPr>
              <w:pStyle w:val="a11"/>
              <w:rPr>
                <w:rFonts w:hint="eastAsia"/>
              </w:rPr>
            </w:pPr>
            <w:r>
              <w:rPr>
                <w:rFonts w:hint="eastAsia"/>
              </w:rPr>
              <w:t>小车</w:t>
            </w:r>
            <w:r>
              <w:t>合计</w:t>
            </w:r>
          </w:p>
          <w:p>
            <w:pPr>
              <w:pStyle w:val="a11"/>
            </w:pPr>
            <w:r>
              <w:rPr>
                <w:rFonts w:hint="eastAsia"/>
              </w:rPr>
              <w:t>（pcu/h）</w:t>
            </w:r>
          </w:p>
        </w:tc>
      </w:tr>
    </w:tbl>
    <w:p>
      <w:pPr>
        <w:sectPr>
          <w:headerReference w:type="default" r:id="rId16"/>
          <w:footerReference w:type="even" r:id="rId17"/>
          <w:footerReference w:type="default" r:id="rId18"/>
          <w:type w:val="nextPage"/>
          <w:pgSz w:w="11907" w:h="16840"/>
          <w:pgMar w:top="1418" w:right="1701" w:bottom="1559" w:left="1701" w:header="902" w:footer="907" w:gutter="0"/>
          <w:pgNumType w:start="3"/>
          <w:cols w:space="708"/>
          <w:titlePg w:val="0"/>
          <w:docGrid w:type="linesAndChars" w:linePitch="433" w:charSpace="-3315"/>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33"/>
        <w:gridCol w:w="833"/>
        <w:gridCol w:w="834"/>
        <w:gridCol w:w="834"/>
        <w:gridCol w:w="1444"/>
        <w:gridCol w:w="834"/>
        <w:gridCol w:w="834"/>
        <w:gridCol w:w="834"/>
        <w:gridCol w:w="144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478" w:type="pct"/>
            <w:noWrap/>
            <w:vAlign w:val="center"/>
          </w:tcPr>
          <w:p>
            <w:pPr>
              <w:pStyle w:val="a11"/>
              <w:rPr>
                <w:rFonts w:hint="eastAsia"/>
              </w:rPr>
            </w:pPr>
            <w:r>
              <w:t>2</w:t>
            </w:r>
            <w:r>
              <w:rPr>
                <w:rFonts w:hint="eastAsia"/>
              </w:rPr>
              <w:t>015</w:t>
            </w:r>
          </w:p>
        </w:tc>
        <w:tc>
          <w:tcPr>
            <w:tcW w:w="478" w:type="pct"/>
            <w:noWrap/>
            <w:vAlign w:val="center"/>
          </w:tcPr>
          <w:p>
            <w:pPr>
              <w:pStyle w:val="a11"/>
              <w:rPr>
                <w:rFonts w:hint="eastAsia"/>
              </w:rPr>
            </w:pPr>
            <w:r>
              <w:rPr>
                <w:rFonts w:hint="eastAsia"/>
              </w:rPr>
              <w:t>159/210</w:t>
            </w:r>
          </w:p>
        </w:tc>
        <w:tc>
          <w:tcPr>
            <w:tcW w:w="478" w:type="pct"/>
            <w:noWrap/>
            <w:vAlign w:val="center"/>
          </w:tcPr>
          <w:p>
            <w:pPr>
              <w:pStyle w:val="a11"/>
              <w:rPr>
                <w:rFonts w:hint="eastAsia"/>
              </w:rPr>
            </w:pPr>
            <w:r>
              <w:rPr>
                <w:rFonts w:hint="eastAsia"/>
              </w:rPr>
              <w:t>57/75</w:t>
            </w:r>
          </w:p>
        </w:tc>
        <w:tc>
          <w:tcPr>
            <w:tcW w:w="478" w:type="pct"/>
            <w:vAlign w:val="center"/>
          </w:tcPr>
          <w:p>
            <w:pPr>
              <w:pStyle w:val="a11"/>
              <w:rPr>
                <w:rFonts w:hint="eastAsia"/>
              </w:rPr>
            </w:pPr>
            <w:r>
              <w:rPr>
                <w:rFonts w:hint="eastAsia"/>
              </w:rPr>
              <w:t>11/15</w:t>
            </w:r>
          </w:p>
        </w:tc>
        <w:tc>
          <w:tcPr>
            <w:tcW w:w="828" w:type="pct"/>
            <w:vAlign w:val="center"/>
          </w:tcPr>
          <w:p>
            <w:pPr>
              <w:pStyle w:val="a11"/>
              <w:rPr>
                <w:rFonts w:hint="eastAsia"/>
              </w:rPr>
            </w:pPr>
            <w:r>
              <w:rPr>
                <w:rFonts w:hint="eastAsia"/>
              </w:rPr>
              <w:t>266/352</w:t>
            </w:r>
          </w:p>
        </w:tc>
        <w:tc>
          <w:tcPr>
            <w:tcW w:w="478" w:type="pct"/>
            <w:noWrap/>
            <w:vAlign w:val="center"/>
          </w:tcPr>
          <w:p>
            <w:pPr>
              <w:pStyle w:val="a11"/>
              <w:rPr>
                <w:rFonts w:hint="eastAsia"/>
              </w:rPr>
            </w:pPr>
            <w:r>
              <w:rPr>
                <w:rFonts w:hint="eastAsia"/>
              </w:rPr>
              <w:t>32/42</w:t>
            </w:r>
          </w:p>
        </w:tc>
        <w:tc>
          <w:tcPr>
            <w:tcW w:w="478" w:type="pct"/>
            <w:noWrap/>
            <w:vAlign w:val="center"/>
          </w:tcPr>
          <w:p>
            <w:pPr>
              <w:pStyle w:val="a11"/>
              <w:rPr>
                <w:rFonts w:hint="eastAsia"/>
              </w:rPr>
            </w:pPr>
            <w:r>
              <w:rPr>
                <w:rFonts w:hint="eastAsia"/>
              </w:rPr>
              <w:t>11/15</w:t>
            </w:r>
          </w:p>
        </w:tc>
        <w:tc>
          <w:tcPr>
            <w:tcW w:w="478" w:type="pct"/>
            <w:noWrap/>
            <w:vAlign w:val="center"/>
          </w:tcPr>
          <w:p>
            <w:pPr>
              <w:pStyle w:val="a11"/>
              <w:rPr>
                <w:rFonts w:hint="eastAsia"/>
              </w:rPr>
            </w:pPr>
            <w:r>
              <w:rPr>
                <w:rFonts w:hint="eastAsia"/>
              </w:rPr>
              <w:t>2/3</w:t>
            </w:r>
          </w:p>
        </w:tc>
        <w:tc>
          <w:tcPr>
            <w:tcW w:w="826" w:type="pct"/>
            <w:noWrap/>
            <w:vAlign w:val="center"/>
          </w:tcPr>
          <w:p>
            <w:pPr>
              <w:pStyle w:val="a11"/>
              <w:rPr>
                <w:rFonts w:hint="eastAsia"/>
              </w:rPr>
            </w:pPr>
            <w:r>
              <w:rPr>
                <w:rFonts w:hint="eastAsia"/>
              </w:rPr>
              <w:t>52/70</w:t>
            </w:r>
          </w:p>
        </w:tc>
      </w:tr>
      <w:tr>
        <w:tblPrEx>
          <w:tblW w:w="5000" w:type="pct"/>
          <w:jc w:val="center"/>
          <w:tblCellMar>
            <w:top w:w="0" w:type="dxa"/>
            <w:left w:w="108" w:type="dxa"/>
            <w:bottom w:w="0" w:type="dxa"/>
            <w:right w:w="108" w:type="dxa"/>
          </w:tblCellMar>
          <w:tblLook w:val="0000"/>
        </w:tblPrEx>
        <w:trPr>
          <w:trHeight w:val="340"/>
          <w:jc w:val="center"/>
        </w:trPr>
        <w:tc>
          <w:tcPr>
            <w:tcW w:w="478" w:type="pct"/>
            <w:noWrap/>
            <w:vAlign w:val="center"/>
          </w:tcPr>
          <w:p>
            <w:pPr>
              <w:pStyle w:val="a11"/>
              <w:rPr>
                <w:rFonts w:hint="eastAsia"/>
              </w:rPr>
            </w:pPr>
            <w:r>
              <w:rPr>
                <w:rFonts w:hint="eastAsia"/>
              </w:rPr>
              <w:t>2021</w:t>
            </w:r>
          </w:p>
        </w:tc>
        <w:tc>
          <w:tcPr>
            <w:tcW w:w="478" w:type="pct"/>
            <w:noWrap/>
            <w:vAlign w:val="center"/>
          </w:tcPr>
          <w:p>
            <w:pPr>
              <w:pStyle w:val="a11"/>
              <w:rPr>
                <w:rFonts w:hint="eastAsia"/>
              </w:rPr>
            </w:pPr>
            <w:r>
              <w:rPr>
                <w:rFonts w:hint="eastAsia"/>
              </w:rPr>
              <w:t>238/315</w:t>
            </w:r>
          </w:p>
        </w:tc>
        <w:tc>
          <w:tcPr>
            <w:tcW w:w="478" w:type="pct"/>
            <w:noWrap/>
            <w:vAlign w:val="center"/>
          </w:tcPr>
          <w:p>
            <w:pPr>
              <w:pStyle w:val="a11"/>
              <w:rPr>
                <w:rFonts w:hint="eastAsia"/>
              </w:rPr>
            </w:pPr>
            <w:r>
              <w:rPr>
                <w:rFonts w:hint="eastAsia"/>
              </w:rPr>
              <w:t>85/113</w:t>
            </w:r>
          </w:p>
        </w:tc>
        <w:tc>
          <w:tcPr>
            <w:tcW w:w="478" w:type="pct"/>
            <w:vAlign w:val="center"/>
          </w:tcPr>
          <w:p>
            <w:pPr>
              <w:pStyle w:val="a11"/>
              <w:rPr>
                <w:rFonts w:hint="eastAsia"/>
              </w:rPr>
            </w:pPr>
            <w:r>
              <w:rPr>
                <w:rFonts w:hint="eastAsia"/>
              </w:rPr>
              <w:t>17/22</w:t>
            </w:r>
          </w:p>
        </w:tc>
        <w:tc>
          <w:tcPr>
            <w:tcW w:w="828" w:type="pct"/>
            <w:vAlign w:val="center"/>
          </w:tcPr>
          <w:p>
            <w:pPr>
              <w:pStyle w:val="a11"/>
              <w:rPr>
                <w:rFonts w:hint="eastAsia"/>
              </w:rPr>
            </w:pPr>
            <w:r>
              <w:rPr>
                <w:rFonts w:hint="eastAsia"/>
              </w:rPr>
              <w:t>400/528</w:t>
            </w:r>
          </w:p>
        </w:tc>
        <w:tc>
          <w:tcPr>
            <w:tcW w:w="478" w:type="pct"/>
            <w:noWrap/>
            <w:vAlign w:val="center"/>
          </w:tcPr>
          <w:p>
            <w:pPr>
              <w:pStyle w:val="a11"/>
              <w:rPr>
                <w:rFonts w:hint="eastAsia"/>
              </w:rPr>
            </w:pPr>
            <w:r>
              <w:rPr>
                <w:rFonts w:hint="eastAsia"/>
              </w:rPr>
              <w:t>48/63</w:t>
            </w:r>
          </w:p>
        </w:tc>
        <w:tc>
          <w:tcPr>
            <w:tcW w:w="478" w:type="pct"/>
            <w:noWrap/>
            <w:vAlign w:val="center"/>
          </w:tcPr>
          <w:p>
            <w:pPr>
              <w:pStyle w:val="a11"/>
              <w:rPr>
                <w:rFonts w:hint="eastAsia"/>
              </w:rPr>
            </w:pPr>
            <w:r>
              <w:rPr>
                <w:rFonts w:hint="eastAsia"/>
              </w:rPr>
              <w:t>17/23</w:t>
            </w:r>
          </w:p>
        </w:tc>
        <w:tc>
          <w:tcPr>
            <w:tcW w:w="478" w:type="pct"/>
            <w:noWrap/>
            <w:vAlign w:val="center"/>
          </w:tcPr>
          <w:p>
            <w:pPr>
              <w:pStyle w:val="a11"/>
              <w:rPr>
                <w:rFonts w:hint="eastAsia"/>
              </w:rPr>
            </w:pPr>
            <w:r>
              <w:rPr>
                <w:rFonts w:hint="eastAsia"/>
              </w:rPr>
              <w:t>3/4</w:t>
            </w:r>
          </w:p>
        </w:tc>
        <w:tc>
          <w:tcPr>
            <w:tcW w:w="826" w:type="pct"/>
            <w:noWrap/>
            <w:vAlign w:val="center"/>
          </w:tcPr>
          <w:p>
            <w:pPr>
              <w:pStyle w:val="a11"/>
              <w:rPr>
                <w:rFonts w:hint="eastAsia"/>
              </w:rPr>
            </w:pPr>
            <w:r>
              <w:rPr>
                <w:rFonts w:hint="eastAsia"/>
              </w:rPr>
              <w:t>80/105</w:t>
            </w:r>
          </w:p>
        </w:tc>
      </w:tr>
      <w:tr>
        <w:tblPrEx>
          <w:tblW w:w="5000" w:type="pct"/>
          <w:jc w:val="center"/>
          <w:tblCellMar>
            <w:top w:w="0" w:type="dxa"/>
            <w:left w:w="108" w:type="dxa"/>
            <w:bottom w:w="0" w:type="dxa"/>
            <w:right w:w="108" w:type="dxa"/>
          </w:tblCellMar>
          <w:tblLook w:val="0000"/>
        </w:tblPrEx>
        <w:trPr>
          <w:trHeight w:val="340"/>
          <w:jc w:val="center"/>
        </w:trPr>
        <w:tc>
          <w:tcPr>
            <w:tcW w:w="478" w:type="pct"/>
            <w:noWrap/>
            <w:vAlign w:val="center"/>
          </w:tcPr>
          <w:p>
            <w:pPr>
              <w:pStyle w:val="a11"/>
              <w:rPr>
                <w:rFonts w:hint="eastAsia"/>
              </w:rPr>
            </w:pPr>
            <w:r>
              <w:t>202</w:t>
            </w:r>
            <w:r>
              <w:rPr>
                <w:rFonts w:hint="eastAsia"/>
              </w:rPr>
              <w:t>9</w:t>
            </w:r>
          </w:p>
        </w:tc>
        <w:tc>
          <w:tcPr>
            <w:tcW w:w="478" w:type="pct"/>
            <w:noWrap/>
            <w:vAlign w:val="center"/>
          </w:tcPr>
          <w:p>
            <w:pPr>
              <w:pStyle w:val="a11"/>
              <w:rPr>
                <w:rFonts w:hint="eastAsia"/>
              </w:rPr>
            </w:pPr>
            <w:r>
              <w:rPr>
                <w:rFonts w:hint="eastAsia"/>
              </w:rPr>
              <w:t>319/419</w:t>
            </w:r>
          </w:p>
        </w:tc>
        <w:tc>
          <w:tcPr>
            <w:tcW w:w="478" w:type="pct"/>
            <w:noWrap/>
            <w:vAlign w:val="center"/>
          </w:tcPr>
          <w:p>
            <w:pPr>
              <w:pStyle w:val="a11"/>
              <w:rPr>
                <w:rFonts w:hint="eastAsia"/>
              </w:rPr>
            </w:pPr>
            <w:r>
              <w:rPr>
                <w:rFonts w:hint="eastAsia"/>
              </w:rPr>
              <w:t>114/150</w:t>
            </w:r>
          </w:p>
        </w:tc>
        <w:tc>
          <w:tcPr>
            <w:tcW w:w="478" w:type="pct"/>
            <w:vAlign w:val="center"/>
          </w:tcPr>
          <w:p>
            <w:pPr>
              <w:pStyle w:val="a11"/>
              <w:rPr>
                <w:rFonts w:hint="eastAsia"/>
              </w:rPr>
            </w:pPr>
            <w:r>
              <w:rPr>
                <w:rFonts w:hint="eastAsia"/>
              </w:rPr>
              <w:t>22/30</w:t>
            </w:r>
          </w:p>
        </w:tc>
        <w:tc>
          <w:tcPr>
            <w:tcW w:w="828" w:type="pct"/>
            <w:vAlign w:val="center"/>
          </w:tcPr>
          <w:p>
            <w:pPr>
              <w:pStyle w:val="a11"/>
              <w:rPr>
                <w:rFonts w:hint="eastAsia"/>
              </w:rPr>
            </w:pPr>
            <w:r>
              <w:rPr>
                <w:rFonts w:hint="eastAsia"/>
              </w:rPr>
              <w:t>534/704</w:t>
            </w:r>
          </w:p>
        </w:tc>
        <w:tc>
          <w:tcPr>
            <w:tcW w:w="478" w:type="pct"/>
            <w:noWrap/>
            <w:vAlign w:val="center"/>
          </w:tcPr>
          <w:p>
            <w:pPr>
              <w:pStyle w:val="a11"/>
              <w:rPr>
                <w:rFonts w:hint="eastAsia"/>
              </w:rPr>
            </w:pPr>
            <w:r>
              <w:rPr>
                <w:rFonts w:hint="eastAsia"/>
              </w:rPr>
              <w:t>64/84</w:t>
            </w:r>
          </w:p>
        </w:tc>
        <w:tc>
          <w:tcPr>
            <w:tcW w:w="478" w:type="pct"/>
            <w:noWrap/>
            <w:vAlign w:val="center"/>
          </w:tcPr>
          <w:p>
            <w:pPr>
              <w:pStyle w:val="a11"/>
              <w:rPr>
                <w:rFonts w:hint="eastAsia"/>
              </w:rPr>
            </w:pPr>
            <w:r>
              <w:rPr>
                <w:rFonts w:hint="eastAsia"/>
              </w:rPr>
              <w:t>23/30</w:t>
            </w:r>
          </w:p>
        </w:tc>
        <w:tc>
          <w:tcPr>
            <w:tcW w:w="478" w:type="pct"/>
            <w:noWrap/>
            <w:vAlign w:val="center"/>
          </w:tcPr>
          <w:p>
            <w:pPr>
              <w:pStyle w:val="a11"/>
              <w:rPr>
                <w:rFonts w:hint="eastAsia"/>
              </w:rPr>
            </w:pPr>
            <w:r>
              <w:rPr>
                <w:rFonts w:hint="eastAsia"/>
              </w:rPr>
              <w:t>4/6</w:t>
            </w:r>
          </w:p>
        </w:tc>
        <w:tc>
          <w:tcPr>
            <w:tcW w:w="826" w:type="pct"/>
            <w:noWrap/>
            <w:vAlign w:val="center"/>
          </w:tcPr>
          <w:p>
            <w:pPr>
              <w:pStyle w:val="a11"/>
              <w:rPr>
                <w:rFonts w:hint="eastAsia"/>
              </w:rPr>
            </w:pPr>
            <w:r>
              <w:rPr>
                <w:rFonts w:hint="eastAsia"/>
              </w:rPr>
              <w:t>107/141</w:t>
            </w:r>
          </w:p>
        </w:tc>
      </w:tr>
    </w:tbl>
    <w:p>
      <w:pPr>
        <w:pStyle w:val="NormalIndent"/>
        <w:ind w:left="868" w:firstLine="0" w:firstLineChars="0"/>
        <w:rPr>
          <w:rFonts w:hint="eastAsia"/>
          <w:color w:val="984806"/>
        </w:rPr>
      </w:pPr>
    </w:p>
    <w:p>
      <w:pPr>
        <w:pStyle w:val="NormalIndent"/>
        <w:ind w:left="868" w:firstLine="0" w:firstLineChars="0"/>
        <w:rPr>
          <w:rFonts w:hint="eastAsia"/>
          <w:color w:val="984806"/>
        </w:rPr>
      </w:pPr>
    </w:p>
    <w:p>
      <w:pPr>
        <w:pStyle w:val="NormalIndent"/>
        <w:ind w:left="868" w:firstLine="0" w:firstLineChars="0"/>
        <w:rPr>
          <w:rFonts w:hint="eastAsia"/>
          <w:color w:val="984806"/>
        </w:rPr>
        <w:sectPr>
          <w:headerReference w:type="default" r:id="rId19"/>
          <w:footerReference w:type="even" r:id="rId20"/>
          <w:footerReference w:type="default" r:id="rId21"/>
          <w:type w:val="nextPage"/>
          <w:pgSz w:w="11907" w:h="16840"/>
          <w:pgMar w:top="1418" w:right="1701" w:bottom="1559" w:left="1701" w:header="902" w:footer="907" w:gutter="0"/>
          <w:pgNumType w:start="4"/>
          <w:cols w:space="708"/>
          <w:titlePg w:val="0"/>
          <w:docGrid w:type="linesAndChars" w:linePitch="433" w:charSpace="-3315"/>
        </w:sectPr>
      </w:pPr>
    </w:p>
    <w:p>
      <w:pPr>
        <w:pStyle w:val="Heading1"/>
        <w:ind w:left="0"/>
      </w:pPr>
      <w:bookmarkStart w:id="31" w:name="_Toc389816531"/>
      <w:bookmarkStart w:id="32" w:name="_Ref286073612"/>
      <w:r>
        <w:t>环境质量现状</w:t>
      </w:r>
      <w:bookmarkEnd w:id="31"/>
      <w:bookmarkEnd w:id="32"/>
    </w:p>
    <w:p>
      <w:pPr>
        <w:pStyle w:val="Heading2"/>
        <w:spacing w:before="216" w:after="216"/>
        <w:ind w:left="0"/>
      </w:pPr>
      <w:bookmarkStart w:id="33" w:name="_Toc389816532"/>
      <w:bookmarkStart w:id="34" w:name="_Toc178429294"/>
      <w:bookmarkStart w:id="35" w:name="_Toc245548095"/>
      <w:bookmarkStart w:id="36" w:name="_Toc246018188"/>
      <w:bookmarkStart w:id="37" w:name="_Toc246018187"/>
      <w:bookmarkStart w:id="38" w:name="_Toc178429293"/>
      <w:bookmarkStart w:id="39" w:name="_Toc246176823"/>
      <w:bookmarkStart w:id="40" w:name="_Toc173592442"/>
      <w:bookmarkStart w:id="41" w:name="_Toc246176824"/>
      <w:bookmarkStart w:id="42" w:name="_Toc245548094"/>
      <w:r>
        <w:t>水环境质量现状评价</w:t>
      </w:r>
      <w:bookmarkEnd w:id="33"/>
    </w:p>
    <w:p>
      <w:pPr>
        <w:pStyle w:val="NormalIndent"/>
        <w:rPr>
          <w:rFonts w:hint="eastAsia"/>
        </w:rPr>
      </w:pPr>
      <w:r>
        <w:rPr>
          <w:rFonts w:hint="eastAsia"/>
        </w:rPr>
        <w:t>项目所在地区域附水域</w:t>
      </w:r>
      <w:r>
        <w:rPr>
          <w:rFonts w:hint="eastAsia"/>
          <w:szCs w:val="21"/>
        </w:rPr>
        <w:t>半江庙</w:t>
      </w:r>
      <w:r>
        <w:rPr>
          <w:rFonts w:hint="eastAsia"/>
        </w:rPr>
        <w:t>断面水质不能满足</w:t>
      </w:r>
      <w:r>
        <w:t>《地表水环境质量标准》（GB3838-2002）中III类功能区要求</w:t>
      </w:r>
      <w:r>
        <w:rPr>
          <w:rFonts w:hint="eastAsia"/>
        </w:rPr>
        <w:t>。主要超标因子为石油类，分析超标原因主要为</w:t>
      </w:r>
      <w:r>
        <w:rPr>
          <w:rFonts w:ascii="宋体" w:hAnsi="宋体" w:hint="eastAsia"/>
        </w:rPr>
        <w:t>周边道路路面径流水以及机动船舶等污染所致</w:t>
      </w:r>
      <w:r>
        <w:t>。</w:t>
      </w:r>
    </w:p>
    <w:p>
      <w:pPr>
        <w:pStyle w:val="Heading2"/>
        <w:spacing w:before="216" w:after="216"/>
        <w:ind w:left="0"/>
      </w:pPr>
      <w:bookmarkStart w:id="43" w:name="_Toc389816533"/>
      <w:bookmarkStart w:id="44" w:name="_Toc243106919"/>
      <w:bookmarkStart w:id="45" w:name="_Toc233348405"/>
      <w:bookmarkStart w:id="46" w:name="_Toc238900053"/>
      <w:bookmarkStart w:id="47" w:name="_Toc246018197"/>
      <w:bookmarkStart w:id="48" w:name="_Toc246176833"/>
      <w:bookmarkEnd w:id="34"/>
      <w:bookmarkEnd w:id="35"/>
      <w:bookmarkEnd w:id="36"/>
      <w:bookmarkEnd w:id="37"/>
      <w:bookmarkEnd w:id="38"/>
      <w:bookmarkEnd w:id="39"/>
      <w:bookmarkEnd w:id="40"/>
      <w:bookmarkEnd w:id="41"/>
      <w:bookmarkEnd w:id="42"/>
      <w:r>
        <w:t>环境空气质量现状评价</w:t>
      </w:r>
      <w:bookmarkEnd w:id="43"/>
    </w:p>
    <w:p>
      <w:pPr>
        <w:pStyle w:val="NormalIndent"/>
        <w:rPr>
          <w:rFonts w:hint="eastAsia"/>
        </w:rPr>
      </w:pPr>
      <w:r>
        <w:t>由监测和评价结果可知，本项目周围环境空气质量较好，各监测点SO</w:t>
      </w:r>
      <w:r>
        <w:rPr>
          <w:vertAlign w:val="subscript"/>
        </w:rPr>
        <w:t>2</w:t>
      </w:r>
      <w:r>
        <w:t>、NO</w:t>
      </w:r>
      <w:r>
        <w:rPr>
          <w:vertAlign w:val="subscript"/>
        </w:rPr>
        <w:t>2</w:t>
      </w:r>
      <w:r>
        <w:t>、</w:t>
      </w:r>
      <w:r>
        <w:rPr>
          <w:rFonts w:hint="eastAsia"/>
        </w:rPr>
        <w:t>PM</w:t>
      </w:r>
      <w:r>
        <w:rPr>
          <w:rFonts w:hint="eastAsia"/>
          <w:vertAlign w:val="subscript"/>
        </w:rPr>
        <w:t>10</w:t>
      </w:r>
      <w:r>
        <w:t>浓度均较小，能满足《环境空气质量标准》（GB3095-</w:t>
      </w:r>
      <w:r>
        <w:rPr>
          <w:rFonts w:hint="eastAsia"/>
        </w:rPr>
        <w:t>2012</w:t>
      </w:r>
      <w:r>
        <w:t>）中二级标准要求。</w:t>
      </w:r>
    </w:p>
    <w:p>
      <w:pPr>
        <w:pStyle w:val="Heading2"/>
        <w:spacing w:before="216" w:after="216"/>
        <w:ind w:left="0"/>
      </w:pPr>
      <w:bookmarkStart w:id="49" w:name="_Toc389816534"/>
      <w:bookmarkStart w:id="50" w:name="_Toc243106926"/>
      <w:bookmarkEnd w:id="44"/>
      <w:bookmarkEnd w:id="45"/>
      <w:bookmarkEnd w:id="46"/>
      <w:bookmarkEnd w:id="47"/>
      <w:bookmarkEnd w:id="48"/>
      <w:r>
        <w:t>声环境质量现状评价</w:t>
      </w:r>
      <w:bookmarkEnd w:id="49"/>
    </w:p>
    <w:p>
      <w:pPr>
        <w:pStyle w:val="NormalIndent"/>
        <w:rPr>
          <w:rFonts w:hint="eastAsia"/>
        </w:rPr>
      </w:pPr>
      <w:bookmarkStart w:id="51" w:name="_Ref292705703"/>
      <w:bookmarkEnd w:id="50"/>
      <w:r>
        <w:rPr>
          <w:rFonts w:hint="eastAsia"/>
        </w:rPr>
        <w:t>根据监测结果，</w:t>
      </w:r>
      <w:r>
        <w:t>工程沿线</w:t>
      </w:r>
      <w:r>
        <w:rPr>
          <w:rFonts w:hint="eastAsia"/>
        </w:rPr>
        <w:t>各监测点</w:t>
      </w:r>
      <w:r>
        <w:t>位</w:t>
      </w:r>
      <w:r>
        <w:rPr>
          <w:rFonts w:hint="eastAsia"/>
        </w:rPr>
        <w:t>本底噪声均</w:t>
      </w:r>
      <w:r>
        <w:t>能满足《声环境质量标准》（GB3096-2008）中</w:t>
      </w:r>
      <w:r>
        <w:rPr>
          <w:rFonts w:hint="eastAsia"/>
        </w:rPr>
        <w:t>相应功能区</w:t>
      </w:r>
      <w:r>
        <w:t>标准要求。</w:t>
      </w:r>
    </w:p>
    <w:p>
      <w:pPr>
        <w:pStyle w:val="Heading2"/>
        <w:spacing w:before="216" w:after="216"/>
        <w:ind w:left="0"/>
        <w:rPr>
          <w:rFonts w:hint="eastAsia"/>
        </w:rPr>
      </w:pPr>
      <w:bookmarkStart w:id="52" w:name="_Toc389816535"/>
      <w:r>
        <w:rPr>
          <w:rFonts w:hint="eastAsia"/>
        </w:rPr>
        <w:t>生态环境质量现状</w:t>
      </w:r>
      <w:bookmarkEnd w:id="52"/>
    </w:p>
    <w:p>
      <w:pPr>
        <w:pStyle w:val="NormalIndent"/>
        <w:rPr>
          <w:rFonts w:hint="eastAsia"/>
        </w:rPr>
      </w:pPr>
      <w:r>
        <w:rPr>
          <w:rFonts w:hint="eastAsia"/>
        </w:rPr>
        <w:t>根据对道路沿线地区的实地踏勘和调查分析，道路沿线现状以耕地为主。</w:t>
      </w:r>
    </w:p>
    <w:p>
      <w:pPr>
        <w:pStyle w:val="NormalIndent"/>
      </w:pPr>
    </w:p>
    <w:p>
      <w:pPr>
        <w:pStyle w:val="NormalIndent"/>
        <w:ind w:firstLine="0" w:firstLineChars="0"/>
        <w:sectPr>
          <w:headerReference w:type="default" r:id="rId22"/>
          <w:footerReference w:type="even" r:id="rId23"/>
          <w:footerReference w:type="default" r:id="rId24"/>
          <w:type w:val="nextPage"/>
          <w:pgSz w:w="11907" w:h="16840"/>
          <w:pgMar w:top="1418" w:right="1701" w:bottom="1559" w:left="1701" w:header="902" w:footer="907" w:gutter="0"/>
          <w:pgNumType w:start="5"/>
          <w:cols w:space="708"/>
          <w:titlePg w:val="0"/>
          <w:docGrid w:type="linesAndChars" w:linePitch="433" w:charSpace="-3315"/>
        </w:sectPr>
      </w:pPr>
    </w:p>
    <w:p>
      <w:pPr>
        <w:pStyle w:val="Heading1"/>
        <w:ind w:left="0"/>
      </w:pPr>
      <w:bookmarkStart w:id="53" w:name="_Toc389816536"/>
      <w:r>
        <w:t>环境影响</w:t>
      </w:r>
      <w:bookmarkEnd w:id="51"/>
      <w:r>
        <w:rPr>
          <w:rFonts w:hint="eastAsia"/>
        </w:rPr>
        <w:t>分析</w:t>
      </w:r>
      <w:bookmarkEnd w:id="53"/>
    </w:p>
    <w:p>
      <w:pPr>
        <w:pStyle w:val="Heading2"/>
        <w:spacing w:before="216" w:after="216"/>
        <w:ind w:left="0"/>
        <w:rPr>
          <w:rFonts w:hint="eastAsia"/>
        </w:rPr>
      </w:pPr>
      <w:bookmarkStart w:id="54" w:name="_Toc389816537"/>
      <w:r>
        <w:rPr>
          <w:rFonts w:hint="eastAsia"/>
        </w:rPr>
        <w:t>建设期环境影响分析</w:t>
      </w:r>
      <w:bookmarkEnd w:id="54"/>
    </w:p>
    <w:p>
      <w:pPr>
        <w:pStyle w:val="10"/>
        <w:numPr>
          <w:ilvl w:val="0"/>
          <w:numId w:val="35"/>
        </w:numPr>
        <w:tabs>
          <w:tab w:val="left" w:pos="896"/>
        </w:tabs>
      </w:pPr>
      <w:r>
        <w:rPr>
          <w:rFonts w:hint="eastAsia"/>
        </w:rPr>
        <w:t>建设期</w:t>
      </w:r>
      <w:r>
        <w:t>生态环境影响</w:t>
      </w:r>
      <w:r>
        <w:rPr>
          <w:rFonts w:hint="eastAsia"/>
        </w:rPr>
        <w:t>分析</w:t>
      </w:r>
    </w:p>
    <w:p>
      <w:pPr>
        <w:pStyle w:val="NormalIndent"/>
        <w:rPr>
          <w:rFonts w:hint="eastAsia"/>
        </w:rPr>
      </w:pPr>
      <w:r>
        <w:t>在建设期对水生生物和陆生生物产生一定的影响。</w:t>
      </w:r>
      <w:r>
        <w:rPr>
          <w:rFonts w:hint="eastAsia"/>
          <w:kern w:val="2"/>
        </w:rPr>
        <w:t>施工作业产生的扬尘一定程度上影响工程沿线绿化植被和农作物。</w:t>
      </w:r>
      <w:r>
        <w:rPr>
          <w:rFonts w:hint="eastAsia"/>
        </w:rPr>
        <w:t>施工活动车辆和人群往来所带来的各种噪声，对生活在周围地区的动物会产生不利影响。建设期间的水土流失会</w:t>
      </w:r>
      <w:r>
        <w:t>使道路影响区内的河流水系浑浊度上升，污染物含量增加，水质下降，对水生</w:t>
      </w:r>
      <w:r>
        <w:rPr>
          <w:rFonts w:hint="eastAsia"/>
        </w:rPr>
        <w:t>生物</w:t>
      </w:r>
      <w:r>
        <w:t>产生不利影响。</w:t>
      </w:r>
    </w:p>
    <w:p>
      <w:pPr>
        <w:pStyle w:val="10"/>
        <w:numPr>
          <w:ilvl w:val="0"/>
          <w:numId w:val="14"/>
        </w:numPr>
        <w:tabs>
          <w:tab w:val="left" w:pos="896"/>
        </w:tabs>
      </w:pPr>
      <w:r>
        <w:t>建设期声环境影响</w:t>
      </w:r>
      <w:r>
        <w:rPr>
          <w:rFonts w:hint="eastAsia"/>
        </w:rPr>
        <w:t>分析</w:t>
      </w:r>
    </w:p>
    <w:p>
      <w:pPr>
        <w:pStyle w:val="NormalIndent"/>
      </w:pPr>
      <w:r>
        <w:t>根据噪声衰减预测分析，昼间机械设备作业噪声的影响距离基本在50m范围内，而夜间机械设备作业噪声的影响距离较远，一般情况下在</w:t>
      </w:r>
      <w:r>
        <w:rPr>
          <w:rFonts w:hint="eastAsia"/>
        </w:rPr>
        <w:t>20</w:t>
      </w:r>
      <w:r>
        <w:t>0m范围内。</w:t>
      </w:r>
    </w:p>
    <w:p>
      <w:pPr>
        <w:pStyle w:val="NormalIndent"/>
        <w:rPr>
          <w:rFonts w:ascii="宋体" w:hAnsi="Calibri" w:cs="宋体" w:hint="eastAsia"/>
          <w:szCs w:val="24"/>
        </w:rPr>
      </w:pPr>
      <w:r>
        <w:rPr>
          <w:rFonts w:hint="eastAsia"/>
        </w:rPr>
        <w:t>根据调查，项目建设主要作为</w:t>
      </w:r>
      <w:r>
        <w:rPr>
          <w:szCs w:val="24"/>
        </w:rPr>
        <w:t>绍兴市立医院</w:t>
      </w:r>
      <w:r>
        <w:rPr>
          <w:rFonts w:hint="eastAsia"/>
          <w:szCs w:val="24"/>
        </w:rPr>
        <w:t>配套道路建设，因此</w:t>
      </w:r>
      <w:r>
        <w:rPr>
          <w:rFonts w:hint="eastAsia"/>
        </w:rPr>
        <w:t>与</w:t>
      </w:r>
      <w:r>
        <w:rPr>
          <w:szCs w:val="24"/>
        </w:rPr>
        <w:t>绍兴市立医院</w:t>
      </w:r>
      <w:r>
        <w:rPr>
          <w:rFonts w:hint="eastAsia"/>
        </w:rPr>
        <w:t>一期工程约同时竣工，因此在施工期间对</w:t>
      </w:r>
      <w:r>
        <w:rPr>
          <w:szCs w:val="24"/>
        </w:rPr>
        <w:t>绍兴市立医院</w:t>
      </w:r>
      <w:r>
        <w:rPr>
          <w:rFonts w:hint="eastAsia"/>
          <w:szCs w:val="24"/>
        </w:rPr>
        <w:t>基本无影响，</w:t>
      </w:r>
      <w:r>
        <w:rPr>
          <w:rFonts w:hint="eastAsia"/>
        </w:rPr>
        <w:t>道路施工期间施工噪声会对建设路段西面</w:t>
      </w:r>
      <w:r>
        <w:rPr>
          <w:rFonts w:hint="eastAsia"/>
          <w:color w:val="000000"/>
        </w:rPr>
        <w:t>邹家葑村、劳家葑村</w:t>
      </w:r>
      <w:r>
        <w:rPr>
          <w:rFonts w:hint="eastAsia"/>
        </w:rPr>
        <w:t>造成一定影响，特别是在夜间，</w:t>
      </w:r>
      <w:r>
        <w:t>施工中，应设置临时隔声围栏</w:t>
      </w:r>
      <w:r>
        <w:rPr>
          <w:rFonts w:hint="eastAsia"/>
        </w:rPr>
        <w:t>，</w:t>
      </w:r>
      <w:r>
        <w:rPr>
          <w:kern w:val="2"/>
        </w:rPr>
        <w:t>原则上夜间应禁止施工，如确因工程需要在夜间施工的，施工单位应报当地环保管理部门，办理夜间施工许可证后方可施工，并应告示附近民众。</w:t>
      </w:r>
      <w:r>
        <w:rPr>
          <w:rFonts w:hint="eastAsia"/>
          <w:kern w:val="2"/>
        </w:rPr>
        <w:t>工程</w:t>
      </w:r>
      <w:r>
        <w:rPr>
          <w:rFonts w:ascii="宋体" w:hAnsi="Calibri" w:cs="宋体" w:hint="eastAsia"/>
          <w:szCs w:val="24"/>
        </w:rPr>
        <w:t>采取环评提出的措施后噪声影响可得到减缓，施工期结束后，项目对周围环境的施工噪声影响将消除。</w:t>
      </w:r>
    </w:p>
    <w:p>
      <w:pPr>
        <w:pStyle w:val="10"/>
        <w:numPr>
          <w:ilvl w:val="0"/>
          <w:numId w:val="14"/>
        </w:numPr>
        <w:tabs>
          <w:tab w:val="left" w:pos="896"/>
        </w:tabs>
        <w:ind w:left="1" w:firstLine="425"/>
        <w:rPr>
          <w:rFonts w:hint="eastAsia"/>
        </w:rPr>
      </w:pPr>
      <w:r>
        <w:t>建设期环境空气影响评</w:t>
      </w:r>
      <w:r>
        <w:rPr>
          <w:rFonts w:hint="eastAsia"/>
        </w:rPr>
        <w:t>分析</w:t>
      </w:r>
    </w:p>
    <w:p>
      <w:pPr>
        <w:pStyle w:val="NormalIndent"/>
        <w:rPr>
          <w:rFonts w:hint="eastAsia"/>
        </w:rPr>
      </w:pPr>
      <w:r>
        <w:t>施工工地的扬尘主要有</w:t>
      </w:r>
      <w:r>
        <w:rPr>
          <w:rFonts w:cs="Arial" w:hint="eastAsia"/>
        </w:rPr>
        <w:t>施工路面及堆场</w:t>
      </w:r>
      <w:r>
        <w:rPr>
          <w:rFonts w:cs="Arial"/>
        </w:rPr>
        <w:t>扬尘</w:t>
      </w:r>
      <w:r>
        <w:rPr>
          <w:rFonts w:cs="Arial" w:hint="eastAsia"/>
        </w:rPr>
        <w:t>、</w:t>
      </w:r>
      <w:r>
        <w:t>车辆行驶扬尘、</w:t>
      </w:r>
      <w:r>
        <w:rPr>
          <w:rFonts w:hint="eastAsia"/>
        </w:rPr>
        <w:t>沥青烟气、</w:t>
      </w:r>
      <w:r>
        <w:t>车辆尾气等</w:t>
      </w:r>
      <w:r>
        <w:rPr>
          <w:rFonts w:hint="eastAsia"/>
        </w:rPr>
        <w:t>。</w:t>
      </w:r>
    </w:p>
    <w:p>
      <w:pPr>
        <w:pStyle w:val="NormalIndent"/>
        <w:rPr>
          <w:rFonts w:ascii="宋体" w:hAnsi="Calibri" w:cs="宋体" w:hint="eastAsia"/>
          <w:szCs w:val="24"/>
        </w:rPr>
      </w:pPr>
      <w:r>
        <w:t>本工程所在地区风速相对较小，只有在大风及干燥天气施工，施工现场及下风向将有较多的NO</w:t>
      </w:r>
      <w:r>
        <w:rPr>
          <w:vertAlign w:val="subscript"/>
        </w:rPr>
        <w:t>x</w:t>
      </w:r>
      <w:r>
        <w:t>、CO和烃类物质影响存在，因项目施工时间较短，施工期汽车产生的NO</w:t>
      </w:r>
      <w:r>
        <w:rPr>
          <w:vertAlign w:val="subscript"/>
        </w:rPr>
        <w:t>x</w:t>
      </w:r>
      <w:r>
        <w:t>、CO和烃类物质对周围环境及敏感点影响较小。</w:t>
      </w:r>
      <w:r>
        <w:rPr>
          <w:rFonts w:ascii="宋体" w:hAnsi="Calibri" w:hint="eastAsia"/>
          <w:szCs w:val="24"/>
        </w:rPr>
        <w:t>工程路面采用沥青混凝土路面，</w:t>
      </w:r>
      <w:r>
        <w:rPr>
          <w:rFonts w:cs="Arial"/>
          <w:spacing w:val="10"/>
        </w:rPr>
        <w:t>施工过程不涉及沥青熬炼、搅拌过</w:t>
      </w:r>
      <w:r>
        <w:t>程，故沥青烟浓度较低</w:t>
      </w:r>
      <w:r>
        <w:rPr>
          <w:rFonts w:hint="eastAsia"/>
        </w:rPr>
        <w:t>，工程沥青路面铺筑时所产生的烟气，其污染影响距离一般在</w:t>
      </w:r>
      <w:r>
        <w:t>50m</w:t>
      </w:r>
      <w:r>
        <w:rPr>
          <w:rFonts w:hint="eastAsia"/>
        </w:rPr>
        <w:t>以内，而项目距离主要影响敏感点</w:t>
      </w:r>
      <w:r>
        <w:rPr>
          <w:rFonts w:hint="eastAsia"/>
          <w:color w:val="000000"/>
          <w:szCs w:val="21"/>
        </w:rPr>
        <w:t>邹家葑村及劳家葑村距离分别为154m及164m，距离较远，</w:t>
      </w:r>
      <w:r>
        <w:rPr>
          <w:rFonts w:ascii="宋体" w:hAnsi="Calibri" w:hint="eastAsia"/>
          <w:szCs w:val="24"/>
        </w:rPr>
        <w:t>因此烟气对其不会产生影响</w:t>
      </w:r>
      <w:r>
        <w:rPr>
          <w:rFonts w:hint="eastAsia"/>
        </w:rPr>
        <w:t>。</w:t>
      </w:r>
    </w:p>
    <w:p>
      <w:pPr>
        <w:pStyle w:val="10"/>
        <w:numPr>
          <w:ilvl w:val="0"/>
          <w:numId w:val="14"/>
        </w:numPr>
        <w:tabs>
          <w:tab w:val="left" w:pos="896"/>
        </w:tabs>
        <w:ind w:left="1" w:firstLine="425"/>
        <w:sectPr>
          <w:headerReference w:type="default" r:id="rId25"/>
          <w:footerReference w:type="even" r:id="rId26"/>
          <w:footerReference w:type="default" r:id="rId27"/>
          <w:pgSz w:w="11907" w:h="16840"/>
          <w:pgMar w:top="1418" w:right="1701" w:bottom="1559" w:left="1701" w:header="902" w:footer="907" w:gutter="0"/>
          <w:pgNumType w:start="6"/>
          <w:cols w:space="708"/>
          <w:docGrid w:type="linesAndChars" w:linePitch="433" w:charSpace="-3315"/>
        </w:sectPr>
      </w:pPr>
      <w:r>
        <w:t>建设期水环境影响</w:t>
      </w:r>
      <w:r>
        <w:rPr>
          <w:rFonts w:hint="eastAsia"/>
        </w:rPr>
        <w:t>分析</w:t>
      </w:r>
    </w:p>
    <w:p>
      <w:pPr>
        <w:pStyle w:val="NormalIndent"/>
        <w:rPr>
          <w:rFonts w:hint="eastAsia"/>
        </w:rPr>
      </w:pPr>
      <w:r>
        <w:t>建设期对水体的影响因素主要有施工人员生活污水和施工现场施工物料流失对水体的影响。</w:t>
      </w:r>
      <w:r>
        <w:rPr>
          <w:rFonts w:hAnsi="宋体"/>
        </w:rPr>
        <w:t>项目建设时，应设置临时化粪池和隔油池，粪便污水经化粪池处理、食堂油污水经过隔油池处理后与环卫部门联系，进行定期清运</w:t>
      </w:r>
      <w:r>
        <w:rPr>
          <w:rFonts w:hAnsi="宋体" w:hint="eastAsia"/>
        </w:rPr>
        <w:t>。</w:t>
      </w:r>
      <w:r>
        <w:rPr>
          <w:rFonts w:hint="eastAsia"/>
        </w:rPr>
        <w:t>施工生产废水不直接排入水体，设置专门排水通道、临时沉淀池沉淀，使排水通畅，尽量节约用水、重复利用，</w:t>
      </w:r>
      <w:r>
        <w:t>产生的泥浆废水</w:t>
      </w:r>
      <w:r>
        <w:rPr>
          <w:rFonts w:hint="eastAsia"/>
        </w:rPr>
        <w:t>由</w:t>
      </w:r>
      <w:r>
        <w:rPr>
          <w:rFonts w:hint="eastAsia"/>
          <w:kern w:val="2"/>
        </w:rPr>
        <w:t>资质单位根据</w:t>
      </w:r>
      <w:r>
        <w:t>《绍兴市区建筑泥浆处置管理暂行办法》（绍政</w:t>
      </w:r>
      <w:r>
        <w:rPr>
          <w:rFonts w:hint="eastAsia"/>
        </w:rPr>
        <w:t>办</w:t>
      </w:r>
      <w:r>
        <w:t>发[201</w:t>
      </w:r>
      <w:r>
        <w:rPr>
          <w:rFonts w:hint="eastAsia"/>
        </w:rPr>
        <w:t>2</w:t>
      </w:r>
      <w:r>
        <w:t>]</w:t>
      </w:r>
      <w:r>
        <w:rPr>
          <w:rFonts w:hint="eastAsia"/>
        </w:rPr>
        <w:t>98</w:t>
      </w:r>
      <w:r>
        <w:t>号）</w:t>
      </w:r>
      <w:r>
        <w:rPr>
          <w:rFonts w:hint="eastAsia"/>
        </w:rPr>
        <w:t>处置，含泥沙的废水沉淀后回用，杜绝泥浆废水进入水体</w:t>
      </w:r>
      <w:r>
        <w:t>。</w:t>
      </w:r>
      <w:r>
        <w:rPr>
          <w:rFonts w:hint="eastAsia"/>
        </w:rPr>
        <w:t>因此项目施工废水对周围水环境影响较小。</w:t>
      </w:r>
    </w:p>
    <w:p>
      <w:pPr>
        <w:pStyle w:val="10"/>
        <w:numPr>
          <w:ilvl w:val="0"/>
          <w:numId w:val="14"/>
        </w:numPr>
        <w:tabs>
          <w:tab w:val="left" w:pos="896"/>
        </w:tabs>
        <w:ind w:left="1" w:firstLine="425"/>
      </w:pPr>
      <w:r>
        <w:t>建设期固体废物影响</w:t>
      </w:r>
      <w:r>
        <w:rPr>
          <w:rFonts w:hint="eastAsia"/>
        </w:rPr>
        <w:t>分析</w:t>
      </w:r>
    </w:p>
    <w:p>
      <w:pPr>
        <w:pStyle w:val="NormalIndent"/>
        <w:rPr>
          <w:rFonts w:hint="eastAsia"/>
        </w:rPr>
      </w:pPr>
      <w:r>
        <w:t>本项目建设期产生的固体废物主要来源于：</w:t>
      </w:r>
    </w:p>
    <w:p>
      <w:pPr>
        <w:pStyle w:val="NormalIndent"/>
      </w:pPr>
      <w:r>
        <w:rPr>
          <w:rFonts w:hint="eastAsia"/>
        </w:rPr>
        <w:t>①</w:t>
      </w:r>
      <w:r>
        <w:rPr>
          <w:rFonts w:hint="eastAsia"/>
        </w:rPr>
        <w:t>施工场地临时堆放的土方。</w:t>
      </w:r>
      <w:r>
        <w:rPr>
          <w:rFonts w:hint="eastAsia"/>
        </w:rPr>
        <w:t>②</w:t>
      </w:r>
      <w:r>
        <w:t>筑路施工过程产生的弃方</w:t>
      </w:r>
      <w:r>
        <w:rPr>
          <w:rFonts w:hint="eastAsia"/>
          <w:snapToGrid w:val="0"/>
        </w:rPr>
        <w:t>。</w:t>
      </w:r>
      <w:r>
        <w:rPr>
          <w:rFonts w:ascii="宋体" w:hAnsi="宋体" w:cs="宋体" w:hint="eastAsia"/>
        </w:rPr>
        <w:t>③</w:t>
      </w:r>
      <w:r>
        <w:t>施工人员日常生活产生的生活垃圾</w:t>
      </w:r>
      <w:r>
        <w:rPr>
          <w:rFonts w:hint="eastAsia"/>
        </w:rPr>
        <w:t>。上述固废，特别是钻渣泥浆和土方</w:t>
      </w:r>
      <w:r>
        <w:t>若处置不当，遇到降水则会污染水体，造成大量水土流失</w:t>
      </w:r>
      <w:r>
        <w:rPr>
          <w:rFonts w:hint="eastAsia"/>
        </w:rPr>
        <w:t>，</w:t>
      </w:r>
      <w:r>
        <w:t>从而对农田、植被、水利工程及附近河流产生潜在危害。尤其是在梅雨和台风雨等雨量较密集的季节。</w:t>
      </w:r>
    </w:p>
    <w:p>
      <w:pPr>
        <w:pStyle w:val="10"/>
        <w:numPr>
          <w:ilvl w:val="0"/>
          <w:numId w:val="14"/>
        </w:numPr>
        <w:tabs>
          <w:tab w:val="left" w:pos="896"/>
        </w:tabs>
        <w:ind w:left="1" w:firstLine="425"/>
      </w:pPr>
      <w:r>
        <w:t>文物、景观影响</w:t>
      </w:r>
      <w:r>
        <w:rPr>
          <w:rFonts w:hint="eastAsia"/>
        </w:rPr>
        <w:t>分析</w:t>
      </w:r>
    </w:p>
    <w:p>
      <w:pPr>
        <w:pStyle w:val="NormalIndent"/>
        <w:rPr>
          <w:rFonts w:hint="eastAsia"/>
        </w:rPr>
      </w:pPr>
      <w:r>
        <w:t>项目建设期间，在地下挖掘施工中要注意文物保护，一旦发现有价值的文物如古钱币、陶瓷、青铜器等应停止挖掘保护好现场，及时报告文物管理部门，决不能使文物流失。</w:t>
      </w:r>
    </w:p>
    <w:p>
      <w:pPr>
        <w:pStyle w:val="NormalIndent"/>
      </w:pPr>
      <w:r>
        <w:rPr>
          <w:rFonts w:hint="eastAsia"/>
        </w:rPr>
        <w:t>工程路基填挖开挖及废弃渣料临时堆置等填挖作业将造成对局部植被和景观环境的影响，应及时采取一定的工程防治和植被恢复措施。</w:t>
      </w:r>
    </w:p>
    <w:p>
      <w:pPr>
        <w:pStyle w:val="10"/>
        <w:numPr>
          <w:ilvl w:val="0"/>
          <w:numId w:val="14"/>
        </w:numPr>
        <w:tabs>
          <w:tab w:val="left" w:pos="896"/>
        </w:tabs>
        <w:ind w:left="1" w:firstLine="425"/>
        <w:rPr>
          <w:rFonts w:hint="eastAsia"/>
        </w:rPr>
      </w:pPr>
      <w:r>
        <w:t>对交通及基础设施的影响</w:t>
      </w:r>
      <w:r>
        <w:rPr>
          <w:rFonts w:hint="eastAsia"/>
        </w:rPr>
        <w:t>分析</w:t>
      </w:r>
    </w:p>
    <w:p>
      <w:pPr>
        <w:pStyle w:val="10"/>
        <w:numPr>
          <w:ilvl w:val="0"/>
          <w:numId w:val="0"/>
        </w:numPr>
        <w:tabs>
          <w:tab w:val="left" w:pos="896"/>
        </w:tabs>
        <w:ind w:left="426"/>
        <w:rPr>
          <w:rFonts w:hint="eastAsia"/>
        </w:rPr>
      </w:pPr>
      <w:r>
        <w:rPr>
          <w:rFonts w:hint="eastAsia"/>
        </w:rPr>
        <w:t>本工程为新建，</w:t>
      </w:r>
      <w:r>
        <w:rPr>
          <w:rFonts w:hAnsi="宋体" w:cs="Arial"/>
        </w:rPr>
        <w:t>工程建设</w:t>
      </w:r>
      <w:r>
        <w:rPr>
          <w:rFonts w:hAnsi="宋体" w:cs="Arial" w:hint="eastAsia"/>
        </w:rPr>
        <w:t>不</w:t>
      </w:r>
      <w:r>
        <w:rPr>
          <w:rFonts w:hAnsi="宋体" w:cs="Arial"/>
        </w:rPr>
        <w:t>涉及公用设施的迁移，</w:t>
      </w:r>
      <w:r>
        <w:rPr>
          <w:rFonts w:hAnsi="宋体" w:cs="Arial" w:hint="eastAsia"/>
        </w:rPr>
        <w:t>但施工</w:t>
      </w:r>
      <w:r>
        <w:rPr>
          <w:rFonts w:hint="eastAsia"/>
        </w:rPr>
        <w:t>内容包括各类管线铺设，</w:t>
      </w:r>
    </w:p>
    <w:p>
      <w:pPr>
        <w:pStyle w:val="10"/>
        <w:numPr>
          <w:ilvl w:val="0"/>
          <w:numId w:val="0"/>
        </w:numPr>
        <w:tabs>
          <w:tab w:val="left" w:pos="896"/>
        </w:tabs>
        <w:rPr>
          <w:rFonts w:hint="eastAsia"/>
        </w:rPr>
      </w:pPr>
      <w:r>
        <w:rPr>
          <w:rFonts w:hint="eastAsia"/>
        </w:rPr>
        <w:t>项目铺设的排污、电力、通讯管线将使沿线居民受益，但在与周边道路管线衔接时需按规范实施，并与有关部门协调，共同做好这些公用设施的衔接与保护工作，尽量减少给沿线企事业单位和居民生活带来的不便。本工程道路西面与中兴南路相接，施工前必须先与相关部门确认中兴南路上各类管线的铺设位置及具体埋深，与各类管线主管部门讨论衔接处的施工方案，商量具体衔接方案和施工时间，并且应本着先修建替代设施，后拆除的方针，可有效减缓或消除由此带来的不良影响。</w:t>
      </w:r>
    </w:p>
    <w:p>
      <w:pPr>
        <w:pStyle w:val="NormalIndent"/>
        <w:rPr>
          <w:rFonts w:hint="eastAsia"/>
        </w:rPr>
        <w:sectPr>
          <w:headerReference w:type="default" r:id="rId28"/>
          <w:footerReference w:type="even" r:id="rId29"/>
          <w:footerReference w:type="default" r:id="rId30"/>
          <w:type w:val="nextPage"/>
          <w:pgSz w:w="11907" w:h="16840"/>
          <w:pgMar w:top="1418" w:right="1701" w:bottom="1559" w:left="1701" w:header="902" w:footer="907" w:gutter="0"/>
          <w:pgNumType w:start="7"/>
          <w:cols w:space="708"/>
          <w:titlePg w:val="0"/>
          <w:docGrid w:type="linesAndChars" w:linePitch="433" w:charSpace="-3315"/>
        </w:sectPr>
      </w:pPr>
    </w:p>
    <w:p>
      <w:pPr>
        <w:pStyle w:val="Heading2"/>
        <w:spacing w:before="216" w:after="216"/>
        <w:ind w:left="0"/>
        <w:rPr>
          <w:rFonts w:hint="eastAsia"/>
        </w:rPr>
      </w:pPr>
      <w:bookmarkStart w:id="55" w:name="_Toc389816538"/>
      <w:r>
        <w:rPr>
          <w:rFonts w:hint="eastAsia"/>
        </w:rPr>
        <w:t>营运期环境影响分析</w:t>
      </w:r>
      <w:bookmarkEnd w:id="55"/>
    </w:p>
    <w:p>
      <w:pPr>
        <w:pStyle w:val="Heading5"/>
        <w:numPr>
          <w:numId w:val="36"/>
        </w:numPr>
        <w:tabs>
          <w:tab w:val="clear" w:pos="896"/>
        </w:tabs>
        <w:spacing w:before="108" w:after="108"/>
        <w:ind w:left="170" w:firstLine="170"/>
      </w:pPr>
      <w:r>
        <w:t>生态环境现状调查及</w:t>
      </w:r>
      <w:r>
        <w:rPr>
          <w:rFonts w:hint="eastAsia"/>
        </w:rPr>
        <w:t>影响分析</w:t>
      </w:r>
    </w:p>
    <w:p>
      <w:pPr>
        <w:pStyle w:val="NormalIndent"/>
        <w:rPr>
          <w:rFonts w:hint="eastAsia"/>
        </w:rPr>
      </w:pPr>
      <w:r>
        <w:rPr>
          <w:rFonts w:hint="eastAsia"/>
        </w:rPr>
        <w:t>本工程建设区域的植物资源主要为人工植被，包括蔬菜和绿化植被，植被类型常见。工程对该区域的植物资源影响主要体现在工程占地和道路阻隔引起局部区域农作物和林地布局发生的变化。工程对土层以及土壤的改变导致供给能力的下降，造成植被间接破坏，使植物生产能力下降，植被覆盖率下降，生物多样性降低，从而导致其环境功能的下降。其影响主要体现在系统的总生物量的减少，但对周围区域的单位面积生物量无大的影响，对其功能与稳定性不会产生大的影响，不会引起植物物种的损失。因此工程应注意土地的恢复补偿工作，加强道路沿线的绿化措施，使其对于植物生境的影响降到最小程度。</w:t>
      </w:r>
      <w:r>
        <w:t>此外，汽车尾气中含有NO</w:t>
      </w:r>
      <w:r>
        <w:rPr>
          <w:rFonts w:hint="eastAsia"/>
          <w:vertAlign w:val="subscript"/>
        </w:rPr>
        <w:t>x</w:t>
      </w:r>
      <w:r>
        <w:t>、CO、TSP等，对植物会产生影响。</w:t>
      </w:r>
    </w:p>
    <w:p>
      <w:pPr>
        <w:pStyle w:val="Heading5"/>
        <w:numPr>
          <w:numId w:val="36"/>
        </w:numPr>
        <w:tabs>
          <w:tab w:val="clear" w:pos="896"/>
        </w:tabs>
        <w:spacing w:before="108" w:after="108"/>
        <w:ind w:left="170" w:firstLine="170"/>
      </w:pPr>
      <w:r>
        <w:t>景观影响</w:t>
      </w:r>
      <w:r>
        <w:rPr>
          <w:rFonts w:hint="eastAsia"/>
        </w:rPr>
        <w:t>分析</w:t>
      </w:r>
    </w:p>
    <w:p>
      <w:pPr>
        <w:pStyle w:val="NormalIndent"/>
        <w:rPr>
          <w:rFonts w:hint="eastAsia"/>
        </w:rPr>
      </w:pPr>
      <w:r>
        <w:rPr>
          <w:rFonts w:hint="eastAsia"/>
        </w:rPr>
        <w:t>工程现状为耕地为主</w:t>
      </w:r>
      <w:r>
        <w:t>，从景观上来说，较为单调和凌乱。项目</w:t>
      </w:r>
      <w:r>
        <w:rPr>
          <w:rFonts w:hint="eastAsia"/>
        </w:rPr>
        <w:t>建成后，道路两边行间树及大面积的绿化，</w:t>
      </w:r>
      <w:r>
        <w:t>该区域将变得较美观和整洁</w:t>
      </w:r>
      <w:r>
        <w:rPr>
          <w:rFonts w:hint="eastAsia"/>
        </w:rPr>
        <w:t>。</w:t>
      </w:r>
      <w:r>
        <w:t>从景观变化而言，项目的建设正面影响大于负面影响。</w:t>
      </w:r>
    </w:p>
    <w:p>
      <w:pPr>
        <w:pStyle w:val="Heading5"/>
        <w:numPr>
          <w:numId w:val="36"/>
        </w:numPr>
        <w:tabs>
          <w:tab w:val="clear" w:pos="896"/>
        </w:tabs>
        <w:spacing w:before="108" w:after="108"/>
        <w:ind w:left="170" w:firstLine="170"/>
      </w:pPr>
      <w:r>
        <w:t>营运期声环境影响</w:t>
      </w:r>
      <w:r>
        <w:rPr>
          <w:rFonts w:hint="eastAsia"/>
        </w:rPr>
        <w:t>分析</w:t>
      </w:r>
    </w:p>
    <w:p>
      <w:pPr>
        <w:pStyle w:val="NormalIndent"/>
        <w:rPr>
          <w:rFonts w:hint="eastAsia"/>
        </w:rPr>
      </w:pPr>
      <w:r>
        <w:rPr>
          <w:rFonts w:hint="eastAsia"/>
        </w:rPr>
        <w:t>本工程</w:t>
      </w:r>
      <w:r>
        <w:t>路</w:t>
      </w:r>
      <w:r>
        <w:rPr>
          <w:rFonts w:hint="eastAsia"/>
        </w:rPr>
        <w:t>沿线</w:t>
      </w:r>
      <w:r>
        <w:t>执行</w:t>
      </w:r>
      <w:r>
        <w:rPr>
          <w:rFonts w:hint="eastAsia"/>
        </w:rPr>
        <w:t>的声环境质量标准涉及2</w:t>
      </w:r>
      <w:r>
        <w:t>类</w:t>
      </w:r>
      <w:r>
        <w:rPr>
          <w:rFonts w:hint="eastAsia"/>
        </w:rPr>
        <w:t>、4a类</w:t>
      </w:r>
      <w:r>
        <w:t>。</w:t>
      </w:r>
      <w:r>
        <w:rPr>
          <w:rFonts w:hint="eastAsia"/>
        </w:rPr>
        <w:t>根据预测：</w:t>
      </w:r>
    </w:p>
    <w:p>
      <w:pPr>
        <w:pStyle w:val="10"/>
        <w:numPr>
          <w:numId w:val="16"/>
        </w:numPr>
        <w:ind w:left="0" w:firstLine="426"/>
        <w:rPr>
          <w:rFonts w:hint="eastAsia"/>
        </w:rPr>
      </w:pPr>
      <w:r>
        <w:t>对</w:t>
      </w:r>
      <w:r>
        <w:rPr>
          <w:rFonts w:hint="eastAsia"/>
        </w:rPr>
        <w:t>现状</w:t>
      </w:r>
      <w:r>
        <w:t>敏感点的预测</w:t>
      </w:r>
    </w:p>
    <w:p>
      <w:pPr>
        <w:pStyle w:val="NormalIndent"/>
        <w:rPr>
          <w:rFonts w:hint="eastAsia"/>
        </w:rPr>
      </w:pPr>
      <w:r>
        <w:rPr>
          <w:rFonts w:hint="eastAsia"/>
        </w:rPr>
        <w:t>本工程路段南北两侧200米范围内现状敏感点仅</w:t>
      </w:r>
      <w:r>
        <w:t>绍兴市立医院</w:t>
      </w:r>
      <w:r>
        <w:rPr>
          <w:rFonts w:hint="eastAsia"/>
        </w:rPr>
        <w:t>一期工程一处，目前正处在建设期，预期施工期1年，项目以中、远期噪声影响预测结果为依据，则建设路段通车时对</w:t>
      </w:r>
      <w:r>
        <w:t>绍兴市立医院</w:t>
      </w:r>
      <w:r>
        <w:rPr>
          <w:rFonts w:hint="eastAsia"/>
        </w:rPr>
        <w:t>一期建设工程门诊房及住院房声环境影响能满足2类标准要求，其次，由于工程建设至谢墅江即止，此处为断头，在向东方向与连接道路贯通前除进出</w:t>
      </w:r>
      <w:r>
        <w:t>绍兴市立医院</w:t>
      </w:r>
      <w:r>
        <w:rPr>
          <w:rFonts w:hint="eastAsia"/>
        </w:rPr>
        <w:t>少量车流外基本无驶入车辆，则单就本路段建成营运后对</w:t>
      </w:r>
      <w:r>
        <w:t>绍兴市立医院</w:t>
      </w:r>
      <w:r>
        <w:rPr>
          <w:rFonts w:hint="eastAsia"/>
        </w:rPr>
        <w:t>敏感点影响很小。</w:t>
      </w:r>
    </w:p>
    <w:p>
      <w:pPr>
        <w:pStyle w:val="10"/>
        <w:numPr>
          <w:numId w:val="16"/>
        </w:numPr>
        <w:ind w:left="1" w:firstLine="425"/>
        <w:rPr>
          <w:rFonts w:hint="eastAsia"/>
        </w:rPr>
      </w:pPr>
      <w:r>
        <w:t>对规划敏感点的预测</w:t>
      </w:r>
    </w:p>
    <w:p>
      <w:pPr>
        <w:pStyle w:val="NormalIndent"/>
        <w:rPr>
          <w:rFonts w:hint="eastAsia"/>
          <w:color w:val="000000"/>
        </w:rPr>
      </w:pPr>
      <w:r>
        <w:rPr>
          <w:rFonts w:hint="eastAsia"/>
          <w:color w:val="000000"/>
        </w:rPr>
        <w:t>根据绍兴市城市总体规划及现状调查，道路北侧规划为二类居住用地，南侧</w:t>
      </w:r>
      <w:r>
        <w:t>绍兴市立医院</w:t>
      </w:r>
      <w:r>
        <w:rPr>
          <w:rFonts w:hint="eastAsia"/>
        </w:rPr>
        <w:t>一期工程东面规划为</w:t>
      </w:r>
      <w:r>
        <w:t>绍兴市立医院</w:t>
      </w:r>
      <w:r>
        <w:rPr>
          <w:rFonts w:hint="eastAsia"/>
        </w:rPr>
        <w:t>二期工程预留用地</w:t>
      </w:r>
      <w:r>
        <w:rPr>
          <w:rFonts w:hint="eastAsia"/>
          <w:color w:val="000000"/>
        </w:rPr>
        <w:t>，以中期噪声影响预测结果为依据，2类达标距离至少为距道路红线32m，但规划沿街建筑退让本项目道路红线较难达到该距离。因此环评认为沿街</w:t>
      </w:r>
      <w:r>
        <w:rPr>
          <w:rFonts w:hint="eastAsia"/>
        </w:rPr>
        <w:t>超标范围内</w:t>
      </w:r>
      <w:r>
        <w:rPr>
          <w:rFonts w:hint="eastAsia"/>
          <w:color w:val="000000"/>
        </w:rPr>
        <w:br/>
      </w:r>
      <w:r>
        <w:rPr>
          <w:rFonts w:hint="eastAsia"/>
          <w:color w:val="000000"/>
        </w:rPr>
        <w:br/>
      </w:r>
    </w:p>
    <w:p>
      <w:pPr>
        <w:contextualSpacing w:val="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1" w:history="1">
        <w:r>
          <w:rPr>
            <w:rFonts w:ascii="SimSun" w:eastAsia="SimSun" w:hAnsi="SimSun" w:cs="SimSun"/>
            <w:b/>
            <w:bCs/>
            <w:color w:val="0000EE"/>
            <w:sz w:val="30"/>
            <w:szCs w:val="30"/>
            <w:u w:val="single" w:color="0000EE"/>
          </w:rPr>
          <w:t>https://d.book118.com/455131111242011041</w:t>
        </w:r>
      </w:hyperlink>
    </w:p>
    <w:p>
      <w:pPr>
        <w:pStyle w:val="NormalIndent"/>
        <w:rPr>
          <w:rFonts w:hint="eastAsia"/>
          <w:color w:val="000000"/>
        </w:rPr>
      </w:pPr>
    </w:p>
    <w:sectPr>
      <w:headerReference w:type="default" r:id="rId32"/>
      <w:footerReference w:type="even" r:id="rId33"/>
      <w:footerReference w:type="default" r:id="rId34"/>
      <w:type w:val="nextPage"/>
      <w:pgSz w:w="11907" w:h="16840"/>
      <w:pgMar w:top="1418" w:right="1701" w:bottom="1559" w:left="1701" w:header="902" w:footer="907" w:gutter="0"/>
      <w:pgNumType w:start="8"/>
      <w:cols w:space="708"/>
      <w:titlePg w:val="0"/>
      <w:docGrid w:type="linesAndChars" w:linePitch="433" w:charSpace="-3315"/>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3">
      <wne:acd wne:acdName="acd1"/>
    </wne:keymap>
    <wne:keymap wne:kcmPrimary="0441" wne:kcmSecondary="0031">
      <wne:acd wne:acdName="acd2"/>
    </wne:keymap>
    <wne:keymap wne:kcmPrimary="0441" wne:kcmSecondary="0032">
      <wne:acd wne:acdName="acd3"/>
    </wne:keymap>
    <wne:keymap wne:kcmPrimary="0631">
      <wne:acd wne:acdName="acd4"/>
    </wne:keymap>
  </wne:keymaps>
  <wne:toolbars>
    <wne:acdManifest>
      <wne:acdEntry wne:acdName="acd0"/>
      <wne:acdEntry wne:acdName="acd1"/>
      <wne:acdEntry wne:acdName="acd2"/>
      <wne:acdEntry wne:acdName="acd3"/>
      <wne:acdEntry wne:acdName="acd4"/>
    </wne:acdManifest>
  </wne:toolbars>
  <wne:acds>
    <wne:acd wne:argValue="AQAAABwA&#10;" wne:acdName="acd0" wne:fciIndexBasedOn="0065"/>
    <wne:acd wne:argValue="AQAAAAMA&#10;" wne:acdName="acd1" wne:fciIndexBasedOn="0065"/>
    <wne:acd wne:argValue="AgBja4dlFn/3UygAMQApAA==&#10;" wne:acdName="acd2" wne:fciIndexBasedOn="0065"/>
    <wne:acd wne:argValue="AgBoiDxoY2uHZRZ/91MI/zEACf8=&#10;" wne:acdName="acd3" wne:fciIndexBasedOn="0065"/>
    <wne:acd wne:argValue="AQAAAAEA&#10;" wne:acdName="acd4" wne:fciIndexBasedOn="0065"/>
  </wne:acds>
</wne:tcg>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华文新魏">
    <w:panose1 w:val="02010800040101010101"/>
    <w:charset w:val="86"/>
    <w:family w:val="auto"/>
    <w:pitch w:val="default"/>
    <w:sig w:usb0="00000001" w:usb1="080F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7FFAEFF" w:usb1="F9DFFFFF" w:usb2="0000007F" w:usb3="00000000" w:csb0="203F01FF" w:csb1="DFFF0000"/>
  </w:font>
  <w:font w:name="仿宋_GB2312">
    <w:altName w:val="仿宋"/>
    <w:panose1 w:val="02010609030101010101"/>
    <w:charset w:val="86"/>
    <w:family w:val="modern"/>
    <w:pitch w:val="default"/>
    <w:sig w:usb0="00000001" w:usb1="080E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left" w:pos="0"/>
        <w:tab w:val="center" w:pos="4153"/>
        <w:tab w:val="right" w:pos="850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672A"/>
    <w:multiLevelType w:val="multilevel"/>
    <w:tmpl w:val="03EA672A"/>
    <w:lvl w:ilvl="0">
      <w:start w:val="1"/>
      <w:numFmt w:val="decimal"/>
      <w:lvlText w:val="(%1)"/>
      <w:lvlJc w:val="center"/>
      <w:pPr>
        <w:ind w:left="0" w:firstLine="34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44A6233"/>
    <w:multiLevelType w:val="multilevel"/>
    <w:tmpl w:val="3A9E7FE2"/>
    <w:lvl w:ilvl="0">
      <w:start w:val="1"/>
      <w:numFmt w:val="decimal"/>
      <w:lvlText w:val="(%1)"/>
      <w:lvlJc w:val="left"/>
      <w:pPr>
        <w:ind w:left="425" w:firstLine="0"/>
      </w:pPr>
      <w:rPr>
        <w:rFonts w:ascii="Times New Roman" w:hAnsi="Times New Roman" w:hint="default"/>
        <w:b/>
        <w:i w:val="0"/>
        <w:color w:val="00000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2">
    <w:nsid w:val="053A43CF"/>
    <w:multiLevelType w:val="multilevel"/>
    <w:tmpl w:val="053A43CF"/>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3">
    <w:nsid w:val="0BD22A90"/>
    <w:multiLevelType w:val="multilevel"/>
    <w:tmpl w:val="0BD22A90"/>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4">
    <w:nsid w:val="0E73128D"/>
    <w:multiLevelType w:val="multilevel"/>
    <w:tmpl w:val="0E73128D"/>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5">
    <w:nsid w:val="0F4A3B2F"/>
    <w:multiLevelType w:val="multilevel"/>
    <w:tmpl w:val="0F4A3B2F"/>
    <w:lvl w:ilvl="0">
      <w:start w:val="1"/>
      <w:numFmt w:val="decimal"/>
      <w:lvlText w:val="%1、"/>
      <w:lvlJc w:val="left"/>
      <w:pPr>
        <w:ind w:left="0" w:firstLine="397"/>
      </w:pPr>
      <w:rPr>
        <w:rFonts w:ascii="Times New Roman" w:eastAsia="宋体" w:hAnsi="Times New Roman" w:hint="default"/>
        <w:b/>
        <w:i w:val="0"/>
        <w:sz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nsid w:val="105F4EF6"/>
    <w:multiLevelType w:val="multilevel"/>
    <w:tmpl w:val="105F4EF6"/>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7">
    <w:nsid w:val="148A32AC"/>
    <w:multiLevelType w:val="multilevel"/>
    <w:tmpl w:val="148A32AC"/>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8">
    <w:nsid w:val="15E40FEF"/>
    <w:multiLevelType w:val="multilevel"/>
    <w:tmpl w:val="15E40FEF"/>
    <w:lvl w:ilvl="0">
      <w:start w:val="1"/>
      <w:numFmt w:val="decimal"/>
      <w:lvlText w:val="(%1)"/>
      <w:lvlJc w:val="left"/>
      <w:pPr>
        <w:ind w:left="425" w:firstLine="0"/>
      </w:pPr>
      <w:rPr>
        <w:rFonts w:ascii="Times New Roman" w:hAnsi="Times New Roman" w:hint="default"/>
        <w:b/>
        <w:i w:val="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9">
    <w:nsid w:val="16502676"/>
    <w:multiLevelType w:val="multilevel"/>
    <w:tmpl w:val="16502676"/>
    <w:lvl w:ilvl="0">
      <w:start w:val="1"/>
      <w:numFmt w:val="decimal"/>
      <w:suff w:val="space"/>
      <w:lvlText w:val="第%1章"/>
      <w:lvlJc w:val="left"/>
      <w:pPr>
        <w:ind w:left="4501" w:firstLine="0"/>
      </w:pPr>
      <w:rPr>
        <w:rFonts w:ascii="Times New Roman" w:hAnsi="Times New Roman" w:cs="Times New Roman" w:hint="eastAsia"/>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1">
      <w:start w:val="1"/>
      <w:numFmt w:val="decimal"/>
      <w:suff w:val="space"/>
      <w:lvlText w:val="%1.%2    "/>
      <w:lvlJc w:val="left"/>
      <w:pPr>
        <w:ind w:left="1985" w:firstLine="0"/>
      </w:pPr>
      <w:rPr>
        <w:rFonts w:ascii="Times New Roman" w:eastAsia="宋体" w:hAnsi="Times New Roman" w:hint="default"/>
        <w:b/>
        <w:i w:val="0"/>
        <w:sz w:val="28"/>
      </w:rPr>
    </w:lvl>
    <w:lvl w:ilvl="2">
      <w:start w:val="1"/>
      <w:numFmt w:val="decimal"/>
      <w:lvlRestart w:val="1"/>
      <w:suff w:val="space"/>
      <w:lvlText w:val="%1.%2.%3       "/>
      <w:lvlJc w:val="left"/>
      <w:pPr>
        <w:ind w:left="0" w:firstLine="0"/>
      </w:pPr>
      <w:rPr>
        <w:rFonts w:ascii="Times New Roman" w:eastAsia="宋体" w:hAnsi="Times New Roman" w:hint="default"/>
        <w:b/>
        <w:i w:val="0"/>
        <w:sz w:val="24"/>
      </w:rPr>
    </w:lvl>
    <w:lvl w:ilvl="3">
      <w:start w:val="1"/>
      <w:numFmt w:val="decimal"/>
      <w:lvlRestart w:val="1"/>
      <w:suff w:val="space"/>
      <w:lvlText w:val="%1.%2.%3.%4       "/>
      <w:lvlJc w:val="left"/>
      <w:pPr>
        <w:ind w:left="0" w:firstLine="0"/>
      </w:pPr>
      <w:rPr>
        <w:rFonts w:ascii="Times New Roman" w:eastAsia="宋体" w:hAnsi="Times New Roman" w:cs="Arial" w:hint="default"/>
        <w:b/>
        <w:i w:val="0"/>
        <w:sz w:val="24"/>
        <w:szCs w:val="24"/>
      </w:rPr>
    </w:lvl>
    <w:lvl w:ilvl="4">
      <w:start w:val="1"/>
      <w:numFmt w:val="decimal"/>
      <w:lvlRestart w:val="1"/>
      <w:suff w:val="space"/>
      <w:lvlText w:val="%5、"/>
      <w:lvlJc w:val="left"/>
      <w:pPr>
        <w:ind w:left="1360" w:firstLine="0"/>
      </w:pPr>
      <w:rPr>
        <w:rFonts w:ascii="Times New Roman" w:eastAsia="宋体" w:hAnsi="Times New Roman" w:hint="default"/>
        <w:sz w:val="24"/>
      </w:rPr>
    </w:lvl>
    <w:lvl w:ilvl="5">
      <w:start w:val="1"/>
      <w:numFmt w:val="none"/>
      <w:suff w:val="space"/>
      <w:lvlJc w:val="left"/>
      <w:pPr>
        <w:ind w:left="1360" w:firstLine="0"/>
      </w:pPr>
      <w:rPr>
        <w:rFonts w:hint="eastAsia"/>
      </w:rPr>
    </w:lvl>
    <w:lvl w:ilvl="6">
      <w:start w:val="1"/>
      <w:numFmt w:val="decimal"/>
      <w:lvlText w:val="%1.%2.%3.%4.%5.%6.%7."/>
      <w:lvlJc w:val="left"/>
      <w:pPr>
        <w:tabs>
          <w:tab w:val="num" w:pos="5016"/>
        </w:tabs>
        <w:ind w:left="1360" w:firstLine="0"/>
      </w:pPr>
      <w:rPr>
        <w:rFonts w:hint="eastAsia"/>
      </w:rPr>
    </w:lvl>
    <w:lvl w:ilvl="7">
      <w:start w:val="1"/>
      <w:numFmt w:val="decimal"/>
      <w:lvlText w:val="%1.%2.%3.%4.%5.%6.%7.%8."/>
      <w:lvlJc w:val="left"/>
      <w:pPr>
        <w:tabs>
          <w:tab w:val="num" w:pos="5016"/>
        </w:tabs>
        <w:ind w:left="1360" w:firstLine="0"/>
      </w:pPr>
      <w:rPr>
        <w:rFonts w:hint="eastAsia"/>
      </w:rPr>
    </w:lvl>
    <w:lvl w:ilvl="8">
      <w:start w:val="1"/>
      <w:numFmt w:val="decimal"/>
      <w:lvlText w:val="%1.%2.%3.%4.%5.%6.%7.%8.%9."/>
      <w:lvlJc w:val="left"/>
      <w:pPr>
        <w:tabs>
          <w:tab w:val="num" w:pos="5016"/>
        </w:tabs>
        <w:ind w:left="1360" w:firstLine="0"/>
      </w:pPr>
      <w:rPr>
        <w:rFonts w:hint="eastAsia"/>
      </w:rPr>
    </w:lvl>
  </w:abstractNum>
  <w:abstractNum w:abstractNumId="10">
    <w:nsid w:val="197F4818"/>
    <w:multiLevelType w:val="multilevel"/>
    <w:tmpl w:val="197F4818"/>
    <w:lvl w:ilvl="0">
      <w:start w:val="0"/>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1">
    <w:nsid w:val="19F27E03"/>
    <w:multiLevelType w:val="multilevel"/>
    <w:tmpl w:val="19F27E03"/>
    <w:lvl w:ilvl="0">
      <w:start w:val="0"/>
      <w:numFmt w:val="decimal"/>
      <w:lvlText w:val="(%1)"/>
      <w:lvlJc w:val="left"/>
      <w:pPr>
        <w:ind w:left="425" w:firstLine="0"/>
      </w:pPr>
      <w:rPr>
        <w:rFonts w:ascii="Times New Roman" w:hAnsi="Times New Roman" w:hint="default"/>
        <w:b/>
        <w:i w:val="0"/>
        <w:color w:val="00000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12">
    <w:nsid w:val="1B730952"/>
    <w:multiLevelType w:val="multilevel"/>
    <w:tmpl w:val="19F27E03"/>
    <w:lvl w:ilvl="0">
      <w:start w:val="0"/>
      <w:numFmt w:val="decimal"/>
      <w:lvlText w:val="(%1)"/>
      <w:lvlJc w:val="left"/>
      <w:pPr>
        <w:ind w:left="425" w:firstLine="0"/>
      </w:pPr>
      <w:rPr>
        <w:rFonts w:ascii="Times New Roman" w:hAnsi="Times New Roman" w:hint="default"/>
        <w:b/>
        <w:i w:val="0"/>
        <w:color w:val="00000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13">
    <w:nsid w:val="1D644AF7"/>
    <w:multiLevelType w:val="multilevel"/>
    <w:tmpl w:val="1D644AF7"/>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14">
    <w:nsid w:val="1F5C5527"/>
    <w:multiLevelType w:val="multilevel"/>
    <w:tmpl w:val="0F4A3B2F"/>
    <w:lvl w:ilvl="0">
      <w:start w:val="1"/>
      <w:numFmt w:val="decimal"/>
      <w:lvlText w:val="%1、"/>
      <w:lvlJc w:val="left"/>
      <w:pPr>
        <w:ind w:left="0" w:firstLine="397"/>
      </w:pPr>
      <w:rPr>
        <w:rFonts w:ascii="Times New Roman" w:eastAsia="宋体" w:hAnsi="Times New Roman" w:hint="default"/>
        <w:b/>
        <w:i w:val="0"/>
        <w:sz w:val="24"/>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5">
    <w:nsid w:val="20192776"/>
    <w:multiLevelType w:val="multilevel"/>
    <w:tmpl w:val="20192776"/>
    <w:lvl w:ilvl="0">
      <w:start w:val="1"/>
      <w:numFmt w:val="decimal"/>
      <w:lvlText w:val="&lt;%1&gt;"/>
      <w:lvlJc w:val="left"/>
      <w:pPr>
        <w:ind w:left="1441" w:hanging="420"/>
      </w:pPr>
      <w:rPr>
        <w:rFonts w:ascii="宋体" w:eastAsia="宋体" w:hAnsi="宋体" w:cs="宋体" w:hint="default"/>
      </w:rPr>
    </w:lvl>
    <w:lvl w:ilvl="1">
      <w:start w:val="1"/>
      <w:numFmt w:val="lowerLetter"/>
      <w:lvlText w:val="%2)"/>
      <w:lvlJc w:val="left"/>
      <w:pPr>
        <w:ind w:left="1861" w:hanging="420"/>
      </w:pPr>
    </w:lvl>
    <w:lvl w:ilvl="2">
      <w:start w:val="1"/>
      <w:numFmt w:val="lowerRoman"/>
      <w:lvlText w:val="%3."/>
      <w:lvlJc w:val="right"/>
      <w:pPr>
        <w:ind w:left="2281" w:hanging="420"/>
      </w:pPr>
    </w:lvl>
    <w:lvl w:ilvl="3">
      <w:start w:val="1"/>
      <w:numFmt w:val="decimal"/>
      <w:lvlText w:val="%4."/>
      <w:lvlJc w:val="left"/>
      <w:pPr>
        <w:ind w:left="2701" w:hanging="420"/>
      </w:pPr>
    </w:lvl>
    <w:lvl w:ilvl="4">
      <w:start w:val="1"/>
      <w:numFmt w:val="lowerLetter"/>
      <w:lvlText w:val="%5)"/>
      <w:lvlJc w:val="left"/>
      <w:pPr>
        <w:ind w:left="3121" w:hanging="420"/>
      </w:pPr>
    </w:lvl>
    <w:lvl w:ilvl="5">
      <w:start w:val="1"/>
      <w:numFmt w:val="lowerRoman"/>
      <w:lvlText w:val="%6."/>
      <w:lvlJc w:val="right"/>
      <w:pPr>
        <w:ind w:left="3541" w:hanging="420"/>
      </w:pPr>
    </w:lvl>
    <w:lvl w:ilvl="6">
      <w:start w:val="1"/>
      <w:numFmt w:val="decimal"/>
      <w:lvlText w:val="%7."/>
      <w:lvlJc w:val="left"/>
      <w:pPr>
        <w:ind w:left="3961" w:hanging="420"/>
      </w:pPr>
    </w:lvl>
    <w:lvl w:ilvl="7">
      <w:start w:val="1"/>
      <w:numFmt w:val="lowerLetter"/>
      <w:lvlText w:val="%8)"/>
      <w:lvlJc w:val="left"/>
      <w:pPr>
        <w:ind w:left="4381" w:hanging="420"/>
      </w:pPr>
    </w:lvl>
    <w:lvl w:ilvl="8">
      <w:start w:val="1"/>
      <w:numFmt w:val="lowerRoman"/>
      <w:lvlText w:val="%9."/>
      <w:lvlJc w:val="right"/>
      <w:pPr>
        <w:ind w:left="4801" w:hanging="420"/>
      </w:pPr>
    </w:lvl>
  </w:abstractNum>
  <w:abstractNum w:abstractNumId="16">
    <w:nsid w:val="24370EB5"/>
    <w:multiLevelType w:val="multilevel"/>
    <w:tmpl w:val="24370EB5"/>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1CD3EB8"/>
    <w:multiLevelType w:val="multilevel"/>
    <w:tmpl w:val="31CD3EB8"/>
    <w:lvl w:ilvl="0">
      <w:start w:val="1"/>
      <w:numFmt w:val="decimal"/>
      <w:lvlText w:val="(%1)"/>
      <w:lvlJc w:val="left"/>
      <w:pPr>
        <w:tabs>
          <w:tab w:val="num" w:pos="851"/>
        </w:tabs>
        <w:ind w:left="0" w:firstLine="397"/>
      </w:pPr>
      <w:rPr>
        <w:rFonts w:ascii="Times New Roman" w:hAnsi="Times New Roman" w:hint="default"/>
        <w:b/>
        <w:i w:val="0"/>
        <w:sz w:val="21"/>
      </w:rPr>
    </w:lvl>
    <w:lvl w:ilvl="1">
      <w:start w:val="1"/>
      <w:numFmt w:val="decimal"/>
      <w:lvlJc w:val="left"/>
      <w:pPr>
        <w:ind w:left="0" w:firstLine="0"/>
      </w:pPr>
      <w:rPr>
        <w:rFonts w:hint="eastAsia"/>
      </w:rPr>
    </w:lvl>
    <w:lvl w:ilvl="2">
      <w:start w:val="1"/>
      <w:numFmt w:val="decimal"/>
      <w:lvlJc w:val="left"/>
      <w:pPr>
        <w:ind w:left="0" w:firstLine="0"/>
      </w:pPr>
      <w:rPr>
        <w:rFonts w:hint="eastAsia"/>
      </w:rPr>
    </w:lvl>
    <w:lvl w:ilvl="3">
      <w:start w:val="1"/>
      <w:numFmt w:val="decimal"/>
      <w:lvlJc w:val="left"/>
      <w:pPr>
        <w:ind w:left="0" w:firstLine="0"/>
      </w:pPr>
      <w:rPr>
        <w:rFonts w:hint="eastAsia"/>
      </w:rPr>
    </w:lvl>
    <w:lvl w:ilvl="4">
      <w:start w:val="1"/>
      <w:numFmt w:val="decimal"/>
      <w:lvlJc w:val="left"/>
      <w:pPr>
        <w:ind w:left="0" w:firstLine="0"/>
      </w:pPr>
      <w:rPr>
        <w:rFonts w:hint="eastAsia"/>
      </w:rPr>
    </w:lvl>
    <w:lvl w:ilvl="5">
      <w:start w:val="1"/>
      <w:numFmt w:val="decimal"/>
      <w:lvlJc w:val="left"/>
      <w:pPr>
        <w:ind w:left="0" w:firstLine="0"/>
      </w:pPr>
      <w:rPr>
        <w:rFonts w:hint="eastAsia"/>
      </w:rPr>
    </w:lvl>
    <w:lvl w:ilvl="6">
      <w:start w:val="1"/>
      <w:numFmt w:val="decimal"/>
      <w:lvlJc w:val="left"/>
      <w:pPr>
        <w:ind w:left="0" w:firstLine="0"/>
      </w:pPr>
      <w:rPr>
        <w:rFonts w:hint="eastAsia"/>
      </w:rPr>
    </w:lvl>
    <w:lvl w:ilvl="7">
      <w:start w:val="1"/>
      <w:numFmt w:val="decimal"/>
      <w:lvlJc w:val="left"/>
      <w:pPr>
        <w:ind w:left="0" w:firstLine="0"/>
      </w:pPr>
      <w:rPr>
        <w:rFonts w:hint="eastAsia"/>
      </w:rPr>
    </w:lvl>
    <w:lvl w:ilvl="8">
      <w:start w:val="1"/>
      <w:numFmt w:val="decimal"/>
      <w:lvlJc w:val="left"/>
      <w:pPr>
        <w:ind w:left="0" w:firstLine="0"/>
      </w:pPr>
      <w:rPr>
        <w:rFonts w:hint="eastAsia"/>
      </w:rPr>
    </w:lvl>
  </w:abstractNum>
  <w:abstractNum w:abstractNumId="18">
    <w:nsid w:val="320F13A2"/>
    <w:multiLevelType w:val="multilevel"/>
    <w:tmpl w:val="320F13A2"/>
    <w:lvl w:ilvl="0">
      <w:start w:val="1"/>
      <w:numFmt w:val="decimal"/>
      <w:lvlText w:val="(%1)"/>
      <w:lvlJc w:val="left"/>
      <w:pPr>
        <w:ind w:left="0" w:firstLine="426"/>
      </w:pPr>
      <w:rPr>
        <w:rFonts w:ascii="Times New Roman" w:eastAsia="宋体" w:hAnsi="Times New Roman" w:hint="default"/>
        <w:b/>
        <w:i w:val="0"/>
        <w:color w:val="auto"/>
        <w:sz w:val="24"/>
      </w:rPr>
    </w:lvl>
    <w:lvl w:ilvl="1">
      <w:start w:val="1"/>
      <w:numFmt w:val="lowerLetter"/>
      <w:lvlText w:val="%2)"/>
      <w:lvlJc w:val="left"/>
      <w:pPr>
        <w:ind w:left="1288" w:hanging="420"/>
      </w:pPr>
      <w:rPr>
        <w:rFonts w:hint="eastAsia"/>
      </w:rPr>
    </w:lvl>
    <w:lvl w:ilvl="2">
      <w:start w:val="1"/>
      <w:numFmt w:val="lowerRoman"/>
      <w:lvlText w:val="%3."/>
      <w:lvlJc w:val="right"/>
      <w:pPr>
        <w:ind w:left="1708" w:hanging="420"/>
      </w:pPr>
      <w:rPr>
        <w:rFonts w:hint="eastAsia"/>
      </w:rPr>
    </w:lvl>
    <w:lvl w:ilvl="3">
      <w:start w:val="1"/>
      <w:numFmt w:val="decimal"/>
      <w:lvlText w:val="%4."/>
      <w:lvlJc w:val="left"/>
      <w:pPr>
        <w:ind w:left="2128" w:hanging="420"/>
      </w:pPr>
      <w:rPr>
        <w:rFonts w:hint="eastAsia"/>
      </w:rPr>
    </w:lvl>
    <w:lvl w:ilvl="4">
      <w:start w:val="1"/>
      <w:numFmt w:val="lowerLetter"/>
      <w:lvlText w:val="%5)"/>
      <w:lvlJc w:val="left"/>
      <w:pPr>
        <w:ind w:left="2548" w:hanging="420"/>
      </w:pPr>
      <w:rPr>
        <w:rFonts w:hint="eastAsia"/>
      </w:rPr>
    </w:lvl>
    <w:lvl w:ilvl="5">
      <w:start w:val="1"/>
      <w:numFmt w:val="lowerRoman"/>
      <w:lvlText w:val="%6."/>
      <w:lvlJc w:val="right"/>
      <w:pPr>
        <w:ind w:left="2968" w:hanging="420"/>
      </w:pPr>
      <w:rPr>
        <w:rFonts w:hint="eastAsia"/>
      </w:rPr>
    </w:lvl>
    <w:lvl w:ilvl="6">
      <w:start w:val="1"/>
      <w:numFmt w:val="decimal"/>
      <w:lvlText w:val="%7."/>
      <w:lvlJc w:val="left"/>
      <w:pPr>
        <w:ind w:left="3388" w:hanging="420"/>
      </w:pPr>
      <w:rPr>
        <w:rFonts w:hint="eastAsia"/>
      </w:rPr>
    </w:lvl>
    <w:lvl w:ilvl="7">
      <w:start w:val="1"/>
      <w:numFmt w:val="lowerLetter"/>
      <w:lvlText w:val="%8)"/>
      <w:lvlJc w:val="left"/>
      <w:pPr>
        <w:ind w:left="3808" w:hanging="420"/>
      </w:pPr>
      <w:rPr>
        <w:rFonts w:hint="eastAsia"/>
      </w:rPr>
    </w:lvl>
    <w:lvl w:ilvl="8">
      <w:start w:val="1"/>
      <w:numFmt w:val="lowerRoman"/>
      <w:lvlText w:val="%9."/>
      <w:lvlJc w:val="right"/>
      <w:pPr>
        <w:ind w:left="4228" w:hanging="420"/>
      </w:pPr>
      <w:rPr>
        <w:rFonts w:hint="eastAsia"/>
      </w:rPr>
    </w:lvl>
  </w:abstractNum>
  <w:abstractNum w:abstractNumId="19">
    <w:nsid w:val="3A9E7FE2"/>
    <w:multiLevelType w:val="multilevel"/>
    <w:tmpl w:val="3A9E7FE2"/>
    <w:lvl w:ilvl="0">
      <w:start w:val="1"/>
      <w:numFmt w:val="decimal"/>
      <w:lvlText w:val="(%1)"/>
      <w:lvlJc w:val="left"/>
      <w:pPr>
        <w:ind w:left="425" w:firstLine="0"/>
      </w:pPr>
      <w:rPr>
        <w:rFonts w:ascii="Times New Roman" w:hAnsi="Times New Roman" w:hint="default"/>
        <w:b/>
        <w:i w:val="0"/>
        <w:color w:val="00000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20">
    <w:nsid w:val="51352EAF"/>
    <w:multiLevelType w:val="multilevel"/>
    <w:tmpl w:val="51352EAF"/>
    <w:lvl w:ilvl="0">
      <w:start w:val="1"/>
      <w:numFmt w:val="decimal"/>
      <w:lvlText w:val="%1"/>
      <w:lvlJc w:val="center"/>
      <w:pPr>
        <w:ind w:left="420" w:hanging="25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51A622D2"/>
    <w:multiLevelType w:val="multilevel"/>
    <w:tmpl w:val="51A622D2"/>
    <w:lvl w:ilvl="0">
      <w:start w:val="1"/>
      <w:numFmt w:val="decimal"/>
      <w:lvlText w:val="(%1)"/>
      <w:lvlJc w:val="left"/>
      <w:pPr>
        <w:tabs>
          <w:tab w:val="num" w:pos="851"/>
        </w:tabs>
        <w:ind w:left="0" w:firstLine="400"/>
      </w:pPr>
      <w:rPr>
        <w:rFonts w:ascii="Times New Roman" w:eastAsia="宋体" w:hAnsi="Times New Roman" w:hint="default"/>
        <w:b/>
        <w:i w:val="0"/>
        <w:sz w:val="21"/>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nsid w:val="51C122FB"/>
    <w:multiLevelType w:val="multilevel"/>
    <w:tmpl w:val="51C122FB"/>
    <w:lvl w:ilvl="0">
      <w:start w:val="1"/>
      <w:numFmt w:val="decimal"/>
      <w:lvlText w:val="(%1)"/>
      <w:lvlJc w:val="left"/>
      <w:pPr>
        <w:ind w:left="425" w:firstLine="0"/>
      </w:pPr>
      <w:rPr>
        <w:rFonts w:ascii="Times New Roman" w:hAnsi="Times New Roman" w:hint="default"/>
        <w:b/>
        <w:i w:val="0"/>
        <w:color w:val="00000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23">
    <w:nsid w:val="6C52592E"/>
    <w:multiLevelType w:val="multilevel"/>
    <w:tmpl w:val="6C52592E"/>
    <w:lvl w:ilvl="0">
      <w:start w:val="1"/>
      <w:numFmt w:val="decimal"/>
      <w:lvlText w:val="%1"/>
      <w:lvlJc w:val="left"/>
      <w:pPr>
        <w:ind w:left="170" w:firstLine="0"/>
      </w:pPr>
      <w:rPr>
        <w:rFonts w:ascii="Times New Roman" w:hAnsi="Times New Roman" w:hint="default"/>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abstractNum w:abstractNumId="24">
    <w:nsid w:val="73C80440"/>
    <w:multiLevelType w:val="multilevel"/>
    <w:tmpl w:val="73C80440"/>
    <w:lvl w:ilvl="0">
      <w:start w:val="2"/>
      <w:numFmt w:val="decimal"/>
      <w:lvlText w:val="(%1)"/>
      <w:lvlJc w:val="left"/>
      <w:pPr>
        <w:ind w:left="425" w:firstLine="0"/>
      </w:pPr>
      <w:rPr>
        <w:rFonts w:ascii="Times New Roman" w:hAnsi="Times New Roman" w:hint="default"/>
        <w:b/>
        <w:i w:val="0"/>
        <w:color w:val="000000"/>
      </w:rPr>
    </w:lvl>
    <w:lvl w:ilvl="1">
      <w:start w:val="0"/>
      <w:numFmt w:val="decimal"/>
      <w:lvlJc w:val="left"/>
      <w:pPr>
        <w:ind w:left="0" w:firstLine="0"/>
      </w:pPr>
      <w:rPr>
        <w:rFonts w:hint="eastAsia"/>
      </w:rPr>
    </w:lvl>
    <w:lvl w:ilvl="2">
      <w:start w:val="0"/>
      <w:numFmt w:val="decimal"/>
      <w:lvlJc w:val="left"/>
      <w:pPr>
        <w:ind w:left="0" w:firstLine="0"/>
      </w:pPr>
      <w:rPr>
        <w:rFonts w:hint="eastAsia"/>
      </w:rPr>
    </w:lvl>
    <w:lvl w:ilvl="3">
      <w:start w:val="0"/>
      <w:numFmt w:val="decimal"/>
      <w:lvlJc w:val="left"/>
      <w:pPr>
        <w:ind w:left="0" w:firstLine="0"/>
      </w:pPr>
      <w:rPr>
        <w:rFonts w:hint="eastAsia"/>
      </w:rPr>
    </w:lvl>
    <w:lvl w:ilvl="4">
      <w:start w:val="0"/>
      <w:numFmt w:val="decimal"/>
      <w:lvlJc w:val="left"/>
      <w:pPr>
        <w:ind w:left="0" w:firstLine="0"/>
      </w:pPr>
      <w:rPr>
        <w:rFonts w:hint="eastAsia"/>
      </w:rPr>
    </w:lvl>
    <w:lvl w:ilvl="5">
      <w:start w:val="0"/>
      <w:numFmt w:val="decimal"/>
      <w:lvlJc w:val="left"/>
      <w:pPr>
        <w:ind w:left="0" w:firstLine="0"/>
      </w:pPr>
      <w:rPr>
        <w:rFonts w:hint="eastAsia"/>
      </w:rPr>
    </w:lvl>
    <w:lvl w:ilvl="6">
      <w:start w:val="0"/>
      <w:numFmt w:val="decimal"/>
      <w:lvlJc w:val="left"/>
      <w:pPr>
        <w:ind w:left="0" w:firstLine="0"/>
      </w:pPr>
      <w:rPr>
        <w:rFonts w:hint="eastAsia"/>
      </w:rPr>
    </w:lvl>
    <w:lvl w:ilvl="7">
      <w:start w:val="0"/>
      <w:numFmt w:val="decimal"/>
      <w:lvlJc w:val="left"/>
      <w:pPr>
        <w:ind w:left="0" w:firstLine="0"/>
      </w:pPr>
      <w:rPr>
        <w:rFonts w:hint="eastAsia"/>
      </w:rPr>
    </w:lvl>
    <w:lvl w:ilvl="8">
      <w:start w:val="0"/>
      <w:numFmt w:val="decimal"/>
      <w:lvlJc w:val="left"/>
      <w:pPr>
        <w:ind w:left="0" w:firstLine="0"/>
      </w:pPr>
      <w:rPr>
        <w:rFonts w:hint="eastAsia"/>
      </w:rPr>
    </w:lvl>
  </w:abstractNum>
  <w:num w:numId="1">
    <w:abstractNumId w:val="9"/>
  </w:num>
  <w:num w:numId="2">
    <w:abstractNumId w:val="5"/>
  </w:num>
  <w:num w:numId="3">
    <w:abstractNumId w:val="15"/>
    <w:lvlOverride w:ilvl="0">
      <w:startOverride w:val="1"/>
    </w:lvlOverride>
  </w:num>
  <w:num w:numId="4">
    <w:abstractNumId w:val="16"/>
  </w:num>
  <w:num w:numId="5">
    <w:abstractNumId w:val="10"/>
  </w:num>
  <w:num w:numId="6">
    <w:abstractNumId w:val="18"/>
  </w:num>
  <w:num w:numId="7">
    <w:abstractNumId w:val="0"/>
  </w:num>
  <w:num w:numId="8">
    <w:abstractNumId w:val="20"/>
  </w:num>
  <w:num w:numId="9">
    <w:abstractNumId w:val="21"/>
  </w:num>
  <w:num w:numId="10">
    <w:abstractNumId w:val="23"/>
    <w:lvlOverride w:ilvl="0">
      <w:startOverride w:val="1"/>
    </w:lvlOverride>
    <w:lvlOverride w:ilvl="1"/>
    <w:lvlOverride w:ilvl="2"/>
    <w:lvlOverride w:ilvl="3"/>
    <w:lvlOverride w:ilvl="4"/>
    <w:lvlOverride w:ilvl="5"/>
    <w:lvlOverride w:ilvl="6"/>
    <w:lvlOverride w:ilvl="7"/>
    <w:lvlOverride w:ilvl="8"/>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11"/>
  </w:num>
  <w:num w:numId="13">
    <w:abstractNumId w:val="19"/>
  </w:num>
  <w:num w:numId="14">
    <w:abstractNumId w:val="24"/>
  </w:num>
  <w:num w:numId="15">
    <w:abstractNumId w:val="5"/>
    <w:lvlOverride w:ilvl="0">
      <w:startOverride w:val="1"/>
    </w:lvlOverride>
    <w:lvlOverride w:ilvl="1"/>
    <w:lvlOverride w:ilvl="2"/>
    <w:lvlOverride w:ilvl="3"/>
    <w:lvlOverride w:ilvl="4"/>
    <w:lvlOverride w:ilvl="5"/>
    <w:lvlOverride w:ilvl="6"/>
    <w:lvlOverride w:ilvl="7"/>
    <w:lvlOverride w:ilvl="8"/>
  </w:num>
  <w:num w:numId="16">
    <w:abstractNumId w:val="22"/>
  </w:num>
  <w:num w:numId="17">
    <w:abstractNumId w:val="10"/>
    <w:lvlOverride w:ilvl="4">
      <w:startOverride w:val="1"/>
    </w:lvlOverride>
  </w:num>
  <w:num w:numId="18">
    <w:abstractNumId w:val="7"/>
  </w:num>
  <w:num w:numId="19">
    <w:abstractNumId w:val="2"/>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6"/>
  </w:num>
  <w:num w:numId="27">
    <w:abstractNumId w:val="13"/>
  </w:num>
  <w:num w:numId="28">
    <w:abstractNumId w:val="10"/>
    <w:lvlOverride w:ilvl="4">
      <w:startOverride w:val="1"/>
    </w:lvlOverride>
  </w:num>
  <w:num w:numId="29">
    <w:abstractNumId w:val="3"/>
  </w:num>
  <w:num w:numId="30">
    <w:abstractNumId w:val="17"/>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2"/>
    <w:lvlOverride w:ilvl="0">
      <w:startOverride w:val="1"/>
    </w:lvlOverride>
    <w:lvlOverride w:ilvl="1"/>
    <w:lvlOverride w:ilvl="2"/>
    <w:lvlOverride w:ilvl="3"/>
    <w:lvlOverride w:ilvl="4"/>
    <w:lvlOverride w:ilvl="5"/>
    <w:lvlOverride w:ilvl="6"/>
    <w:lvlOverride w:ilvl="7"/>
    <w:lvlOverride w:ilvl="8"/>
  </w:num>
  <w:num w:numId="34">
    <w:abstractNumId w:val="12"/>
  </w:num>
  <w:num w:numId="35">
    <w:abstractNumId w:val="1"/>
  </w:num>
  <w:num w:numId="36">
    <w:abstractNumId w:val="1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bordersDoNotSurroundHeader/>
  <w:bordersDoNotSurroundFooter/>
  <w:attachedTemplate r:id="rId1"/>
  <w:defaultTabStop w:val="720"/>
  <w:drawingGridHorizontalSpacing w:val="112"/>
  <w:drawingGridVerticalSpacing w:val="433"/>
  <w:displayHorizontalDrawingGridEvery w:val="2"/>
  <w:characterSpacingControl w:val="doNotCompress"/>
  <w:noLineBreaksAfter w:lang="en-US" w:val="$([{£¥·‘“〈《「『【〔〖〝﹙﹛﹝＄（．［｛￡￥"/>
  <w:noLineBreaksBefore w:lang="en-US" w:val="!%),.:;&gt;?]}¢¨°·ˇˉ―‖’”…‰′″›℃∶、。〃〉》」』】〕〗〞︶︺︾﹀﹄﹚﹜﹞！＂％＇），．：；？］｀｜｝～￠"/>
  <w:endnotePr>
    <w:numFmt w:val="decimal"/>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55A4"/>
    <w:rsid w:val="00001717"/>
    <w:rsid w:val="0000193B"/>
    <w:rsid w:val="00002A69"/>
    <w:rsid w:val="000034E4"/>
    <w:rsid w:val="00004DF9"/>
    <w:rsid w:val="00004E7F"/>
    <w:rsid w:val="00005882"/>
    <w:rsid w:val="00006910"/>
    <w:rsid w:val="00006944"/>
    <w:rsid w:val="00006A53"/>
    <w:rsid w:val="000073AB"/>
    <w:rsid w:val="00007B27"/>
    <w:rsid w:val="00011A33"/>
    <w:rsid w:val="00011A3B"/>
    <w:rsid w:val="00012892"/>
    <w:rsid w:val="00012F67"/>
    <w:rsid w:val="0001332C"/>
    <w:rsid w:val="0002047D"/>
    <w:rsid w:val="000207DC"/>
    <w:rsid w:val="00021AD1"/>
    <w:rsid w:val="000223A3"/>
    <w:rsid w:val="00022E82"/>
    <w:rsid w:val="0002300B"/>
    <w:rsid w:val="00023F52"/>
    <w:rsid w:val="00024989"/>
    <w:rsid w:val="00026200"/>
    <w:rsid w:val="0002736D"/>
    <w:rsid w:val="000273BA"/>
    <w:rsid w:val="000273C2"/>
    <w:rsid w:val="000276A1"/>
    <w:rsid w:val="000303B5"/>
    <w:rsid w:val="0003186B"/>
    <w:rsid w:val="00031BD9"/>
    <w:rsid w:val="00031FE0"/>
    <w:rsid w:val="000323CF"/>
    <w:rsid w:val="00032555"/>
    <w:rsid w:val="00033BE3"/>
    <w:rsid w:val="0003754C"/>
    <w:rsid w:val="00040110"/>
    <w:rsid w:val="00040DE4"/>
    <w:rsid w:val="000422F8"/>
    <w:rsid w:val="00042845"/>
    <w:rsid w:val="00045887"/>
    <w:rsid w:val="00046423"/>
    <w:rsid w:val="000479FC"/>
    <w:rsid w:val="00050FA7"/>
    <w:rsid w:val="00051904"/>
    <w:rsid w:val="00053082"/>
    <w:rsid w:val="00053D7B"/>
    <w:rsid w:val="0005518E"/>
    <w:rsid w:val="000560EC"/>
    <w:rsid w:val="000609C7"/>
    <w:rsid w:val="00060B2E"/>
    <w:rsid w:val="00061A02"/>
    <w:rsid w:val="00061A9F"/>
    <w:rsid w:val="00061C9E"/>
    <w:rsid w:val="00062392"/>
    <w:rsid w:val="000628BE"/>
    <w:rsid w:val="00062B7A"/>
    <w:rsid w:val="00062D3E"/>
    <w:rsid w:val="0006302A"/>
    <w:rsid w:val="00063D1D"/>
    <w:rsid w:val="00064BE8"/>
    <w:rsid w:val="00064EC7"/>
    <w:rsid w:val="00065A72"/>
    <w:rsid w:val="00065AF8"/>
    <w:rsid w:val="00065F20"/>
    <w:rsid w:val="00066AA8"/>
    <w:rsid w:val="00067896"/>
    <w:rsid w:val="00067CC5"/>
    <w:rsid w:val="0007094C"/>
    <w:rsid w:val="00070EFB"/>
    <w:rsid w:val="00071437"/>
    <w:rsid w:val="000717B3"/>
    <w:rsid w:val="00071B37"/>
    <w:rsid w:val="00071E5A"/>
    <w:rsid w:val="00072C44"/>
    <w:rsid w:val="00073DA0"/>
    <w:rsid w:val="00074040"/>
    <w:rsid w:val="00074CD5"/>
    <w:rsid w:val="000769D6"/>
    <w:rsid w:val="00080D02"/>
    <w:rsid w:val="0008209D"/>
    <w:rsid w:val="000862F3"/>
    <w:rsid w:val="000870AF"/>
    <w:rsid w:val="00091402"/>
    <w:rsid w:val="00091822"/>
    <w:rsid w:val="00092547"/>
    <w:rsid w:val="00093103"/>
    <w:rsid w:val="00093114"/>
    <w:rsid w:val="000933BF"/>
    <w:rsid w:val="00094209"/>
    <w:rsid w:val="00094A72"/>
    <w:rsid w:val="000950B0"/>
    <w:rsid w:val="0009539E"/>
    <w:rsid w:val="00095496"/>
    <w:rsid w:val="000954C8"/>
    <w:rsid w:val="000957A2"/>
    <w:rsid w:val="000962F7"/>
    <w:rsid w:val="00096987"/>
    <w:rsid w:val="0009793C"/>
    <w:rsid w:val="00097A59"/>
    <w:rsid w:val="000A1512"/>
    <w:rsid w:val="000A2942"/>
    <w:rsid w:val="000A2F46"/>
    <w:rsid w:val="000A49D6"/>
    <w:rsid w:val="000A6B51"/>
    <w:rsid w:val="000B0FD3"/>
    <w:rsid w:val="000B4A08"/>
    <w:rsid w:val="000B614A"/>
    <w:rsid w:val="000B68AD"/>
    <w:rsid w:val="000B68FB"/>
    <w:rsid w:val="000B74FC"/>
    <w:rsid w:val="000C1B6D"/>
    <w:rsid w:val="000C2790"/>
    <w:rsid w:val="000C2E23"/>
    <w:rsid w:val="000C3FAD"/>
    <w:rsid w:val="000C4F5F"/>
    <w:rsid w:val="000C5993"/>
    <w:rsid w:val="000C5F2C"/>
    <w:rsid w:val="000C73BF"/>
    <w:rsid w:val="000C7B57"/>
    <w:rsid w:val="000C7B85"/>
    <w:rsid w:val="000C7F52"/>
    <w:rsid w:val="000D0414"/>
    <w:rsid w:val="000D17FF"/>
    <w:rsid w:val="000D2620"/>
    <w:rsid w:val="000D270E"/>
    <w:rsid w:val="000D27DE"/>
    <w:rsid w:val="000D28A3"/>
    <w:rsid w:val="000D3307"/>
    <w:rsid w:val="000D3F21"/>
    <w:rsid w:val="000D45FD"/>
    <w:rsid w:val="000D6083"/>
    <w:rsid w:val="000D7640"/>
    <w:rsid w:val="000D7B60"/>
    <w:rsid w:val="000E086E"/>
    <w:rsid w:val="000E0E93"/>
    <w:rsid w:val="000E1794"/>
    <w:rsid w:val="000E18F2"/>
    <w:rsid w:val="000E2AE0"/>
    <w:rsid w:val="000E2CD1"/>
    <w:rsid w:val="000E3126"/>
    <w:rsid w:val="000E3A73"/>
    <w:rsid w:val="000E4FF0"/>
    <w:rsid w:val="000E51F4"/>
    <w:rsid w:val="000E5829"/>
    <w:rsid w:val="000E5883"/>
    <w:rsid w:val="000E7D6E"/>
    <w:rsid w:val="000F12E5"/>
    <w:rsid w:val="000F185C"/>
    <w:rsid w:val="000F1ACC"/>
    <w:rsid w:val="000F1BDA"/>
    <w:rsid w:val="000F1CE2"/>
    <w:rsid w:val="000F4187"/>
    <w:rsid w:val="000F56EB"/>
    <w:rsid w:val="000F5D9C"/>
    <w:rsid w:val="000F5E32"/>
    <w:rsid w:val="000F75CB"/>
    <w:rsid w:val="000F76B3"/>
    <w:rsid w:val="00100FF0"/>
    <w:rsid w:val="001024F1"/>
    <w:rsid w:val="001027FD"/>
    <w:rsid w:val="001069D9"/>
    <w:rsid w:val="00106CAC"/>
    <w:rsid w:val="001071A4"/>
    <w:rsid w:val="001078F0"/>
    <w:rsid w:val="00107F7C"/>
    <w:rsid w:val="00110062"/>
    <w:rsid w:val="0011033F"/>
    <w:rsid w:val="00110A3F"/>
    <w:rsid w:val="00113565"/>
    <w:rsid w:val="001135B9"/>
    <w:rsid w:val="00114802"/>
    <w:rsid w:val="00115682"/>
    <w:rsid w:val="00115D0B"/>
    <w:rsid w:val="00115FCD"/>
    <w:rsid w:val="001165A4"/>
    <w:rsid w:val="00116EA1"/>
    <w:rsid w:val="00117006"/>
    <w:rsid w:val="00117496"/>
    <w:rsid w:val="00117E13"/>
    <w:rsid w:val="0012003C"/>
    <w:rsid w:val="0012188F"/>
    <w:rsid w:val="00123247"/>
    <w:rsid w:val="00123B88"/>
    <w:rsid w:val="0012488F"/>
    <w:rsid w:val="00125F96"/>
    <w:rsid w:val="0012664A"/>
    <w:rsid w:val="0012799C"/>
    <w:rsid w:val="00127B61"/>
    <w:rsid w:val="00127EFD"/>
    <w:rsid w:val="001308E1"/>
    <w:rsid w:val="001315DE"/>
    <w:rsid w:val="00131872"/>
    <w:rsid w:val="00131C86"/>
    <w:rsid w:val="00133380"/>
    <w:rsid w:val="00133C36"/>
    <w:rsid w:val="00133E6F"/>
    <w:rsid w:val="00133F6A"/>
    <w:rsid w:val="001345D8"/>
    <w:rsid w:val="001348F0"/>
    <w:rsid w:val="00134AB5"/>
    <w:rsid w:val="00137A2E"/>
    <w:rsid w:val="00137D70"/>
    <w:rsid w:val="001422E8"/>
    <w:rsid w:val="00142DB6"/>
    <w:rsid w:val="00144E87"/>
    <w:rsid w:val="0014604A"/>
    <w:rsid w:val="0014684E"/>
    <w:rsid w:val="001510C6"/>
    <w:rsid w:val="0015195E"/>
    <w:rsid w:val="00153B51"/>
    <w:rsid w:val="00154EC0"/>
    <w:rsid w:val="00155369"/>
    <w:rsid w:val="00156432"/>
    <w:rsid w:val="00156E12"/>
    <w:rsid w:val="00157A75"/>
    <w:rsid w:val="00157E6F"/>
    <w:rsid w:val="001616ED"/>
    <w:rsid w:val="001634F7"/>
    <w:rsid w:val="00163AF3"/>
    <w:rsid w:val="00163B7A"/>
    <w:rsid w:val="00165002"/>
    <w:rsid w:val="001650DC"/>
    <w:rsid w:val="00166A93"/>
    <w:rsid w:val="00166E14"/>
    <w:rsid w:val="0016706D"/>
    <w:rsid w:val="00170726"/>
    <w:rsid w:val="001708A4"/>
    <w:rsid w:val="001718AB"/>
    <w:rsid w:val="001739DD"/>
    <w:rsid w:val="001746EE"/>
    <w:rsid w:val="0017479B"/>
    <w:rsid w:val="00175F63"/>
    <w:rsid w:val="0017649A"/>
    <w:rsid w:val="001764EC"/>
    <w:rsid w:val="001768F9"/>
    <w:rsid w:val="0018290D"/>
    <w:rsid w:val="00182984"/>
    <w:rsid w:val="00182B18"/>
    <w:rsid w:val="001842C3"/>
    <w:rsid w:val="0018489B"/>
    <w:rsid w:val="00184ECE"/>
    <w:rsid w:val="001855CD"/>
    <w:rsid w:val="00185B26"/>
    <w:rsid w:val="00187729"/>
    <w:rsid w:val="0018797C"/>
    <w:rsid w:val="0019101C"/>
    <w:rsid w:val="00191F72"/>
    <w:rsid w:val="00192755"/>
    <w:rsid w:val="001927D1"/>
    <w:rsid w:val="00192BBC"/>
    <w:rsid w:val="00192C37"/>
    <w:rsid w:val="00194A66"/>
    <w:rsid w:val="001956D8"/>
    <w:rsid w:val="0019578D"/>
    <w:rsid w:val="00195EA8"/>
    <w:rsid w:val="00195F0C"/>
    <w:rsid w:val="00196C75"/>
    <w:rsid w:val="00196F57"/>
    <w:rsid w:val="001A0193"/>
    <w:rsid w:val="001A01B9"/>
    <w:rsid w:val="001A045A"/>
    <w:rsid w:val="001A058B"/>
    <w:rsid w:val="001A08DF"/>
    <w:rsid w:val="001A0AEE"/>
    <w:rsid w:val="001A1B46"/>
    <w:rsid w:val="001A1D61"/>
    <w:rsid w:val="001A2808"/>
    <w:rsid w:val="001A2E06"/>
    <w:rsid w:val="001A4084"/>
    <w:rsid w:val="001A452D"/>
    <w:rsid w:val="001A49E4"/>
    <w:rsid w:val="001A62E8"/>
    <w:rsid w:val="001A7128"/>
    <w:rsid w:val="001A7AFE"/>
    <w:rsid w:val="001B0043"/>
    <w:rsid w:val="001B183F"/>
    <w:rsid w:val="001B3262"/>
    <w:rsid w:val="001B3CAE"/>
    <w:rsid w:val="001B4EE1"/>
    <w:rsid w:val="001B5585"/>
    <w:rsid w:val="001B7060"/>
    <w:rsid w:val="001B71ED"/>
    <w:rsid w:val="001C358C"/>
    <w:rsid w:val="001C40B4"/>
    <w:rsid w:val="001C54C1"/>
    <w:rsid w:val="001C6ADC"/>
    <w:rsid w:val="001C6C89"/>
    <w:rsid w:val="001C6F0B"/>
    <w:rsid w:val="001D1074"/>
    <w:rsid w:val="001D3CFA"/>
    <w:rsid w:val="001D4716"/>
    <w:rsid w:val="001D5164"/>
    <w:rsid w:val="001D5433"/>
    <w:rsid w:val="001D569C"/>
    <w:rsid w:val="001D6228"/>
    <w:rsid w:val="001D6EAC"/>
    <w:rsid w:val="001D72B8"/>
    <w:rsid w:val="001D7D88"/>
    <w:rsid w:val="001E0265"/>
    <w:rsid w:val="001E1CFF"/>
    <w:rsid w:val="001E31E1"/>
    <w:rsid w:val="001E3F0F"/>
    <w:rsid w:val="001E7CE0"/>
    <w:rsid w:val="001F0B94"/>
    <w:rsid w:val="001F1868"/>
    <w:rsid w:val="001F2FE3"/>
    <w:rsid w:val="001F3318"/>
    <w:rsid w:val="001F4354"/>
    <w:rsid w:val="001F49CF"/>
    <w:rsid w:val="001F4BBB"/>
    <w:rsid w:val="001F65F9"/>
    <w:rsid w:val="00200CD1"/>
    <w:rsid w:val="00200D2B"/>
    <w:rsid w:val="002036BF"/>
    <w:rsid w:val="00203B8C"/>
    <w:rsid w:val="002059B9"/>
    <w:rsid w:val="002060BF"/>
    <w:rsid w:val="002068B0"/>
    <w:rsid w:val="0020728B"/>
    <w:rsid w:val="00207B1A"/>
    <w:rsid w:val="00207FE7"/>
    <w:rsid w:val="0021033A"/>
    <w:rsid w:val="00211AC3"/>
    <w:rsid w:val="00211D00"/>
    <w:rsid w:val="00211D08"/>
    <w:rsid w:val="002124A5"/>
    <w:rsid w:val="00212BF6"/>
    <w:rsid w:val="0021319F"/>
    <w:rsid w:val="00216D47"/>
    <w:rsid w:val="002200C5"/>
    <w:rsid w:val="00220B95"/>
    <w:rsid w:val="002212BF"/>
    <w:rsid w:val="00221D00"/>
    <w:rsid w:val="002223CE"/>
    <w:rsid w:val="00224D19"/>
    <w:rsid w:val="00226DA9"/>
    <w:rsid w:val="0022789C"/>
    <w:rsid w:val="00230F30"/>
    <w:rsid w:val="00231B21"/>
    <w:rsid w:val="00232714"/>
    <w:rsid w:val="00233580"/>
    <w:rsid w:val="00233C5D"/>
    <w:rsid w:val="00234220"/>
    <w:rsid w:val="00235A3F"/>
    <w:rsid w:val="00235CE6"/>
    <w:rsid w:val="002365AD"/>
    <w:rsid w:val="00236AA8"/>
    <w:rsid w:val="002374FF"/>
    <w:rsid w:val="00237569"/>
    <w:rsid w:val="00237828"/>
    <w:rsid w:val="00237D0E"/>
    <w:rsid w:val="00240CF6"/>
    <w:rsid w:val="00240DB6"/>
    <w:rsid w:val="00242491"/>
    <w:rsid w:val="0024342F"/>
    <w:rsid w:val="00243B51"/>
    <w:rsid w:val="002444C3"/>
    <w:rsid w:val="002456D9"/>
    <w:rsid w:val="00251AB2"/>
    <w:rsid w:val="0025359C"/>
    <w:rsid w:val="00253D67"/>
    <w:rsid w:val="00254B26"/>
    <w:rsid w:val="00255118"/>
    <w:rsid w:val="00255834"/>
    <w:rsid w:val="002572E8"/>
    <w:rsid w:val="00257BD6"/>
    <w:rsid w:val="00257FCE"/>
    <w:rsid w:val="00263CB3"/>
    <w:rsid w:val="0026458B"/>
    <w:rsid w:val="00264804"/>
    <w:rsid w:val="00265515"/>
    <w:rsid w:val="002662C5"/>
    <w:rsid w:val="00266904"/>
    <w:rsid w:val="002673FB"/>
    <w:rsid w:val="00267976"/>
    <w:rsid w:val="002703C1"/>
    <w:rsid w:val="002704E5"/>
    <w:rsid w:val="002706B7"/>
    <w:rsid w:val="00270831"/>
    <w:rsid w:val="00271728"/>
    <w:rsid w:val="002721FA"/>
    <w:rsid w:val="002723F7"/>
    <w:rsid w:val="00272B19"/>
    <w:rsid w:val="00273278"/>
    <w:rsid w:val="002765EE"/>
    <w:rsid w:val="00277F5F"/>
    <w:rsid w:val="002806A2"/>
    <w:rsid w:val="00280A6C"/>
    <w:rsid w:val="00283B96"/>
    <w:rsid w:val="00284360"/>
    <w:rsid w:val="002847BA"/>
    <w:rsid w:val="002849AC"/>
    <w:rsid w:val="002854BC"/>
    <w:rsid w:val="0028571A"/>
    <w:rsid w:val="00285840"/>
    <w:rsid w:val="002870DE"/>
    <w:rsid w:val="00287488"/>
    <w:rsid w:val="002874B7"/>
    <w:rsid w:val="002911A3"/>
    <w:rsid w:val="00291A25"/>
    <w:rsid w:val="002922D0"/>
    <w:rsid w:val="002925A6"/>
    <w:rsid w:val="00292853"/>
    <w:rsid w:val="00297C50"/>
    <w:rsid w:val="002A096E"/>
    <w:rsid w:val="002A1299"/>
    <w:rsid w:val="002A14A2"/>
    <w:rsid w:val="002A1935"/>
    <w:rsid w:val="002A1CD0"/>
    <w:rsid w:val="002A22B6"/>
    <w:rsid w:val="002A23D7"/>
    <w:rsid w:val="002A4757"/>
    <w:rsid w:val="002A493D"/>
    <w:rsid w:val="002A5307"/>
    <w:rsid w:val="002A73ED"/>
    <w:rsid w:val="002A790C"/>
    <w:rsid w:val="002A7F03"/>
    <w:rsid w:val="002A7FCD"/>
    <w:rsid w:val="002B0288"/>
    <w:rsid w:val="002B0587"/>
    <w:rsid w:val="002B0BC5"/>
    <w:rsid w:val="002B28FD"/>
    <w:rsid w:val="002B4008"/>
    <w:rsid w:val="002B448F"/>
    <w:rsid w:val="002B44E5"/>
    <w:rsid w:val="002B676D"/>
    <w:rsid w:val="002B706B"/>
    <w:rsid w:val="002B78C3"/>
    <w:rsid w:val="002C06EB"/>
    <w:rsid w:val="002C2E1E"/>
    <w:rsid w:val="002C30BA"/>
    <w:rsid w:val="002C35D9"/>
    <w:rsid w:val="002C4B07"/>
    <w:rsid w:val="002C65E0"/>
    <w:rsid w:val="002C67E1"/>
    <w:rsid w:val="002C6F20"/>
    <w:rsid w:val="002C7F85"/>
    <w:rsid w:val="002D0254"/>
    <w:rsid w:val="002D13BB"/>
    <w:rsid w:val="002D2E27"/>
    <w:rsid w:val="002D3084"/>
    <w:rsid w:val="002D358C"/>
    <w:rsid w:val="002D39F5"/>
    <w:rsid w:val="002D42F1"/>
    <w:rsid w:val="002D4A33"/>
    <w:rsid w:val="002D52DC"/>
    <w:rsid w:val="002D573F"/>
    <w:rsid w:val="002D5F4D"/>
    <w:rsid w:val="002D62E5"/>
    <w:rsid w:val="002D649E"/>
    <w:rsid w:val="002D6770"/>
    <w:rsid w:val="002D7550"/>
    <w:rsid w:val="002E0C9B"/>
    <w:rsid w:val="002E3056"/>
    <w:rsid w:val="002E30CC"/>
    <w:rsid w:val="002E3978"/>
    <w:rsid w:val="002E3DFB"/>
    <w:rsid w:val="002E5339"/>
    <w:rsid w:val="002E54BB"/>
    <w:rsid w:val="002E62E2"/>
    <w:rsid w:val="002E67A5"/>
    <w:rsid w:val="002F10BF"/>
    <w:rsid w:val="002F1227"/>
    <w:rsid w:val="002F28C2"/>
    <w:rsid w:val="002F44FB"/>
    <w:rsid w:val="002F518A"/>
    <w:rsid w:val="002F538C"/>
    <w:rsid w:val="002F53F7"/>
    <w:rsid w:val="002F55FA"/>
    <w:rsid w:val="002F5689"/>
    <w:rsid w:val="002F5837"/>
    <w:rsid w:val="002F6F91"/>
    <w:rsid w:val="00301480"/>
    <w:rsid w:val="00301AF5"/>
    <w:rsid w:val="003038D7"/>
    <w:rsid w:val="00303A56"/>
    <w:rsid w:val="0030561C"/>
    <w:rsid w:val="00307167"/>
    <w:rsid w:val="00312192"/>
    <w:rsid w:val="003137E3"/>
    <w:rsid w:val="00314099"/>
    <w:rsid w:val="0031444D"/>
    <w:rsid w:val="003146AA"/>
    <w:rsid w:val="0031522C"/>
    <w:rsid w:val="003160EB"/>
    <w:rsid w:val="003164AA"/>
    <w:rsid w:val="00316AC0"/>
    <w:rsid w:val="00316EF5"/>
    <w:rsid w:val="0031749A"/>
    <w:rsid w:val="00317FDE"/>
    <w:rsid w:val="00321C0A"/>
    <w:rsid w:val="00321FBD"/>
    <w:rsid w:val="00322FA5"/>
    <w:rsid w:val="003230BE"/>
    <w:rsid w:val="003233E5"/>
    <w:rsid w:val="00323B43"/>
    <w:rsid w:val="00323CAC"/>
    <w:rsid w:val="003249D6"/>
    <w:rsid w:val="003257F3"/>
    <w:rsid w:val="00326FB6"/>
    <w:rsid w:val="003275BD"/>
    <w:rsid w:val="00332CB1"/>
    <w:rsid w:val="003330CF"/>
    <w:rsid w:val="00335093"/>
    <w:rsid w:val="0033596C"/>
    <w:rsid w:val="0033655F"/>
    <w:rsid w:val="003375EA"/>
    <w:rsid w:val="003400FF"/>
    <w:rsid w:val="00340984"/>
    <w:rsid w:val="00340B80"/>
    <w:rsid w:val="003410B1"/>
    <w:rsid w:val="00342B39"/>
    <w:rsid w:val="00342D98"/>
    <w:rsid w:val="003462F5"/>
    <w:rsid w:val="00346B59"/>
    <w:rsid w:val="00346C2B"/>
    <w:rsid w:val="00346F2D"/>
    <w:rsid w:val="003470F3"/>
    <w:rsid w:val="00350012"/>
    <w:rsid w:val="003509A6"/>
    <w:rsid w:val="003512AD"/>
    <w:rsid w:val="0035255D"/>
    <w:rsid w:val="00353059"/>
    <w:rsid w:val="00353737"/>
    <w:rsid w:val="003537FD"/>
    <w:rsid w:val="00355236"/>
    <w:rsid w:val="00355F6E"/>
    <w:rsid w:val="00356898"/>
    <w:rsid w:val="00357A0F"/>
    <w:rsid w:val="00360657"/>
    <w:rsid w:val="0036074E"/>
    <w:rsid w:val="00360856"/>
    <w:rsid w:val="00360D24"/>
    <w:rsid w:val="00361934"/>
    <w:rsid w:val="00361CCD"/>
    <w:rsid w:val="003620DE"/>
    <w:rsid w:val="00362455"/>
    <w:rsid w:val="003633CE"/>
    <w:rsid w:val="00363915"/>
    <w:rsid w:val="00363AE7"/>
    <w:rsid w:val="003654CA"/>
    <w:rsid w:val="00365997"/>
    <w:rsid w:val="0037155C"/>
    <w:rsid w:val="00372050"/>
    <w:rsid w:val="0037277A"/>
    <w:rsid w:val="0037371E"/>
    <w:rsid w:val="00373FC4"/>
    <w:rsid w:val="00374EB1"/>
    <w:rsid w:val="003753E6"/>
    <w:rsid w:val="00376135"/>
    <w:rsid w:val="003767C3"/>
    <w:rsid w:val="0037775A"/>
    <w:rsid w:val="00380751"/>
    <w:rsid w:val="00380951"/>
    <w:rsid w:val="00381100"/>
    <w:rsid w:val="00381E3F"/>
    <w:rsid w:val="00382AA5"/>
    <w:rsid w:val="00382EEB"/>
    <w:rsid w:val="00383B7A"/>
    <w:rsid w:val="00384082"/>
    <w:rsid w:val="00384351"/>
    <w:rsid w:val="003843B6"/>
    <w:rsid w:val="00385581"/>
    <w:rsid w:val="003855DB"/>
    <w:rsid w:val="00385BAD"/>
    <w:rsid w:val="003869DD"/>
    <w:rsid w:val="00387036"/>
    <w:rsid w:val="00387686"/>
    <w:rsid w:val="00387899"/>
    <w:rsid w:val="00387AE2"/>
    <w:rsid w:val="00390143"/>
    <w:rsid w:val="00390CF1"/>
    <w:rsid w:val="00391635"/>
    <w:rsid w:val="00391914"/>
    <w:rsid w:val="0039216F"/>
    <w:rsid w:val="00392F09"/>
    <w:rsid w:val="00393687"/>
    <w:rsid w:val="003950E9"/>
    <w:rsid w:val="00395317"/>
    <w:rsid w:val="00396217"/>
    <w:rsid w:val="00397AA8"/>
    <w:rsid w:val="003A0840"/>
    <w:rsid w:val="003A0ED7"/>
    <w:rsid w:val="003A2727"/>
    <w:rsid w:val="003A275D"/>
    <w:rsid w:val="003A30DE"/>
    <w:rsid w:val="003A3160"/>
    <w:rsid w:val="003A3D0D"/>
    <w:rsid w:val="003A4A02"/>
    <w:rsid w:val="003A5920"/>
    <w:rsid w:val="003A5E40"/>
    <w:rsid w:val="003A6A4C"/>
    <w:rsid w:val="003B0437"/>
    <w:rsid w:val="003B043A"/>
    <w:rsid w:val="003B0A75"/>
    <w:rsid w:val="003B136C"/>
    <w:rsid w:val="003B146A"/>
    <w:rsid w:val="003B1615"/>
    <w:rsid w:val="003B25A4"/>
    <w:rsid w:val="003B30D5"/>
    <w:rsid w:val="003B3E23"/>
    <w:rsid w:val="003B52F0"/>
    <w:rsid w:val="003B5D6B"/>
    <w:rsid w:val="003B6A05"/>
    <w:rsid w:val="003B7EEA"/>
    <w:rsid w:val="003C0314"/>
    <w:rsid w:val="003C04DB"/>
    <w:rsid w:val="003C0668"/>
    <w:rsid w:val="003C0FDC"/>
    <w:rsid w:val="003C117C"/>
    <w:rsid w:val="003C1287"/>
    <w:rsid w:val="003C43AB"/>
    <w:rsid w:val="003C4FC9"/>
    <w:rsid w:val="003C56CD"/>
    <w:rsid w:val="003C6040"/>
    <w:rsid w:val="003C6282"/>
    <w:rsid w:val="003C6DC2"/>
    <w:rsid w:val="003D084A"/>
    <w:rsid w:val="003D2CB6"/>
    <w:rsid w:val="003D37D8"/>
    <w:rsid w:val="003D3921"/>
    <w:rsid w:val="003D6581"/>
    <w:rsid w:val="003D7994"/>
    <w:rsid w:val="003D7C23"/>
    <w:rsid w:val="003E02EC"/>
    <w:rsid w:val="003E0CD9"/>
    <w:rsid w:val="003E1118"/>
    <w:rsid w:val="003E3048"/>
    <w:rsid w:val="003E3B94"/>
    <w:rsid w:val="003E40AF"/>
    <w:rsid w:val="003E5372"/>
    <w:rsid w:val="003E5B2F"/>
    <w:rsid w:val="003E5E4D"/>
    <w:rsid w:val="003E7100"/>
    <w:rsid w:val="003F05D6"/>
    <w:rsid w:val="003F10F8"/>
    <w:rsid w:val="003F5326"/>
    <w:rsid w:val="003F53CC"/>
    <w:rsid w:val="003F5C04"/>
    <w:rsid w:val="003F6AC2"/>
    <w:rsid w:val="003F6FD2"/>
    <w:rsid w:val="003F7739"/>
    <w:rsid w:val="00400C7C"/>
    <w:rsid w:val="00402255"/>
    <w:rsid w:val="00402C46"/>
    <w:rsid w:val="00402CBB"/>
    <w:rsid w:val="00402F1A"/>
    <w:rsid w:val="00403174"/>
    <w:rsid w:val="004032C0"/>
    <w:rsid w:val="00403429"/>
    <w:rsid w:val="00404ED6"/>
    <w:rsid w:val="00406BC6"/>
    <w:rsid w:val="00411913"/>
    <w:rsid w:val="00411D28"/>
    <w:rsid w:val="004120F6"/>
    <w:rsid w:val="004125AB"/>
    <w:rsid w:val="00412884"/>
    <w:rsid w:val="004145BD"/>
    <w:rsid w:val="00414893"/>
    <w:rsid w:val="00415CBE"/>
    <w:rsid w:val="0041705F"/>
    <w:rsid w:val="00417186"/>
    <w:rsid w:val="0041735F"/>
    <w:rsid w:val="00420BF0"/>
    <w:rsid w:val="00421676"/>
    <w:rsid w:val="00422FCE"/>
    <w:rsid w:val="00423223"/>
    <w:rsid w:val="00424ED9"/>
    <w:rsid w:val="004254F8"/>
    <w:rsid w:val="00426133"/>
    <w:rsid w:val="004268EE"/>
    <w:rsid w:val="00426BBE"/>
    <w:rsid w:val="00427225"/>
    <w:rsid w:val="00427D98"/>
    <w:rsid w:val="004300DE"/>
    <w:rsid w:val="004305B1"/>
    <w:rsid w:val="0043072A"/>
    <w:rsid w:val="0043077F"/>
    <w:rsid w:val="0043195F"/>
    <w:rsid w:val="004320BF"/>
    <w:rsid w:val="0043449A"/>
    <w:rsid w:val="004358AB"/>
    <w:rsid w:val="004360F2"/>
    <w:rsid w:val="0043617E"/>
    <w:rsid w:val="00436393"/>
    <w:rsid w:val="004374D9"/>
    <w:rsid w:val="00440102"/>
    <w:rsid w:val="0044041C"/>
    <w:rsid w:val="004417FA"/>
    <w:rsid w:val="00442959"/>
    <w:rsid w:val="004435EA"/>
    <w:rsid w:val="00445F76"/>
    <w:rsid w:val="00446515"/>
    <w:rsid w:val="00447A6B"/>
    <w:rsid w:val="00451555"/>
    <w:rsid w:val="00452B71"/>
    <w:rsid w:val="00452C07"/>
    <w:rsid w:val="00454BA8"/>
    <w:rsid w:val="004551F6"/>
    <w:rsid w:val="0045545A"/>
    <w:rsid w:val="004554F9"/>
    <w:rsid w:val="004555C7"/>
    <w:rsid w:val="004557A2"/>
    <w:rsid w:val="00455839"/>
    <w:rsid w:val="00455B76"/>
    <w:rsid w:val="00460C9C"/>
    <w:rsid w:val="004628EB"/>
    <w:rsid w:val="00462976"/>
    <w:rsid w:val="0046334D"/>
    <w:rsid w:val="00463723"/>
    <w:rsid w:val="00464494"/>
    <w:rsid w:val="00464E1F"/>
    <w:rsid w:val="00464F67"/>
    <w:rsid w:val="00466BB6"/>
    <w:rsid w:val="00466D42"/>
    <w:rsid w:val="004706E3"/>
    <w:rsid w:val="00471410"/>
    <w:rsid w:val="00471630"/>
    <w:rsid w:val="0047165C"/>
    <w:rsid w:val="00471BAE"/>
    <w:rsid w:val="00471FBB"/>
    <w:rsid w:val="0047423A"/>
    <w:rsid w:val="00474698"/>
    <w:rsid w:val="00474B42"/>
    <w:rsid w:val="004751E6"/>
    <w:rsid w:val="00477C13"/>
    <w:rsid w:val="00477C52"/>
    <w:rsid w:val="00477E8A"/>
    <w:rsid w:val="00480129"/>
    <w:rsid w:val="004806B1"/>
    <w:rsid w:val="00481C34"/>
    <w:rsid w:val="004829CB"/>
    <w:rsid w:val="00482DF8"/>
    <w:rsid w:val="00484A34"/>
    <w:rsid w:val="00486441"/>
    <w:rsid w:val="00487C91"/>
    <w:rsid w:val="00490856"/>
    <w:rsid w:val="004915FA"/>
    <w:rsid w:val="00491B38"/>
    <w:rsid w:val="004921F5"/>
    <w:rsid w:val="00492429"/>
    <w:rsid w:val="00494612"/>
    <w:rsid w:val="00495665"/>
    <w:rsid w:val="00495DA9"/>
    <w:rsid w:val="00496125"/>
    <w:rsid w:val="00496580"/>
    <w:rsid w:val="00497564"/>
    <w:rsid w:val="00497E35"/>
    <w:rsid w:val="004A0751"/>
    <w:rsid w:val="004A0A0B"/>
    <w:rsid w:val="004A17BA"/>
    <w:rsid w:val="004A28BB"/>
    <w:rsid w:val="004A2ADD"/>
    <w:rsid w:val="004A3DD9"/>
    <w:rsid w:val="004A456E"/>
    <w:rsid w:val="004A53F1"/>
    <w:rsid w:val="004A54D3"/>
    <w:rsid w:val="004A5A2F"/>
    <w:rsid w:val="004A5ECB"/>
    <w:rsid w:val="004A6748"/>
    <w:rsid w:val="004A68E2"/>
    <w:rsid w:val="004A69D4"/>
    <w:rsid w:val="004B02CB"/>
    <w:rsid w:val="004B093F"/>
    <w:rsid w:val="004B2BFF"/>
    <w:rsid w:val="004B490C"/>
    <w:rsid w:val="004B4C46"/>
    <w:rsid w:val="004B4D5C"/>
    <w:rsid w:val="004B52C4"/>
    <w:rsid w:val="004B6DBC"/>
    <w:rsid w:val="004B7089"/>
    <w:rsid w:val="004B7142"/>
    <w:rsid w:val="004B724F"/>
    <w:rsid w:val="004B79AA"/>
    <w:rsid w:val="004B7A0E"/>
    <w:rsid w:val="004C0213"/>
    <w:rsid w:val="004C099A"/>
    <w:rsid w:val="004C1AE4"/>
    <w:rsid w:val="004C1DBD"/>
    <w:rsid w:val="004C20B1"/>
    <w:rsid w:val="004C3C60"/>
    <w:rsid w:val="004C3F81"/>
    <w:rsid w:val="004C51B3"/>
    <w:rsid w:val="004C56CF"/>
    <w:rsid w:val="004D28DE"/>
    <w:rsid w:val="004D5A63"/>
    <w:rsid w:val="004D7859"/>
    <w:rsid w:val="004E0C8E"/>
    <w:rsid w:val="004E26A6"/>
    <w:rsid w:val="004E2D99"/>
    <w:rsid w:val="004E3238"/>
    <w:rsid w:val="004E6F2E"/>
    <w:rsid w:val="004F0001"/>
    <w:rsid w:val="004F0AF2"/>
    <w:rsid w:val="004F26C6"/>
    <w:rsid w:val="004F2D47"/>
    <w:rsid w:val="004F2F34"/>
    <w:rsid w:val="004F3709"/>
    <w:rsid w:val="004F4454"/>
    <w:rsid w:val="004F4E0A"/>
    <w:rsid w:val="004F529B"/>
    <w:rsid w:val="004F6C71"/>
    <w:rsid w:val="004F7D12"/>
    <w:rsid w:val="005003A0"/>
    <w:rsid w:val="00501948"/>
    <w:rsid w:val="00502BAB"/>
    <w:rsid w:val="005030A9"/>
    <w:rsid w:val="00503C92"/>
    <w:rsid w:val="00503F04"/>
    <w:rsid w:val="005055EF"/>
    <w:rsid w:val="00506842"/>
    <w:rsid w:val="00510035"/>
    <w:rsid w:val="00510E76"/>
    <w:rsid w:val="00511208"/>
    <w:rsid w:val="00511B9F"/>
    <w:rsid w:val="00512EA3"/>
    <w:rsid w:val="00513595"/>
    <w:rsid w:val="0051363E"/>
    <w:rsid w:val="0051455A"/>
    <w:rsid w:val="005148B1"/>
    <w:rsid w:val="005148B8"/>
    <w:rsid w:val="00515524"/>
    <w:rsid w:val="005164F9"/>
    <w:rsid w:val="00516F89"/>
    <w:rsid w:val="005179CD"/>
    <w:rsid w:val="0052102A"/>
    <w:rsid w:val="00522C30"/>
    <w:rsid w:val="00522E6E"/>
    <w:rsid w:val="005242DA"/>
    <w:rsid w:val="005246C5"/>
    <w:rsid w:val="00524895"/>
    <w:rsid w:val="005254F2"/>
    <w:rsid w:val="00525B78"/>
    <w:rsid w:val="0052722D"/>
    <w:rsid w:val="005300EB"/>
    <w:rsid w:val="005308B9"/>
    <w:rsid w:val="00530E96"/>
    <w:rsid w:val="00531582"/>
    <w:rsid w:val="00531CB2"/>
    <w:rsid w:val="005333DB"/>
    <w:rsid w:val="00534BC3"/>
    <w:rsid w:val="0053550E"/>
    <w:rsid w:val="0053599D"/>
    <w:rsid w:val="005362C3"/>
    <w:rsid w:val="005362F0"/>
    <w:rsid w:val="0053653A"/>
    <w:rsid w:val="005374A4"/>
    <w:rsid w:val="00541490"/>
    <w:rsid w:val="0054417E"/>
    <w:rsid w:val="005456E7"/>
    <w:rsid w:val="0054650A"/>
    <w:rsid w:val="00547111"/>
    <w:rsid w:val="00547FC3"/>
    <w:rsid w:val="0055091B"/>
    <w:rsid w:val="00551088"/>
    <w:rsid w:val="00551B88"/>
    <w:rsid w:val="00551CA8"/>
    <w:rsid w:val="005528C6"/>
    <w:rsid w:val="00552B4B"/>
    <w:rsid w:val="0055318A"/>
    <w:rsid w:val="00553F6E"/>
    <w:rsid w:val="005542D2"/>
    <w:rsid w:val="005550A0"/>
    <w:rsid w:val="00555F5D"/>
    <w:rsid w:val="00556F67"/>
    <w:rsid w:val="00557188"/>
    <w:rsid w:val="005574DC"/>
    <w:rsid w:val="00561E6F"/>
    <w:rsid w:val="00563264"/>
    <w:rsid w:val="00563342"/>
    <w:rsid w:val="00563568"/>
    <w:rsid w:val="005639DA"/>
    <w:rsid w:val="00563EA0"/>
    <w:rsid w:val="00564754"/>
    <w:rsid w:val="005647B6"/>
    <w:rsid w:val="005654BE"/>
    <w:rsid w:val="00567494"/>
    <w:rsid w:val="00567DB1"/>
    <w:rsid w:val="0057089A"/>
    <w:rsid w:val="00570DB6"/>
    <w:rsid w:val="005722E8"/>
    <w:rsid w:val="00572941"/>
    <w:rsid w:val="00574A48"/>
    <w:rsid w:val="005755C5"/>
    <w:rsid w:val="00576DC5"/>
    <w:rsid w:val="00577882"/>
    <w:rsid w:val="00580009"/>
    <w:rsid w:val="005801E6"/>
    <w:rsid w:val="005815F9"/>
    <w:rsid w:val="00582E09"/>
    <w:rsid w:val="00584695"/>
    <w:rsid w:val="005847E8"/>
    <w:rsid w:val="00584B49"/>
    <w:rsid w:val="00584DFF"/>
    <w:rsid w:val="00584E75"/>
    <w:rsid w:val="00586380"/>
    <w:rsid w:val="00587D7A"/>
    <w:rsid w:val="005909CB"/>
    <w:rsid w:val="00591204"/>
    <w:rsid w:val="005915AC"/>
    <w:rsid w:val="00592906"/>
    <w:rsid w:val="005930B7"/>
    <w:rsid w:val="005950AB"/>
    <w:rsid w:val="00595DDD"/>
    <w:rsid w:val="00595ECD"/>
    <w:rsid w:val="00596A13"/>
    <w:rsid w:val="00597654"/>
    <w:rsid w:val="00597AB2"/>
    <w:rsid w:val="005A09AB"/>
    <w:rsid w:val="005A0A43"/>
    <w:rsid w:val="005A336F"/>
    <w:rsid w:val="005A3A8E"/>
    <w:rsid w:val="005A3CF9"/>
    <w:rsid w:val="005A51E0"/>
    <w:rsid w:val="005A576A"/>
    <w:rsid w:val="005A5836"/>
    <w:rsid w:val="005A6035"/>
    <w:rsid w:val="005A6B3C"/>
    <w:rsid w:val="005A72E7"/>
    <w:rsid w:val="005B1290"/>
    <w:rsid w:val="005B1F3B"/>
    <w:rsid w:val="005B3425"/>
    <w:rsid w:val="005B5D32"/>
    <w:rsid w:val="005B6608"/>
    <w:rsid w:val="005B7B9D"/>
    <w:rsid w:val="005B7BB8"/>
    <w:rsid w:val="005B7EED"/>
    <w:rsid w:val="005C042F"/>
    <w:rsid w:val="005C2CB6"/>
    <w:rsid w:val="005C410D"/>
    <w:rsid w:val="005C4452"/>
    <w:rsid w:val="005C517A"/>
    <w:rsid w:val="005C5763"/>
    <w:rsid w:val="005C5D15"/>
    <w:rsid w:val="005C66EA"/>
    <w:rsid w:val="005C766B"/>
    <w:rsid w:val="005C7B51"/>
    <w:rsid w:val="005C7B60"/>
    <w:rsid w:val="005C7BB8"/>
    <w:rsid w:val="005D0070"/>
    <w:rsid w:val="005D0318"/>
    <w:rsid w:val="005D07AF"/>
    <w:rsid w:val="005D22BE"/>
    <w:rsid w:val="005D249F"/>
    <w:rsid w:val="005D622C"/>
    <w:rsid w:val="005D6C4F"/>
    <w:rsid w:val="005D6DD3"/>
    <w:rsid w:val="005D6FA8"/>
    <w:rsid w:val="005D6FD7"/>
    <w:rsid w:val="005D73F6"/>
    <w:rsid w:val="005E0A24"/>
    <w:rsid w:val="005E26FA"/>
    <w:rsid w:val="005E2BB7"/>
    <w:rsid w:val="005E2CB7"/>
    <w:rsid w:val="005E2D10"/>
    <w:rsid w:val="005E3020"/>
    <w:rsid w:val="005E4B94"/>
    <w:rsid w:val="005E596F"/>
    <w:rsid w:val="005E6D0C"/>
    <w:rsid w:val="005E7250"/>
    <w:rsid w:val="005E753B"/>
    <w:rsid w:val="005F12C9"/>
    <w:rsid w:val="005F16FD"/>
    <w:rsid w:val="005F18DB"/>
    <w:rsid w:val="005F2644"/>
    <w:rsid w:val="005F29A8"/>
    <w:rsid w:val="005F464F"/>
    <w:rsid w:val="005F67C5"/>
    <w:rsid w:val="005F6DAD"/>
    <w:rsid w:val="005F71AB"/>
    <w:rsid w:val="005F7853"/>
    <w:rsid w:val="00600256"/>
    <w:rsid w:val="0060088B"/>
    <w:rsid w:val="0060108C"/>
    <w:rsid w:val="00602FB8"/>
    <w:rsid w:val="0060377A"/>
    <w:rsid w:val="00603A53"/>
    <w:rsid w:val="00603B5E"/>
    <w:rsid w:val="00604137"/>
    <w:rsid w:val="00604532"/>
    <w:rsid w:val="00604DF4"/>
    <w:rsid w:val="0060727B"/>
    <w:rsid w:val="00610821"/>
    <w:rsid w:val="006108F7"/>
    <w:rsid w:val="0061143B"/>
    <w:rsid w:val="00612B09"/>
    <w:rsid w:val="00613893"/>
    <w:rsid w:val="006143A6"/>
    <w:rsid w:val="00615122"/>
    <w:rsid w:val="0061586F"/>
    <w:rsid w:val="00615CBB"/>
    <w:rsid w:val="00615F60"/>
    <w:rsid w:val="00616105"/>
    <w:rsid w:val="00616249"/>
    <w:rsid w:val="006168DE"/>
    <w:rsid w:val="00617141"/>
    <w:rsid w:val="006171ED"/>
    <w:rsid w:val="00617817"/>
    <w:rsid w:val="00617C66"/>
    <w:rsid w:val="00617FF6"/>
    <w:rsid w:val="00622BFD"/>
    <w:rsid w:val="006235FD"/>
    <w:rsid w:val="00623866"/>
    <w:rsid w:val="0062495F"/>
    <w:rsid w:val="006254CB"/>
    <w:rsid w:val="00627371"/>
    <w:rsid w:val="0063017E"/>
    <w:rsid w:val="006305C4"/>
    <w:rsid w:val="00630693"/>
    <w:rsid w:val="0063080B"/>
    <w:rsid w:val="00630E73"/>
    <w:rsid w:val="00631C29"/>
    <w:rsid w:val="00632046"/>
    <w:rsid w:val="006326C1"/>
    <w:rsid w:val="00632FAD"/>
    <w:rsid w:val="0063321C"/>
    <w:rsid w:val="00633666"/>
    <w:rsid w:val="006351D2"/>
    <w:rsid w:val="00636414"/>
    <w:rsid w:val="00636864"/>
    <w:rsid w:val="00637239"/>
    <w:rsid w:val="006372AC"/>
    <w:rsid w:val="00640C0E"/>
    <w:rsid w:val="006425BA"/>
    <w:rsid w:val="006445B3"/>
    <w:rsid w:val="00645B91"/>
    <w:rsid w:val="0064686F"/>
    <w:rsid w:val="00646A8C"/>
    <w:rsid w:val="00647160"/>
    <w:rsid w:val="006502E9"/>
    <w:rsid w:val="006508B2"/>
    <w:rsid w:val="00650BE4"/>
    <w:rsid w:val="00654842"/>
    <w:rsid w:val="006569C2"/>
    <w:rsid w:val="00657F16"/>
    <w:rsid w:val="0066067E"/>
    <w:rsid w:val="00660E04"/>
    <w:rsid w:val="006610EC"/>
    <w:rsid w:val="0066115B"/>
    <w:rsid w:val="00661DBA"/>
    <w:rsid w:val="006633C5"/>
    <w:rsid w:val="006639DD"/>
    <w:rsid w:val="00665784"/>
    <w:rsid w:val="00665AA3"/>
    <w:rsid w:val="00665F1B"/>
    <w:rsid w:val="00666DF5"/>
    <w:rsid w:val="00667917"/>
    <w:rsid w:val="00671D11"/>
    <w:rsid w:val="00672FF4"/>
    <w:rsid w:val="006735E8"/>
    <w:rsid w:val="0067493E"/>
    <w:rsid w:val="00674BA2"/>
    <w:rsid w:val="00675575"/>
    <w:rsid w:val="0067578B"/>
    <w:rsid w:val="00675952"/>
    <w:rsid w:val="00676024"/>
    <w:rsid w:val="006761C1"/>
    <w:rsid w:val="006772EF"/>
    <w:rsid w:val="006774CA"/>
    <w:rsid w:val="006801F7"/>
    <w:rsid w:val="00681869"/>
    <w:rsid w:val="00681CD0"/>
    <w:rsid w:val="006824D2"/>
    <w:rsid w:val="00682BC9"/>
    <w:rsid w:val="0068346C"/>
    <w:rsid w:val="006835E9"/>
    <w:rsid w:val="00683F8B"/>
    <w:rsid w:val="00686A13"/>
    <w:rsid w:val="00686A5C"/>
    <w:rsid w:val="00691B35"/>
    <w:rsid w:val="00692720"/>
    <w:rsid w:val="00692F6F"/>
    <w:rsid w:val="00693C27"/>
    <w:rsid w:val="00694477"/>
    <w:rsid w:val="00694A05"/>
    <w:rsid w:val="00694E33"/>
    <w:rsid w:val="00696715"/>
    <w:rsid w:val="00697E13"/>
    <w:rsid w:val="006A1770"/>
    <w:rsid w:val="006A3467"/>
    <w:rsid w:val="006A369E"/>
    <w:rsid w:val="006A3A8B"/>
    <w:rsid w:val="006A6F62"/>
    <w:rsid w:val="006B038D"/>
    <w:rsid w:val="006B0B70"/>
    <w:rsid w:val="006B259E"/>
    <w:rsid w:val="006B28A6"/>
    <w:rsid w:val="006B394E"/>
    <w:rsid w:val="006B4841"/>
    <w:rsid w:val="006B518C"/>
    <w:rsid w:val="006B5521"/>
    <w:rsid w:val="006B78E8"/>
    <w:rsid w:val="006B7AC9"/>
    <w:rsid w:val="006C16B5"/>
    <w:rsid w:val="006C2570"/>
    <w:rsid w:val="006C3197"/>
    <w:rsid w:val="006C33D6"/>
    <w:rsid w:val="006C34D7"/>
    <w:rsid w:val="006C5D5B"/>
    <w:rsid w:val="006C5EA2"/>
    <w:rsid w:val="006C7462"/>
    <w:rsid w:val="006D1BFD"/>
    <w:rsid w:val="006D3019"/>
    <w:rsid w:val="006D36C4"/>
    <w:rsid w:val="006D5EF2"/>
    <w:rsid w:val="006D6401"/>
    <w:rsid w:val="006D75C7"/>
    <w:rsid w:val="006D7BB3"/>
    <w:rsid w:val="006E0F63"/>
    <w:rsid w:val="006E102E"/>
    <w:rsid w:val="006E176D"/>
    <w:rsid w:val="006E1DDA"/>
    <w:rsid w:val="006E2861"/>
    <w:rsid w:val="006E367D"/>
    <w:rsid w:val="006E41B2"/>
    <w:rsid w:val="006E61C5"/>
    <w:rsid w:val="006E71C6"/>
    <w:rsid w:val="006E7762"/>
    <w:rsid w:val="006E78FD"/>
    <w:rsid w:val="006F0737"/>
    <w:rsid w:val="006F09D8"/>
    <w:rsid w:val="006F0FD8"/>
    <w:rsid w:val="006F355C"/>
    <w:rsid w:val="006F3868"/>
    <w:rsid w:val="006F3DDD"/>
    <w:rsid w:val="006F4966"/>
    <w:rsid w:val="006F50A1"/>
    <w:rsid w:val="006F5964"/>
    <w:rsid w:val="006F5E99"/>
    <w:rsid w:val="006F5FD2"/>
    <w:rsid w:val="006F6C02"/>
    <w:rsid w:val="006F7484"/>
    <w:rsid w:val="006F7797"/>
    <w:rsid w:val="006F7870"/>
    <w:rsid w:val="006F7ABC"/>
    <w:rsid w:val="006F7CAA"/>
    <w:rsid w:val="006F7E11"/>
    <w:rsid w:val="007038A2"/>
    <w:rsid w:val="00703BC6"/>
    <w:rsid w:val="007055EA"/>
    <w:rsid w:val="00705893"/>
    <w:rsid w:val="0070703A"/>
    <w:rsid w:val="0070775E"/>
    <w:rsid w:val="00707E1B"/>
    <w:rsid w:val="007117FE"/>
    <w:rsid w:val="00712DB6"/>
    <w:rsid w:val="00712E66"/>
    <w:rsid w:val="007135DF"/>
    <w:rsid w:val="00713805"/>
    <w:rsid w:val="00716C5A"/>
    <w:rsid w:val="00716DC6"/>
    <w:rsid w:val="00717F5F"/>
    <w:rsid w:val="0072057E"/>
    <w:rsid w:val="00721187"/>
    <w:rsid w:val="0072131D"/>
    <w:rsid w:val="0072169C"/>
    <w:rsid w:val="0072195C"/>
    <w:rsid w:val="00721A48"/>
    <w:rsid w:val="0072391E"/>
    <w:rsid w:val="007239ED"/>
    <w:rsid w:val="00724330"/>
    <w:rsid w:val="00725872"/>
    <w:rsid w:val="007258A9"/>
    <w:rsid w:val="00725A8F"/>
    <w:rsid w:val="00727FC5"/>
    <w:rsid w:val="007301DF"/>
    <w:rsid w:val="00730549"/>
    <w:rsid w:val="00732120"/>
    <w:rsid w:val="007336AA"/>
    <w:rsid w:val="00733816"/>
    <w:rsid w:val="00734A28"/>
    <w:rsid w:val="00735651"/>
    <w:rsid w:val="007361C9"/>
    <w:rsid w:val="00736391"/>
    <w:rsid w:val="007373A1"/>
    <w:rsid w:val="0073768F"/>
    <w:rsid w:val="00741133"/>
    <w:rsid w:val="007416A8"/>
    <w:rsid w:val="007418C2"/>
    <w:rsid w:val="007422C2"/>
    <w:rsid w:val="00742667"/>
    <w:rsid w:val="00742CC5"/>
    <w:rsid w:val="0074330A"/>
    <w:rsid w:val="007443D0"/>
    <w:rsid w:val="00745739"/>
    <w:rsid w:val="0074644E"/>
    <w:rsid w:val="00746713"/>
    <w:rsid w:val="00746F26"/>
    <w:rsid w:val="00747182"/>
    <w:rsid w:val="0074736F"/>
    <w:rsid w:val="007474D7"/>
    <w:rsid w:val="0074769A"/>
    <w:rsid w:val="00747D0A"/>
    <w:rsid w:val="0075082D"/>
    <w:rsid w:val="007513D8"/>
    <w:rsid w:val="0075161E"/>
    <w:rsid w:val="00752ADC"/>
    <w:rsid w:val="00754660"/>
    <w:rsid w:val="007554E2"/>
    <w:rsid w:val="00755679"/>
    <w:rsid w:val="00756437"/>
    <w:rsid w:val="00760535"/>
    <w:rsid w:val="00760A6E"/>
    <w:rsid w:val="00760B02"/>
    <w:rsid w:val="00764C93"/>
    <w:rsid w:val="00765A4A"/>
    <w:rsid w:val="00765D36"/>
    <w:rsid w:val="007669E8"/>
    <w:rsid w:val="00771A0C"/>
    <w:rsid w:val="00772CD9"/>
    <w:rsid w:val="00772D65"/>
    <w:rsid w:val="00772E62"/>
    <w:rsid w:val="00773F9D"/>
    <w:rsid w:val="007746D4"/>
    <w:rsid w:val="007760AC"/>
    <w:rsid w:val="007770F1"/>
    <w:rsid w:val="007779C7"/>
    <w:rsid w:val="0078124C"/>
    <w:rsid w:val="00782439"/>
    <w:rsid w:val="00783831"/>
    <w:rsid w:val="00784722"/>
    <w:rsid w:val="00784CCF"/>
    <w:rsid w:val="00784D04"/>
    <w:rsid w:val="007857DD"/>
    <w:rsid w:val="00785D52"/>
    <w:rsid w:val="007862E0"/>
    <w:rsid w:val="0079197C"/>
    <w:rsid w:val="00791B8F"/>
    <w:rsid w:val="007923A5"/>
    <w:rsid w:val="00792B4F"/>
    <w:rsid w:val="007974DF"/>
    <w:rsid w:val="007A022F"/>
    <w:rsid w:val="007A0E67"/>
    <w:rsid w:val="007A10C3"/>
    <w:rsid w:val="007A300E"/>
    <w:rsid w:val="007A4145"/>
    <w:rsid w:val="007A5171"/>
    <w:rsid w:val="007A5C1C"/>
    <w:rsid w:val="007A68A3"/>
    <w:rsid w:val="007A6EAD"/>
    <w:rsid w:val="007A751B"/>
    <w:rsid w:val="007B0EC1"/>
    <w:rsid w:val="007B18E0"/>
    <w:rsid w:val="007B3EF9"/>
    <w:rsid w:val="007B5574"/>
    <w:rsid w:val="007B58A6"/>
    <w:rsid w:val="007B5998"/>
    <w:rsid w:val="007B599B"/>
    <w:rsid w:val="007B5FE5"/>
    <w:rsid w:val="007B7835"/>
    <w:rsid w:val="007C0A95"/>
    <w:rsid w:val="007C23A0"/>
    <w:rsid w:val="007C31BF"/>
    <w:rsid w:val="007C362C"/>
    <w:rsid w:val="007C3BC6"/>
    <w:rsid w:val="007C7AEA"/>
    <w:rsid w:val="007D017E"/>
    <w:rsid w:val="007D0D7C"/>
    <w:rsid w:val="007D145A"/>
    <w:rsid w:val="007D3017"/>
    <w:rsid w:val="007D337E"/>
    <w:rsid w:val="007D3ADC"/>
    <w:rsid w:val="007D3FCD"/>
    <w:rsid w:val="007D57EB"/>
    <w:rsid w:val="007D6364"/>
    <w:rsid w:val="007D6B24"/>
    <w:rsid w:val="007D703E"/>
    <w:rsid w:val="007E0A23"/>
    <w:rsid w:val="007E0DB7"/>
    <w:rsid w:val="007E1079"/>
    <w:rsid w:val="007E10EF"/>
    <w:rsid w:val="007E111D"/>
    <w:rsid w:val="007E1520"/>
    <w:rsid w:val="007E1679"/>
    <w:rsid w:val="007E167A"/>
    <w:rsid w:val="007E322B"/>
    <w:rsid w:val="007E473F"/>
    <w:rsid w:val="007E5021"/>
    <w:rsid w:val="007E52A8"/>
    <w:rsid w:val="007E581F"/>
    <w:rsid w:val="007E61C5"/>
    <w:rsid w:val="007E635C"/>
    <w:rsid w:val="007E64D9"/>
    <w:rsid w:val="007E7C54"/>
    <w:rsid w:val="007F2DD3"/>
    <w:rsid w:val="007F3DFB"/>
    <w:rsid w:val="007F46D6"/>
    <w:rsid w:val="007F4CB5"/>
    <w:rsid w:val="00800A01"/>
    <w:rsid w:val="008012C0"/>
    <w:rsid w:val="00802215"/>
    <w:rsid w:val="0080481B"/>
    <w:rsid w:val="00804871"/>
    <w:rsid w:val="00806471"/>
    <w:rsid w:val="008079E5"/>
    <w:rsid w:val="00807FDF"/>
    <w:rsid w:val="008103DD"/>
    <w:rsid w:val="008113EC"/>
    <w:rsid w:val="00812BE8"/>
    <w:rsid w:val="008133E3"/>
    <w:rsid w:val="00814F80"/>
    <w:rsid w:val="00815962"/>
    <w:rsid w:val="0081612E"/>
    <w:rsid w:val="008166EE"/>
    <w:rsid w:val="00817173"/>
    <w:rsid w:val="00817297"/>
    <w:rsid w:val="0081734B"/>
    <w:rsid w:val="00817BB2"/>
    <w:rsid w:val="00817CE3"/>
    <w:rsid w:val="00820EB7"/>
    <w:rsid w:val="00820FA7"/>
    <w:rsid w:val="00821074"/>
    <w:rsid w:val="008212AB"/>
    <w:rsid w:val="00822AA2"/>
    <w:rsid w:val="00823276"/>
    <w:rsid w:val="008238CC"/>
    <w:rsid w:val="00823CED"/>
    <w:rsid w:val="008249A8"/>
    <w:rsid w:val="00825BF9"/>
    <w:rsid w:val="00826305"/>
    <w:rsid w:val="008267EC"/>
    <w:rsid w:val="00826D8C"/>
    <w:rsid w:val="00826D93"/>
    <w:rsid w:val="00826F33"/>
    <w:rsid w:val="00827214"/>
    <w:rsid w:val="008278FE"/>
    <w:rsid w:val="00827EDF"/>
    <w:rsid w:val="0083133A"/>
    <w:rsid w:val="008314DE"/>
    <w:rsid w:val="00831AC5"/>
    <w:rsid w:val="00831CC0"/>
    <w:rsid w:val="008321ED"/>
    <w:rsid w:val="00832F45"/>
    <w:rsid w:val="0083480A"/>
    <w:rsid w:val="00836BB4"/>
    <w:rsid w:val="00837722"/>
    <w:rsid w:val="00840561"/>
    <w:rsid w:val="00841363"/>
    <w:rsid w:val="00841C16"/>
    <w:rsid w:val="00842005"/>
    <w:rsid w:val="00842CEF"/>
    <w:rsid w:val="00843285"/>
    <w:rsid w:val="00843F7B"/>
    <w:rsid w:val="008443C2"/>
    <w:rsid w:val="00844666"/>
    <w:rsid w:val="00844668"/>
    <w:rsid w:val="008446D7"/>
    <w:rsid w:val="0084497E"/>
    <w:rsid w:val="008452D7"/>
    <w:rsid w:val="0084575E"/>
    <w:rsid w:val="008464DB"/>
    <w:rsid w:val="00846E50"/>
    <w:rsid w:val="008471F8"/>
    <w:rsid w:val="008478A6"/>
    <w:rsid w:val="00847C0C"/>
    <w:rsid w:val="00850E48"/>
    <w:rsid w:val="0085153A"/>
    <w:rsid w:val="00852E6E"/>
    <w:rsid w:val="00854AFD"/>
    <w:rsid w:val="00857A4E"/>
    <w:rsid w:val="00862306"/>
    <w:rsid w:val="00862A02"/>
    <w:rsid w:val="00864293"/>
    <w:rsid w:val="008653C7"/>
    <w:rsid w:val="00866AE6"/>
    <w:rsid w:val="008707DB"/>
    <w:rsid w:val="00871BB4"/>
    <w:rsid w:val="0087280A"/>
    <w:rsid w:val="0087363E"/>
    <w:rsid w:val="00873EF8"/>
    <w:rsid w:val="00875E8A"/>
    <w:rsid w:val="0088233B"/>
    <w:rsid w:val="00882FB5"/>
    <w:rsid w:val="0088353C"/>
    <w:rsid w:val="00883DAF"/>
    <w:rsid w:val="00884130"/>
    <w:rsid w:val="00884955"/>
    <w:rsid w:val="0088688C"/>
    <w:rsid w:val="0088797B"/>
    <w:rsid w:val="00890136"/>
    <w:rsid w:val="00890499"/>
    <w:rsid w:val="008907B2"/>
    <w:rsid w:val="00891CB1"/>
    <w:rsid w:val="00892950"/>
    <w:rsid w:val="00892FD7"/>
    <w:rsid w:val="00893CAB"/>
    <w:rsid w:val="00893D10"/>
    <w:rsid w:val="008951B6"/>
    <w:rsid w:val="00896A05"/>
    <w:rsid w:val="008A2C35"/>
    <w:rsid w:val="008A369A"/>
    <w:rsid w:val="008A5524"/>
    <w:rsid w:val="008A5B7D"/>
    <w:rsid w:val="008A722A"/>
    <w:rsid w:val="008B022D"/>
    <w:rsid w:val="008B0A93"/>
    <w:rsid w:val="008B0CC6"/>
    <w:rsid w:val="008B1D40"/>
    <w:rsid w:val="008B2363"/>
    <w:rsid w:val="008B3904"/>
    <w:rsid w:val="008B43B5"/>
    <w:rsid w:val="008B50A2"/>
    <w:rsid w:val="008B5164"/>
    <w:rsid w:val="008B5748"/>
    <w:rsid w:val="008B5B93"/>
    <w:rsid w:val="008B6BD4"/>
    <w:rsid w:val="008B7726"/>
    <w:rsid w:val="008B7F84"/>
    <w:rsid w:val="008C01E4"/>
    <w:rsid w:val="008C0B8F"/>
    <w:rsid w:val="008C0CB5"/>
    <w:rsid w:val="008C1409"/>
    <w:rsid w:val="008C36C8"/>
    <w:rsid w:val="008C3DA3"/>
    <w:rsid w:val="008C3F08"/>
    <w:rsid w:val="008C566F"/>
    <w:rsid w:val="008C6CD7"/>
    <w:rsid w:val="008C6DE4"/>
    <w:rsid w:val="008D088E"/>
    <w:rsid w:val="008D08D0"/>
    <w:rsid w:val="008D0BD8"/>
    <w:rsid w:val="008D140B"/>
    <w:rsid w:val="008D19BC"/>
    <w:rsid w:val="008D2955"/>
    <w:rsid w:val="008D2AD0"/>
    <w:rsid w:val="008D2FE1"/>
    <w:rsid w:val="008D3AB4"/>
    <w:rsid w:val="008D41CB"/>
    <w:rsid w:val="008D5C56"/>
    <w:rsid w:val="008E15B1"/>
    <w:rsid w:val="008E1F4A"/>
    <w:rsid w:val="008E2496"/>
    <w:rsid w:val="008E27D4"/>
    <w:rsid w:val="008E2A97"/>
    <w:rsid w:val="008E2FDF"/>
    <w:rsid w:val="008E3227"/>
    <w:rsid w:val="008E469F"/>
    <w:rsid w:val="008E4EAC"/>
    <w:rsid w:val="008E5399"/>
    <w:rsid w:val="008E5DA1"/>
    <w:rsid w:val="008E689A"/>
    <w:rsid w:val="008E75E0"/>
    <w:rsid w:val="008E7ADC"/>
    <w:rsid w:val="008F15C5"/>
    <w:rsid w:val="008F4ABC"/>
    <w:rsid w:val="008F694F"/>
    <w:rsid w:val="008F7253"/>
    <w:rsid w:val="00901017"/>
    <w:rsid w:val="00905633"/>
    <w:rsid w:val="009057CA"/>
    <w:rsid w:val="00905C1F"/>
    <w:rsid w:val="00906218"/>
    <w:rsid w:val="00906E30"/>
    <w:rsid w:val="0091012C"/>
    <w:rsid w:val="00912E49"/>
    <w:rsid w:val="00915ED4"/>
    <w:rsid w:val="0091619C"/>
    <w:rsid w:val="00916F0A"/>
    <w:rsid w:val="00917212"/>
    <w:rsid w:val="00920F50"/>
    <w:rsid w:val="009213BE"/>
    <w:rsid w:val="00921828"/>
    <w:rsid w:val="00921945"/>
    <w:rsid w:val="0092269F"/>
    <w:rsid w:val="00923351"/>
    <w:rsid w:val="00923363"/>
    <w:rsid w:val="00923C8D"/>
    <w:rsid w:val="0092408F"/>
    <w:rsid w:val="00925B0A"/>
    <w:rsid w:val="009269C8"/>
    <w:rsid w:val="00926B96"/>
    <w:rsid w:val="00926DA6"/>
    <w:rsid w:val="00927C6B"/>
    <w:rsid w:val="0093067F"/>
    <w:rsid w:val="00930EA5"/>
    <w:rsid w:val="00931874"/>
    <w:rsid w:val="00931D69"/>
    <w:rsid w:val="00932FD6"/>
    <w:rsid w:val="00933959"/>
    <w:rsid w:val="009346F8"/>
    <w:rsid w:val="00934D01"/>
    <w:rsid w:val="00935C9A"/>
    <w:rsid w:val="00936549"/>
    <w:rsid w:val="009410BD"/>
    <w:rsid w:val="0094112F"/>
    <w:rsid w:val="00941869"/>
    <w:rsid w:val="00944541"/>
    <w:rsid w:val="00944577"/>
    <w:rsid w:val="00944945"/>
    <w:rsid w:val="00945A8A"/>
    <w:rsid w:val="0094716F"/>
    <w:rsid w:val="0094789B"/>
    <w:rsid w:val="0095026A"/>
    <w:rsid w:val="0095225B"/>
    <w:rsid w:val="0095255F"/>
    <w:rsid w:val="00953D9C"/>
    <w:rsid w:val="00954381"/>
    <w:rsid w:val="009544E9"/>
    <w:rsid w:val="0095482D"/>
    <w:rsid w:val="00955FF9"/>
    <w:rsid w:val="009569DC"/>
    <w:rsid w:val="0096072F"/>
    <w:rsid w:val="00961AF8"/>
    <w:rsid w:val="009623A6"/>
    <w:rsid w:val="00963294"/>
    <w:rsid w:val="0096640A"/>
    <w:rsid w:val="00966D9B"/>
    <w:rsid w:val="00967CBB"/>
    <w:rsid w:val="00970710"/>
    <w:rsid w:val="00971413"/>
    <w:rsid w:val="00971D22"/>
    <w:rsid w:val="00974640"/>
    <w:rsid w:val="00974951"/>
    <w:rsid w:val="009771DF"/>
    <w:rsid w:val="0097739C"/>
    <w:rsid w:val="00982659"/>
    <w:rsid w:val="009835A6"/>
    <w:rsid w:val="009838DE"/>
    <w:rsid w:val="00983AF6"/>
    <w:rsid w:val="00985145"/>
    <w:rsid w:val="00985AA4"/>
    <w:rsid w:val="00986F75"/>
    <w:rsid w:val="00987588"/>
    <w:rsid w:val="009906C2"/>
    <w:rsid w:val="0099088B"/>
    <w:rsid w:val="00990928"/>
    <w:rsid w:val="00990DFF"/>
    <w:rsid w:val="00991453"/>
    <w:rsid w:val="009916D7"/>
    <w:rsid w:val="009917EC"/>
    <w:rsid w:val="009925AD"/>
    <w:rsid w:val="00993AE4"/>
    <w:rsid w:val="00995B4C"/>
    <w:rsid w:val="00996551"/>
    <w:rsid w:val="009970E7"/>
    <w:rsid w:val="00997B32"/>
    <w:rsid w:val="009A1A0D"/>
    <w:rsid w:val="009A37EB"/>
    <w:rsid w:val="009A3C23"/>
    <w:rsid w:val="009A5439"/>
    <w:rsid w:val="009A6404"/>
    <w:rsid w:val="009A6E19"/>
    <w:rsid w:val="009B0AF2"/>
    <w:rsid w:val="009B19DC"/>
    <w:rsid w:val="009B2BCB"/>
    <w:rsid w:val="009B2E3E"/>
    <w:rsid w:val="009B6235"/>
    <w:rsid w:val="009B68EE"/>
    <w:rsid w:val="009C07DA"/>
    <w:rsid w:val="009C0A77"/>
    <w:rsid w:val="009C1210"/>
    <w:rsid w:val="009C13A5"/>
    <w:rsid w:val="009C23FB"/>
    <w:rsid w:val="009C291C"/>
    <w:rsid w:val="009C2CA4"/>
    <w:rsid w:val="009C3C8C"/>
    <w:rsid w:val="009C3F5C"/>
    <w:rsid w:val="009C5041"/>
    <w:rsid w:val="009C5167"/>
    <w:rsid w:val="009C6F59"/>
    <w:rsid w:val="009D06F5"/>
    <w:rsid w:val="009D0A74"/>
    <w:rsid w:val="009D1FBD"/>
    <w:rsid w:val="009D21B7"/>
    <w:rsid w:val="009D2364"/>
    <w:rsid w:val="009D4080"/>
    <w:rsid w:val="009D420C"/>
    <w:rsid w:val="009D5C8B"/>
    <w:rsid w:val="009E02F0"/>
    <w:rsid w:val="009E0951"/>
    <w:rsid w:val="009E1235"/>
    <w:rsid w:val="009E1651"/>
    <w:rsid w:val="009E1BB3"/>
    <w:rsid w:val="009E2AB9"/>
    <w:rsid w:val="009E2C88"/>
    <w:rsid w:val="009E44E3"/>
    <w:rsid w:val="009E5348"/>
    <w:rsid w:val="009E5709"/>
    <w:rsid w:val="009E5998"/>
    <w:rsid w:val="009E621D"/>
    <w:rsid w:val="009E6C37"/>
    <w:rsid w:val="009E7E00"/>
    <w:rsid w:val="009F1363"/>
    <w:rsid w:val="009F166C"/>
    <w:rsid w:val="009F1C0C"/>
    <w:rsid w:val="009F269C"/>
    <w:rsid w:val="009F3BD9"/>
    <w:rsid w:val="009F4077"/>
    <w:rsid w:val="009F50E9"/>
    <w:rsid w:val="009F60D1"/>
    <w:rsid w:val="009F69C5"/>
    <w:rsid w:val="009F7E54"/>
    <w:rsid w:val="009F7F29"/>
    <w:rsid w:val="00A00EE0"/>
    <w:rsid w:val="00A00F3D"/>
    <w:rsid w:val="00A016D2"/>
    <w:rsid w:val="00A01753"/>
    <w:rsid w:val="00A01B2A"/>
    <w:rsid w:val="00A02EDC"/>
    <w:rsid w:val="00A041C8"/>
    <w:rsid w:val="00A04241"/>
    <w:rsid w:val="00A04599"/>
    <w:rsid w:val="00A0618E"/>
    <w:rsid w:val="00A064B9"/>
    <w:rsid w:val="00A067FC"/>
    <w:rsid w:val="00A10261"/>
    <w:rsid w:val="00A11C77"/>
    <w:rsid w:val="00A11F60"/>
    <w:rsid w:val="00A12ACF"/>
    <w:rsid w:val="00A12D53"/>
    <w:rsid w:val="00A12D79"/>
    <w:rsid w:val="00A12E0F"/>
    <w:rsid w:val="00A13289"/>
    <w:rsid w:val="00A134E1"/>
    <w:rsid w:val="00A1399F"/>
    <w:rsid w:val="00A13E93"/>
    <w:rsid w:val="00A141F0"/>
    <w:rsid w:val="00A159EF"/>
    <w:rsid w:val="00A17ACA"/>
    <w:rsid w:val="00A221B6"/>
    <w:rsid w:val="00A24115"/>
    <w:rsid w:val="00A2439E"/>
    <w:rsid w:val="00A24641"/>
    <w:rsid w:val="00A255B9"/>
    <w:rsid w:val="00A25B26"/>
    <w:rsid w:val="00A30E24"/>
    <w:rsid w:val="00A30F6E"/>
    <w:rsid w:val="00A31D19"/>
    <w:rsid w:val="00A32260"/>
    <w:rsid w:val="00A328F2"/>
    <w:rsid w:val="00A32D54"/>
    <w:rsid w:val="00A33A0A"/>
    <w:rsid w:val="00A33B59"/>
    <w:rsid w:val="00A33D60"/>
    <w:rsid w:val="00A34194"/>
    <w:rsid w:val="00A351A0"/>
    <w:rsid w:val="00A35F54"/>
    <w:rsid w:val="00A36D17"/>
    <w:rsid w:val="00A377D7"/>
    <w:rsid w:val="00A37D1E"/>
    <w:rsid w:val="00A40345"/>
    <w:rsid w:val="00A40D1C"/>
    <w:rsid w:val="00A40E7D"/>
    <w:rsid w:val="00A4108C"/>
    <w:rsid w:val="00A42B11"/>
    <w:rsid w:val="00A42C87"/>
    <w:rsid w:val="00A42E6A"/>
    <w:rsid w:val="00A4301D"/>
    <w:rsid w:val="00A443DF"/>
    <w:rsid w:val="00A44B91"/>
    <w:rsid w:val="00A45F1F"/>
    <w:rsid w:val="00A460AA"/>
    <w:rsid w:val="00A46E95"/>
    <w:rsid w:val="00A50C37"/>
    <w:rsid w:val="00A50E5B"/>
    <w:rsid w:val="00A511BF"/>
    <w:rsid w:val="00A5148D"/>
    <w:rsid w:val="00A5519F"/>
    <w:rsid w:val="00A558B1"/>
    <w:rsid w:val="00A566CA"/>
    <w:rsid w:val="00A60303"/>
    <w:rsid w:val="00A6122D"/>
    <w:rsid w:val="00A61606"/>
    <w:rsid w:val="00A61623"/>
    <w:rsid w:val="00A6211A"/>
    <w:rsid w:val="00A62135"/>
    <w:rsid w:val="00A62291"/>
    <w:rsid w:val="00A62362"/>
    <w:rsid w:val="00A62420"/>
    <w:rsid w:val="00A62FA1"/>
    <w:rsid w:val="00A65299"/>
    <w:rsid w:val="00A666E8"/>
    <w:rsid w:val="00A6711A"/>
    <w:rsid w:val="00A725EB"/>
    <w:rsid w:val="00A72AD5"/>
    <w:rsid w:val="00A72BA3"/>
    <w:rsid w:val="00A73527"/>
    <w:rsid w:val="00A746BA"/>
    <w:rsid w:val="00A751E0"/>
    <w:rsid w:val="00A75BBE"/>
    <w:rsid w:val="00A75CEE"/>
    <w:rsid w:val="00A76FC4"/>
    <w:rsid w:val="00A774CD"/>
    <w:rsid w:val="00A77A1E"/>
    <w:rsid w:val="00A815A1"/>
    <w:rsid w:val="00A81945"/>
    <w:rsid w:val="00A8255A"/>
    <w:rsid w:val="00A833D1"/>
    <w:rsid w:val="00A84105"/>
    <w:rsid w:val="00A842EF"/>
    <w:rsid w:val="00A856CE"/>
    <w:rsid w:val="00A85F64"/>
    <w:rsid w:val="00A870E1"/>
    <w:rsid w:val="00A905BE"/>
    <w:rsid w:val="00A91681"/>
    <w:rsid w:val="00A91E9D"/>
    <w:rsid w:val="00A93A83"/>
    <w:rsid w:val="00A955A4"/>
    <w:rsid w:val="00A96534"/>
    <w:rsid w:val="00A96682"/>
    <w:rsid w:val="00A96AE2"/>
    <w:rsid w:val="00A96D2A"/>
    <w:rsid w:val="00A96DD5"/>
    <w:rsid w:val="00AA0272"/>
    <w:rsid w:val="00AA03D3"/>
    <w:rsid w:val="00AA0643"/>
    <w:rsid w:val="00AA1477"/>
    <w:rsid w:val="00AA234D"/>
    <w:rsid w:val="00AA2603"/>
    <w:rsid w:val="00AA29E1"/>
    <w:rsid w:val="00AA2EB6"/>
    <w:rsid w:val="00AA439E"/>
    <w:rsid w:val="00AA5024"/>
    <w:rsid w:val="00AA5279"/>
    <w:rsid w:val="00AA5D98"/>
    <w:rsid w:val="00AA7172"/>
    <w:rsid w:val="00AB3689"/>
    <w:rsid w:val="00AB3A37"/>
    <w:rsid w:val="00AB3EC0"/>
    <w:rsid w:val="00AB41D0"/>
    <w:rsid w:val="00AB4C18"/>
    <w:rsid w:val="00AB5168"/>
    <w:rsid w:val="00AB5C89"/>
    <w:rsid w:val="00AB6004"/>
    <w:rsid w:val="00AB6379"/>
    <w:rsid w:val="00AB6E91"/>
    <w:rsid w:val="00AB7868"/>
    <w:rsid w:val="00AC0165"/>
    <w:rsid w:val="00AC0895"/>
    <w:rsid w:val="00AC0AC7"/>
    <w:rsid w:val="00AC1846"/>
    <w:rsid w:val="00AC2C0F"/>
    <w:rsid w:val="00AC35FD"/>
    <w:rsid w:val="00AC49F9"/>
    <w:rsid w:val="00AC6645"/>
    <w:rsid w:val="00AC70FE"/>
    <w:rsid w:val="00AC7F5E"/>
    <w:rsid w:val="00AD0103"/>
    <w:rsid w:val="00AD01D6"/>
    <w:rsid w:val="00AD0457"/>
    <w:rsid w:val="00AD0B05"/>
    <w:rsid w:val="00AD0BD0"/>
    <w:rsid w:val="00AD11FE"/>
    <w:rsid w:val="00AD14B6"/>
    <w:rsid w:val="00AD1E1D"/>
    <w:rsid w:val="00AD3492"/>
    <w:rsid w:val="00AD48F9"/>
    <w:rsid w:val="00AD62E5"/>
    <w:rsid w:val="00AD7DA4"/>
    <w:rsid w:val="00AE0A96"/>
    <w:rsid w:val="00AE1480"/>
    <w:rsid w:val="00AE22B7"/>
    <w:rsid w:val="00AE2748"/>
    <w:rsid w:val="00AE291A"/>
    <w:rsid w:val="00AE486C"/>
    <w:rsid w:val="00AE4999"/>
    <w:rsid w:val="00AE4B56"/>
    <w:rsid w:val="00AE6287"/>
    <w:rsid w:val="00AE7A50"/>
    <w:rsid w:val="00AF0812"/>
    <w:rsid w:val="00AF1590"/>
    <w:rsid w:val="00AF380B"/>
    <w:rsid w:val="00AF4440"/>
    <w:rsid w:val="00AF4EAC"/>
    <w:rsid w:val="00AF519C"/>
    <w:rsid w:val="00AF563C"/>
    <w:rsid w:val="00AF5A38"/>
    <w:rsid w:val="00AF5EC4"/>
    <w:rsid w:val="00AF6E60"/>
    <w:rsid w:val="00AF7132"/>
    <w:rsid w:val="00AF72A3"/>
    <w:rsid w:val="00B01D32"/>
    <w:rsid w:val="00B01E98"/>
    <w:rsid w:val="00B03055"/>
    <w:rsid w:val="00B03B61"/>
    <w:rsid w:val="00B0539D"/>
    <w:rsid w:val="00B05FAE"/>
    <w:rsid w:val="00B062E0"/>
    <w:rsid w:val="00B06921"/>
    <w:rsid w:val="00B10E35"/>
    <w:rsid w:val="00B11861"/>
    <w:rsid w:val="00B11C30"/>
    <w:rsid w:val="00B12318"/>
    <w:rsid w:val="00B1235C"/>
    <w:rsid w:val="00B13007"/>
    <w:rsid w:val="00B13446"/>
    <w:rsid w:val="00B13B58"/>
    <w:rsid w:val="00B140A1"/>
    <w:rsid w:val="00B154B7"/>
    <w:rsid w:val="00B158C3"/>
    <w:rsid w:val="00B15C9F"/>
    <w:rsid w:val="00B166D7"/>
    <w:rsid w:val="00B171AE"/>
    <w:rsid w:val="00B17CDD"/>
    <w:rsid w:val="00B20054"/>
    <w:rsid w:val="00B20357"/>
    <w:rsid w:val="00B22381"/>
    <w:rsid w:val="00B2297F"/>
    <w:rsid w:val="00B23628"/>
    <w:rsid w:val="00B23B4A"/>
    <w:rsid w:val="00B25130"/>
    <w:rsid w:val="00B25B9C"/>
    <w:rsid w:val="00B26D33"/>
    <w:rsid w:val="00B2708F"/>
    <w:rsid w:val="00B3188D"/>
    <w:rsid w:val="00B31E7E"/>
    <w:rsid w:val="00B3337B"/>
    <w:rsid w:val="00B33D57"/>
    <w:rsid w:val="00B34213"/>
    <w:rsid w:val="00B345C8"/>
    <w:rsid w:val="00B36BA3"/>
    <w:rsid w:val="00B3745A"/>
    <w:rsid w:val="00B37AA9"/>
    <w:rsid w:val="00B40396"/>
    <w:rsid w:val="00B42928"/>
    <w:rsid w:val="00B44842"/>
    <w:rsid w:val="00B44E11"/>
    <w:rsid w:val="00B46382"/>
    <w:rsid w:val="00B47392"/>
    <w:rsid w:val="00B47B60"/>
    <w:rsid w:val="00B504FD"/>
    <w:rsid w:val="00B51EEE"/>
    <w:rsid w:val="00B526B2"/>
    <w:rsid w:val="00B52C07"/>
    <w:rsid w:val="00B553B5"/>
    <w:rsid w:val="00B5565A"/>
    <w:rsid w:val="00B57404"/>
    <w:rsid w:val="00B57C57"/>
    <w:rsid w:val="00B614F2"/>
    <w:rsid w:val="00B626A0"/>
    <w:rsid w:val="00B626E0"/>
    <w:rsid w:val="00B62C79"/>
    <w:rsid w:val="00B62E7D"/>
    <w:rsid w:val="00B62F5D"/>
    <w:rsid w:val="00B637C6"/>
    <w:rsid w:val="00B64C3C"/>
    <w:rsid w:val="00B6529F"/>
    <w:rsid w:val="00B65348"/>
    <w:rsid w:val="00B653B2"/>
    <w:rsid w:val="00B66A81"/>
    <w:rsid w:val="00B675D8"/>
    <w:rsid w:val="00B7273D"/>
    <w:rsid w:val="00B72AA6"/>
    <w:rsid w:val="00B72CEB"/>
    <w:rsid w:val="00B73B92"/>
    <w:rsid w:val="00B73CDE"/>
    <w:rsid w:val="00B74BF8"/>
    <w:rsid w:val="00B750D7"/>
    <w:rsid w:val="00B758EF"/>
    <w:rsid w:val="00B80046"/>
    <w:rsid w:val="00B80108"/>
    <w:rsid w:val="00B80294"/>
    <w:rsid w:val="00B80FC0"/>
    <w:rsid w:val="00B8162D"/>
    <w:rsid w:val="00B81834"/>
    <w:rsid w:val="00B82715"/>
    <w:rsid w:val="00B83814"/>
    <w:rsid w:val="00B83CE2"/>
    <w:rsid w:val="00B8517C"/>
    <w:rsid w:val="00B86C82"/>
    <w:rsid w:val="00B87EB1"/>
    <w:rsid w:val="00B90ABD"/>
    <w:rsid w:val="00B90C50"/>
    <w:rsid w:val="00B90D2A"/>
    <w:rsid w:val="00B90DF4"/>
    <w:rsid w:val="00B910BF"/>
    <w:rsid w:val="00B9242F"/>
    <w:rsid w:val="00B93A3E"/>
    <w:rsid w:val="00B941CC"/>
    <w:rsid w:val="00B943E2"/>
    <w:rsid w:val="00B94EF9"/>
    <w:rsid w:val="00B957E6"/>
    <w:rsid w:val="00B95D82"/>
    <w:rsid w:val="00B966ED"/>
    <w:rsid w:val="00B96D35"/>
    <w:rsid w:val="00B9768F"/>
    <w:rsid w:val="00BA0A12"/>
    <w:rsid w:val="00BA0DA3"/>
    <w:rsid w:val="00BA0E30"/>
    <w:rsid w:val="00BA177B"/>
    <w:rsid w:val="00BA293C"/>
    <w:rsid w:val="00BA296F"/>
    <w:rsid w:val="00BA36DD"/>
    <w:rsid w:val="00BA37A0"/>
    <w:rsid w:val="00BA487A"/>
    <w:rsid w:val="00BA54A3"/>
    <w:rsid w:val="00BA57B2"/>
    <w:rsid w:val="00BA597D"/>
    <w:rsid w:val="00BA5F68"/>
    <w:rsid w:val="00BA62E2"/>
    <w:rsid w:val="00BA65C6"/>
    <w:rsid w:val="00BA68EC"/>
    <w:rsid w:val="00BA7EA9"/>
    <w:rsid w:val="00BB010C"/>
    <w:rsid w:val="00BB13CC"/>
    <w:rsid w:val="00BB1F3E"/>
    <w:rsid w:val="00BB617A"/>
    <w:rsid w:val="00BB6258"/>
    <w:rsid w:val="00BB65CC"/>
    <w:rsid w:val="00BB6898"/>
    <w:rsid w:val="00BB6D71"/>
    <w:rsid w:val="00BB7E07"/>
    <w:rsid w:val="00BC0DAF"/>
    <w:rsid w:val="00BC1197"/>
    <w:rsid w:val="00BC1D05"/>
    <w:rsid w:val="00BC4BAC"/>
    <w:rsid w:val="00BC4D2B"/>
    <w:rsid w:val="00BC5E38"/>
    <w:rsid w:val="00BD0234"/>
    <w:rsid w:val="00BD06A9"/>
    <w:rsid w:val="00BD0873"/>
    <w:rsid w:val="00BD0A01"/>
    <w:rsid w:val="00BD1478"/>
    <w:rsid w:val="00BD1F32"/>
    <w:rsid w:val="00BD20FD"/>
    <w:rsid w:val="00BD28E3"/>
    <w:rsid w:val="00BD2F30"/>
    <w:rsid w:val="00BD335C"/>
    <w:rsid w:val="00BD39EF"/>
    <w:rsid w:val="00BD47A7"/>
    <w:rsid w:val="00BD4DB3"/>
    <w:rsid w:val="00BD4DFC"/>
    <w:rsid w:val="00BD4E44"/>
    <w:rsid w:val="00BD56C0"/>
    <w:rsid w:val="00BD5FD2"/>
    <w:rsid w:val="00BD6B57"/>
    <w:rsid w:val="00BD7D47"/>
    <w:rsid w:val="00BE0457"/>
    <w:rsid w:val="00BE064B"/>
    <w:rsid w:val="00BE0CB2"/>
    <w:rsid w:val="00BE2561"/>
    <w:rsid w:val="00BE460E"/>
    <w:rsid w:val="00BE46D4"/>
    <w:rsid w:val="00BE4DF5"/>
    <w:rsid w:val="00BE5D65"/>
    <w:rsid w:val="00BF0D5C"/>
    <w:rsid w:val="00BF1951"/>
    <w:rsid w:val="00BF2A53"/>
    <w:rsid w:val="00BF31CE"/>
    <w:rsid w:val="00BF3845"/>
    <w:rsid w:val="00BF3BFF"/>
    <w:rsid w:val="00BF41E9"/>
    <w:rsid w:val="00BF514F"/>
    <w:rsid w:val="00BF7109"/>
    <w:rsid w:val="00C0073E"/>
    <w:rsid w:val="00C0080A"/>
    <w:rsid w:val="00C01737"/>
    <w:rsid w:val="00C0176E"/>
    <w:rsid w:val="00C0184F"/>
    <w:rsid w:val="00C01989"/>
    <w:rsid w:val="00C01B34"/>
    <w:rsid w:val="00C02E41"/>
    <w:rsid w:val="00C03306"/>
    <w:rsid w:val="00C0466D"/>
    <w:rsid w:val="00C049B5"/>
    <w:rsid w:val="00C074EF"/>
    <w:rsid w:val="00C079E0"/>
    <w:rsid w:val="00C1071E"/>
    <w:rsid w:val="00C1125E"/>
    <w:rsid w:val="00C11DE1"/>
    <w:rsid w:val="00C12CE6"/>
    <w:rsid w:val="00C12EBE"/>
    <w:rsid w:val="00C16A81"/>
    <w:rsid w:val="00C17CBF"/>
    <w:rsid w:val="00C2061D"/>
    <w:rsid w:val="00C20F59"/>
    <w:rsid w:val="00C21A74"/>
    <w:rsid w:val="00C22453"/>
    <w:rsid w:val="00C22DB0"/>
    <w:rsid w:val="00C23CE7"/>
    <w:rsid w:val="00C24720"/>
    <w:rsid w:val="00C260D6"/>
    <w:rsid w:val="00C2788C"/>
    <w:rsid w:val="00C31ED0"/>
    <w:rsid w:val="00C32074"/>
    <w:rsid w:val="00C32219"/>
    <w:rsid w:val="00C341BC"/>
    <w:rsid w:val="00C42361"/>
    <w:rsid w:val="00C4274E"/>
    <w:rsid w:val="00C43EF5"/>
    <w:rsid w:val="00C43FC6"/>
    <w:rsid w:val="00C44154"/>
    <w:rsid w:val="00C450F5"/>
    <w:rsid w:val="00C4536B"/>
    <w:rsid w:val="00C46CC0"/>
    <w:rsid w:val="00C46F9A"/>
    <w:rsid w:val="00C470D4"/>
    <w:rsid w:val="00C47786"/>
    <w:rsid w:val="00C53C5E"/>
    <w:rsid w:val="00C54BBB"/>
    <w:rsid w:val="00C56E04"/>
    <w:rsid w:val="00C56FE2"/>
    <w:rsid w:val="00C577C8"/>
    <w:rsid w:val="00C57985"/>
    <w:rsid w:val="00C57B46"/>
    <w:rsid w:val="00C60725"/>
    <w:rsid w:val="00C60D57"/>
    <w:rsid w:val="00C62513"/>
    <w:rsid w:val="00C62BC5"/>
    <w:rsid w:val="00C62C44"/>
    <w:rsid w:val="00C635FF"/>
    <w:rsid w:val="00C6404D"/>
    <w:rsid w:val="00C659BC"/>
    <w:rsid w:val="00C6699C"/>
    <w:rsid w:val="00C67474"/>
    <w:rsid w:val="00C722A4"/>
    <w:rsid w:val="00C7258E"/>
    <w:rsid w:val="00C7392B"/>
    <w:rsid w:val="00C73D1C"/>
    <w:rsid w:val="00C7456F"/>
    <w:rsid w:val="00C746F2"/>
    <w:rsid w:val="00C76DF7"/>
    <w:rsid w:val="00C778CF"/>
    <w:rsid w:val="00C77CE4"/>
    <w:rsid w:val="00C77D12"/>
    <w:rsid w:val="00C80F16"/>
    <w:rsid w:val="00C813A7"/>
    <w:rsid w:val="00C81F1D"/>
    <w:rsid w:val="00C8293B"/>
    <w:rsid w:val="00C8384D"/>
    <w:rsid w:val="00C839C8"/>
    <w:rsid w:val="00C849AE"/>
    <w:rsid w:val="00C8546D"/>
    <w:rsid w:val="00C864C5"/>
    <w:rsid w:val="00C86A7A"/>
    <w:rsid w:val="00C8719C"/>
    <w:rsid w:val="00C87907"/>
    <w:rsid w:val="00C90186"/>
    <w:rsid w:val="00C9071C"/>
    <w:rsid w:val="00C909A3"/>
    <w:rsid w:val="00C91E41"/>
    <w:rsid w:val="00C92BEE"/>
    <w:rsid w:val="00C92D65"/>
    <w:rsid w:val="00C93186"/>
    <w:rsid w:val="00C93EAC"/>
    <w:rsid w:val="00C94114"/>
    <w:rsid w:val="00C94607"/>
    <w:rsid w:val="00C9548D"/>
    <w:rsid w:val="00C9554A"/>
    <w:rsid w:val="00C955DC"/>
    <w:rsid w:val="00C959AC"/>
    <w:rsid w:val="00C97092"/>
    <w:rsid w:val="00CA026E"/>
    <w:rsid w:val="00CA0426"/>
    <w:rsid w:val="00CA0473"/>
    <w:rsid w:val="00CA07D6"/>
    <w:rsid w:val="00CA09E0"/>
    <w:rsid w:val="00CA13F8"/>
    <w:rsid w:val="00CA1578"/>
    <w:rsid w:val="00CA1F4C"/>
    <w:rsid w:val="00CA20E1"/>
    <w:rsid w:val="00CA3637"/>
    <w:rsid w:val="00CA41BC"/>
    <w:rsid w:val="00CA47A6"/>
    <w:rsid w:val="00CA4E2C"/>
    <w:rsid w:val="00CA6FF3"/>
    <w:rsid w:val="00CB02B9"/>
    <w:rsid w:val="00CB0A0B"/>
    <w:rsid w:val="00CB159F"/>
    <w:rsid w:val="00CB18A0"/>
    <w:rsid w:val="00CB29B0"/>
    <w:rsid w:val="00CB340C"/>
    <w:rsid w:val="00CB5D91"/>
    <w:rsid w:val="00CB7483"/>
    <w:rsid w:val="00CC07A1"/>
    <w:rsid w:val="00CC0A1C"/>
    <w:rsid w:val="00CC2FB1"/>
    <w:rsid w:val="00CC4A83"/>
    <w:rsid w:val="00CC5606"/>
    <w:rsid w:val="00CC5B47"/>
    <w:rsid w:val="00CC72E4"/>
    <w:rsid w:val="00CC7968"/>
    <w:rsid w:val="00CD0ECB"/>
    <w:rsid w:val="00CD140B"/>
    <w:rsid w:val="00CD171D"/>
    <w:rsid w:val="00CD26BF"/>
    <w:rsid w:val="00CD2EA3"/>
    <w:rsid w:val="00CD36A8"/>
    <w:rsid w:val="00CD3CA2"/>
    <w:rsid w:val="00CD505C"/>
    <w:rsid w:val="00CD5345"/>
    <w:rsid w:val="00CD6CC7"/>
    <w:rsid w:val="00CD78E2"/>
    <w:rsid w:val="00CD7A11"/>
    <w:rsid w:val="00CE1598"/>
    <w:rsid w:val="00CE1DB1"/>
    <w:rsid w:val="00CE218A"/>
    <w:rsid w:val="00CE2CA8"/>
    <w:rsid w:val="00CE3273"/>
    <w:rsid w:val="00CE33EA"/>
    <w:rsid w:val="00CE3AE7"/>
    <w:rsid w:val="00CE3CD7"/>
    <w:rsid w:val="00CE3EF1"/>
    <w:rsid w:val="00CE52C9"/>
    <w:rsid w:val="00CE58AF"/>
    <w:rsid w:val="00CE6624"/>
    <w:rsid w:val="00CF009A"/>
    <w:rsid w:val="00CF017E"/>
    <w:rsid w:val="00CF142C"/>
    <w:rsid w:val="00CF163F"/>
    <w:rsid w:val="00CF2688"/>
    <w:rsid w:val="00CF37A2"/>
    <w:rsid w:val="00CF5019"/>
    <w:rsid w:val="00CF5721"/>
    <w:rsid w:val="00CF59F4"/>
    <w:rsid w:val="00CF60A3"/>
    <w:rsid w:val="00CF6BEA"/>
    <w:rsid w:val="00CF7B1B"/>
    <w:rsid w:val="00D0074E"/>
    <w:rsid w:val="00D01217"/>
    <w:rsid w:val="00D02BBE"/>
    <w:rsid w:val="00D031C2"/>
    <w:rsid w:val="00D0411F"/>
    <w:rsid w:val="00D05935"/>
    <w:rsid w:val="00D05D45"/>
    <w:rsid w:val="00D10B6A"/>
    <w:rsid w:val="00D10BAD"/>
    <w:rsid w:val="00D10D15"/>
    <w:rsid w:val="00D137B7"/>
    <w:rsid w:val="00D13C9F"/>
    <w:rsid w:val="00D13DAD"/>
    <w:rsid w:val="00D15677"/>
    <w:rsid w:val="00D15E12"/>
    <w:rsid w:val="00D16DDF"/>
    <w:rsid w:val="00D20448"/>
    <w:rsid w:val="00D20845"/>
    <w:rsid w:val="00D22ED1"/>
    <w:rsid w:val="00D2346B"/>
    <w:rsid w:val="00D24D6B"/>
    <w:rsid w:val="00D2557C"/>
    <w:rsid w:val="00D267B9"/>
    <w:rsid w:val="00D26EFA"/>
    <w:rsid w:val="00D26FD3"/>
    <w:rsid w:val="00D2753B"/>
    <w:rsid w:val="00D304B1"/>
    <w:rsid w:val="00D307C6"/>
    <w:rsid w:val="00D31173"/>
    <w:rsid w:val="00D31D50"/>
    <w:rsid w:val="00D32863"/>
    <w:rsid w:val="00D34130"/>
    <w:rsid w:val="00D35472"/>
    <w:rsid w:val="00D3569F"/>
    <w:rsid w:val="00D35932"/>
    <w:rsid w:val="00D360DB"/>
    <w:rsid w:val="00D360EF"/>
    <w:rsid w:val="00D363FF"/>
    <w:rsid w:val="00D37C44"/>
    <w:rsid w:val="00D37E5F"/>
    <w:rsid w:val="00D40386"/>
    <w:rsid w:val="00D40B1B"/>
    <w:rsid w:val="00D41A5D"/>
    <w:rsid w:val="00D41B25"/>
    <w:rsid w:val="00D4399D"/>
    <w:rsid w:val="00D43AE4"/>
    <w:rsid w:val="00D43ED0"/>
    <w:rsid w:val="00D44AC9"/>
    <w:rsid w:val="00D44F05"/>
    <w:rsid w:val="00D45D7D"/>
    <w:rsid w:val="00D466BE"/>
    <w:rsid w:val="00D47658"/>
    <w:rsid w:val="00D50BB6"/>
    <w:rsid w:val="00D51383"/>
    <w:rsid w:val="00D52CA7"/>
    <w:rsid w:val="00D54382"/>
    <w:rsid w:val="00D546EB"/>
    <w:rsid w:val="00D5512F"/>
    <w:rsid w:val="00D552CF"/>
    <w:rsid w:val="00D5569F"/>
    <w:rsid w:val="00D55733"/>
    <w:rsid w:val="00D5656B"/>
    <w:rsid w:val="00D57652"/>
    <w:rsid w:val="00D57732"/>
    <w:rsid w:val="00D57753"/>
    <w:rsid w:val="00D57D52"/>
    <w:rsid w:val="00D607D2"/>
    <w:rsid w:val="00D609A1"/>
    <w:rsid w:val="00D60F49"/>
    <w:rsid w:val="00D610BA"/>
    <w:rsid w:val="00D6164C"/>
    <w:rsid w:val="00D6265A"/>
    <w:rsid w:val="00D64CE7"/>
    <w:rsid w:val="00D650B9"/>
    <w:rsid w:val="00D65561"/>
    <w:rsid w:val="00D675D8"/>
    <w:rsid w:val="00D67C03"/>
    <w:rsid w:val="00D70B37"/>
    <w:rsid w:val="00D7270E"/>
    <w:rsid w:val="00D72C9F"/>
    <w:rsid w:val="00D7326D"/>
    <w:rsid w:val="00D73433"/>
    <w:rsid w:val="00D7517C"/>
    <w:rsid w:val="00D7551D"/>
    <w:rsid w:val="00D7553B"/>
    <w:rsid w:val="00D75DB3"/>
    <w:rsid w:val="00D76373"/>
    <w:rsid w:val="00D7669E"/>
    <w:rsid w:val="00D7698F"/>
    <w:rsid w:val="00D807F7"/>
    <w:rsid w:val="00D80905"/>
    <w:rsid w:val="00D80C4A"/>
    <w:rsid w:val="00D82212"/>
    <w:rsid w:val="00D8237D"/>
    <w:rsid w:val="00D8401E"/>
    <w:rsid w:val="00D84726"/>
    <w:rsid w:val="00D848C1"/>
    <w:rsid w:val="00D852B3"/>
    <w:rsid w:val="00D8565C"/>
    <w:rsid w:val="00D85888"/>
    <w:rsid w:val="00D86031"/>
    <w:rsid w:val="00D87C6D"/>
    <w:rsid w:val="00D87D74"/>
    <w:rsid w:val="00D90862"/>
    <w:rsid w:val="00D9116F"/>
    <w:rsid w:val="00D92EEF"/>
    <w:rsid w:val="00D9495E"/>
    <w:rsid w:val="00D951EC"/>
    <w:rsid w:val="00D97BA8"/>
    <w:rsid w:val="00DA0C9E"/>
    <w:rsid w:val="00DA0F5B"/>
    <w:rsid w:val="00DA1507"/>
    <w:rsid w:val="00DA2068"/>
    <w:rsid w:val="00DA2AB4"/>
    <w:rsid w:val="00DA551B"/>
    <w:rsid w:val="00DA6534"/>
    <w:rsid w:val="00DA6605"/>
    <w:rsid w:val="00DA698F"/>
    <w:rsid w:val="00DB193B"/>
    <w:rsid w:val="00DB19DA"/>
    <w:rsid w:val="00DB2DDB"/>
    <w:rsid w:val="00DB554D"/>
    <w:rsid w:val="00DB5846"/>
    <w:rsid w:val="00DB5B2B"/>
    <w:rsid w:val="00DB68D3"/>
    <w:rsid w:val="00DB6D6F"/>
    <w:rsid w:val="00DB723E"/>
    <w:rsid w:val="00DB746C"/>
    <w:rsid w:val="00DC0F33"/>
    <w:rsid w:val="00DC1654"/>
    <w:rsid w:val="00DC2138"/>
    <w:rsid w:val="00DC2E57"/>
    <w:rsid w:val="00DC3514"/>
    <w:rsid w:val="00DC3FCC"/>
    <w:rsid w:val="00DC4ABD"/>
    <w:rsid w:val="00DC5C67"/>
    <w:rsid w:val="00DC65B7"/>
    <w:rsid w:val="00DC7CCD"/>
    <w:rsid w:val="00DD0007"/>
    <w:rsid w:val="00DD0984"/>
    <w:rsid w:val="00DD1CD8"/>
    <w:rsid w:val="00DD2308"/>
    <w:rsid w:val="00DD3059"/>
    <w:rsid w:val="00DD35ED"/>
    <w:rsid w:val="00DD5D76"/>
    <w:rsid w:val="00DD6708"/>
    <w:rsid w:val="00DD7D12"/>
    <w:rsid w:val="00DE1AEA"/>
    <w:rsid w:val="00DE1DCB"/>
    <w:rsid w:val="00DE3E8F"/>
    <w:rsid w:val="00DE40B7"/>
    <w:rsid w:val="00DE4D85"/>
    <w:rsid w:val="00DE4F54"/>
    <w:rsid w:val="00DE64AE"/>
    <w:rsid w:val="00DE66C1"/>
    <w:rsid w:val="00DE6AD1"/>
    <w:rsid w:val="00DE77C8"/>
    <w:rsid w:val="00DF00B0"/>
    <w:rsid w:val="00DF04AB"/>
    <w:rsid w:val="00DF0A91"/>
    <w:rsid w:val="00DF0F92"/>
    <w:rsid w:val="00DF147D"/>
    <w:rsid w:val="00DF2543"/>
    <w:rsid w:val="00DF2651"/>
    <w:rsid w:val="00DF3879"/>
    <w:rsid w:val="00DF3A24"/>
    <w:rsid w:val="00DF3E9D"/>
    <w:rsid w:val="00DF4121"/>
    <w:rsid w:val="00DF4848"/>
    <w:rsid w:val="00DF4DF1"/>
    <w:rsid w:val="00DF72A4"/>
    <w:rsid w:val="00E001E7"/>
    <w:rsid w:val="00E0038D"/>
    <w:rsid w:val="00E01324"/>
    <w:rsid w:val="00E02A37"/>
    <w:rsid w:val="00E02E5C"/>
    <w:rsid w:val="00E03687"/>
    <w:rsid w:val="00E03AE2"/>
    <w:rsid w:val="00E04684"/>
    <w:rsid w:val="00E063CB"/>
    <w:rsid w:val="00E0664A"/>
    <w:rsid w:val="00E06A5B"/>
    <w:rsid w:val="00E06C60"/>
    <w:rsid w:val="00E070D9"/>
    <w:rsid w:val="00E11FC9"/>
    <w:rsid w:val="00E12802"/>
    <w:rsid w:val="00E12BCB"/>
    <w:rsid w:val="00E1311D"/>
    <w:rsid w:val="00E13CF9"/>
    <w:rsid w:val="00E15373"/>
    <w:rsid w:val="00E15D92"/>
    <w:rsid w:val="00E16885"/>
    <w:rsid w:val="00E20A39"/>
    <w:rsid w:val="00E2145B"/>
    <w:rsid w:val="00E227F0"/>
    <w:rsid w:val="00E22F80"/>
    <w:rsid w:val="00E23107"/>
    <w:rsid w:val="00E232EA"/>
    <w:rsid w:val="00E2418D"/>
    <w:rsid w:val="00E25AE7"/>
    <w:rsid w:val="00E25B0E"/>
    <w:rsid w:val="00E269DB"/>
    <w:rsid w:val="00E279C7"/>
    <w:rsid w:val="00E27F70"/>
    <w:rsid w:val="00E307F5"/>
    <w:rsid w:val="00E3244B"/>
    <w:rsid w:val="00E32A2B"/>
    <w:rsid w:val="00E33871"/>
    <w:rsid w:val="00E35201"/>
    <w:rsid w:val="00E36494"/>
    <w:rsid w:val="00E367F8"/>
    <w:rsid w:val="00E37D76"/>
    <w:rsid w:val="00E407FE"/>
    <w:rsid w:val="00E4152B"/>
    <w:rsid w:val="00E423C0"/>
    <w:rsid w:val="00E4294A"/>
    <w:rsid w:val="00E43252"/>
    <w:rsid w:val="00E43CC0"/>
    <w:rsid w:val="00E45695"/>
    <w:rsid w:val="00E5103E"/>
    <w:rsid w:val="00E511FD"/>
    <w:rsid w:val="00E5205E"/>
    <w:rsid w:val="00E52C01"/>
    <w:rsid w:val="00E53A59"/>
    <w:rsid w:val="00E53B44"/>
    <w:rsid w:val="00E53DA5"/>
    <w:rsid w:val="00E55D50"/>
    <w:rsid w:val="00E56029"/>
    <w:rsid w:val="00E5736E"/>
    <w:rsid w:val="00E5793B"/>
    <w:rsid w:val="00E614FA"/>
    <w:rsid w:val="00E6235A"/>
    <w:rsid w:val="00E627DA"/>
    <w:rsid w:val="00E628A2"/>
    <w:rsid w:val="00E659C5"/>
    <w:rsid w:val="00E66AC3"/>
    <w:rsid w:val="00E66B3C"/>
    <w:rsid w:val="00E729DA"/>
    <w:rsid w:val="00E7310B"/>
    <w:rsid w:val="00E7572A"/>
    <w:rsid w:val="00E75B7D"/>
    <w:rsid w:val="00E75C30"/>
    <w:rsid w:val="00E762B3"/>
    <w:rsid w:val="00E7741B"/>
    <w:rsid w:val="00E80617"/>
    <w:rsid w:val="00E814EE"/>
    <w:rsid w:val="00E8244B"/>
    <w:rsid w:val="00E83897"/>
    <w:rsid w:val="00E838A8"/>
    <w:rsid w:val="00E83E5B"/>
    <w:rsid w:val="00E843E5"/>
    <w:rsid w:val="00E851E4"/>
    <w:rsid w:val="00E87142"/>
    <w:rsid w:val="00E871AE"/>
    <w:rsid w:val="00E87568"/>
    <w:rsid w:val="00E878F2"/>
    <w:rsid w:val="00E87EC8"/>
    <w:rsid w:val="00E906AB"/>
    <w:rsid w:val="00E90C49"/>
    <w:rsid w:val="00E910E3"/>
    <w:rsid w:val="00E910FE"/>
    <w:rsid w:val="00E929A0"/>
    <w:rsid w:val="00E92EE4"/>
    <w:rsid w:val="00E94971"/>
    <w:rsid w:val="00E951E0"/>
    <w:rsid w:val="00E96357"/>
    <w:rsid w:val="00E965C7"/>
    <w:rsid w:val="00E9682F"/>
    <w:rsid w:val="00E975D1"/>
    <w:rsid w:val="00E97AE3"/>
    <w:rsid w:val="00EA10A1"/>
    <w:rsid w:val="00EA1BFA"/>
    <w:rsid w:val="00EA1C5F"/>
    <w:rsid w:val="00EA1E4D"/>
    <w:rsid w:val="00EA2069"/>
    <w:rsid w:val="00EA2166"/>
    <w:rsid w:val="00EA236D"/>
    <w:rsid w:val="00EA5176"/>
    <w:rsid w:val="00EA51A8"/>
    <w:rsid w:val="00EA5364"/>
    <w:rsid w:val="00EA5B89"/>
    <w:rsid w:val="00EA6600"/>
    <w:rsid w:val="00EA7EAF"/>
    <w:rsid w:val="00EB44C2"/>
    <w:rsid w:val="00EB60F2"/>
    <w:rsid w:val="00EB6CFF"/>
    <w:rsid w:val="00EB784A"/>
    <w:rsid w:val="00EC01A7"/>
    <w:rsid w:val="00EC080E"/>
    <w:rsid w:val="00EC1DF9"/>
    <w:rsid w:val="00EC2162"/>
    <w:rsid w:val="00EC433C"/>
    <w:rsid w:val="00EC4AE0"/>
    <w:rsid w:val="00EC53BB"/>
    <w:rsid w:val="00EC5728"/>
    <w:rsid w:val="00EC5A4A"/>
    <w:rsid w:val="00EC6CBC"/>
    <w:rsid w:val="00ED0EFC"/>
    <w:rsid w:val="00ED11FA"/>
    <w:rsid w:val="00ED202A"/>
    <w:rsid w:val="00ED2511"/>
    <w:rsid w:val="00ED25BB"/>
    <w:rsid w:val="00ED2EEB"/>
    <w:rsid w:val="00ED389E"/>
    <w:rsid w:val="00ED3A79"/>
    <w:rsid w:val="00ED5D13"/>
    <w:rsid w:val="00ED613D"/>
    <w:rsid w:val="00EE06C7"/>
    <w:rsid w:val="00EE11A4"/>
    <w:rsid w:val="00EE1662"/>
    <w:rsid w:val="00EE19BB"/>
    <w:rsid w:val="00EE2C8A"/>
    <w:rsid w:val="00EE3938"/>
    <w:rsid w:val="00EE3EC2"/>
    <w:rsid w:val="00EE4BB2"/>
    <w:rsid w:val="00EE4E3D"/>
    <w:rsid w:val="00EF0632"/>
    <w:rsid w:val="00EF1301"/>
    <w:rsid w:val="00EF214F"/>
    <w:rsid w:val="00EF2723"/>
    <w:rsid w:val="00EF31A6"/>
    <w:rsid w:val="00EF3DDB"/>
    <w:rsid w:val="00EF4B48"/>
    <w:rsid w:val="00EF4D59"/>
    <w:rsid w:val="00EF59AC"/>
    <w:rsid w:val="00EF6212"/>
    <w:rsid w:val="00EF6250"/>
    <w:rsid w:val="00F00440"/>
    <w:rsid w:val="00F03143"/>
    <w:rsid w:val="00F03588"/>
    <w:rsid w:val="00F0712D"/>
    <w:rsid w:val="00F1002C"/>
    <w:rsid w:val="00F109E0"/>
    <w:rsid w:val="00F11013"/>
    <w:rsid w:val="00F111DE"/>
    <w:rsid w:val="00F1140F"/>
    <w:rsid w:val="00F11B1E"/>
    <w:rsid w:val="00F11F99"/>
    <w:rsid w:val="00F13398"/>
    <w:rsid w:val="00F14133"/>
    <w:rsid w:val="00F14C6A"/>
    <w:rsid w:val="00F14EB4"/>
    <w:rsid w:val="00F17EE4"/>
    <w:rsid w:val="00F21043"/>
    <w:rsid w:val="00F232E1"/>
    <w:rsid w:val="00F23A97"/>
    <w:rsid w:val="00F25434"/>
    <w:rsid w:val="00F2576B"/>
    <w:rsid w:val="00F25FC7"/>
    <w:rsid w:val="00F311B3"/>
    <w:rsid w:val="00F314E3"/>
    <w:rsid w:val="00F32F85"/>
    <w:rsid w:val="00F342EE"/>
    <w:rsid w:val="00F361C7"/>
    <w:rsid w:val="00F37317"/>
    <w:rsid w:val="00F3739B"/>
    <w:rsid w:val="00F375CA"/>
    <w:rsid w:val="00F37C3F"/>
    <w:rsid w:val="00F400BF"/>
    <w:rsid w:val="00F422DA"/>
    <w:rsid w:val="00F42636"/>
    <w:rsid w:val="00F438F1"/>
    <w:rsid w:val="00F43B34"/>
    <w:rsid w:val="00F442C1"/>
    <w:rsid w:val="00F4447E"/>
    <w:rsid w:val="00F44F40"/>
    <w:rsid w:val="00F45712"/>
    <w:rsid w:val="00F50581"/>
    <w:rsid w:val="00F53AA9"/>
    <w:rsid w:val="00F543B5"/>
    <w:rsid w:val="00F57BAD"/>
    <w:rsid w:val="00F60259"/>
    <w:rsid w:val="00F609D2"/>
    <w:rsid w:val="00F628A7"/>
    <w:rsid w:val="00F64071"/>
    <w:rsid w:val="00F6443C"/>
    <w:rsid w:val="00F646CA"/>
    <w:rsid w:val="00F64793"/>
    <w:rsid w:val="00F64E23"/>
    <w:rsid w:val="00F64EA5"/>
    <w:rsid w:val="00F65192"/>
    <w:rsid w:val="00F65A15"/>
    <w:rsid w:val="00F65B16"/>
    <w:rsid w:val="00F66146"/>
    <w:rsid w:val="00F661F4"/>
    <w:rsid w:val="00F66AC1"/>
    <w:rsid w:val="00F66E8C"/>
    <w:rsid w:val="00F67474"/>
    <w:rsid w:val="00F67DF6"/>
    <w:rsid w:val="00F67E22"/>
    <w:rsid w:val="00F701B1"/>
    <w:rsid w:val="00F7054E"/>
    <w:rsid w:val="00F705E8"/>
    <w:rsid w:val="00F70791"/>
    <w:rsid w:val="00F70CDB"/>
    <w:rsid w:val="00F713FB"/>
    <w:rsid w:val="00F71532"/>
    <w:rsid w:val="00F71918"/>
    <w:rsid w:val="00F720DA"/>
    <w:rsid w:val="00F72B49"/>
    <w:rsid w:val="00F731CD"/>
    <w:rsid w:val="00F7327F"/>
    <w:rsid w:val="00F73A43"/>
    <w:rsid w:val="00F74124"/>
    <w:rsid w:val="00F75BE0"/>
    <w:rsid w:val="00F76DFE"/>
    <w:rsid w:val="00F76F31"/>
    <w:rsid w:val="00F77B26"/>
    <w:rsid w:val="00F80598"/>
    <w:rsid w:val="00F80693"/>
    <w:rsid w:val="00F80ADA"/>
    <w:rsid w:val="00F81995"/>
    <w:rsid w:val="00F81A52"/>
    <w:rsid w:val="00F81F31"/>
    <w:rsid w:val="00F82701"/>
    <w:rsid w:val="00F8289D"/>
    <w:rsid w:val="00F83D38"/>
    <w:rsid w:val="00F84336"/>
    <w:rsid w:val="00F8451E"/>
    <w:rsid w:val="00F85B6C"/>
    <w:rsid w:val="00F87184"/>
    <w:rsid w:val="00F879C0"/>
    <w:rsid w:val="00F91086"/>
    <w:rsid w:val="00F92C5B"/>
    <w:rsid w:val="00F93162"/>
    <w:rsid w:val="00F946E1"/>
    <w:rsid w:val="00F95222"/>
    <w:rsid w:val="00F9662E"/>
    <w:rsid w:val="00F96DC9"/>
    <w:rsid w:val="00F96E7B"/>
    <w:rsid w:val="00F97631"/>
    <w:rsid w:val="00F97C9C"/>
    <w:rsid w:val="00FA0117"/>
    <w:rsid w:val="00FA19AF"/>
    <w:rsid w:val="00FA1D5E"/>
    <w:rsid w:val="00FA2072"/>
    <w:rsid w:val="00FA3D39"/>
    <w:rsid w:val="00FA3FD2"/>
    <w:rsid w:val="00FA4D9C"/>
    <w:rsid w:val="00FA5675"/>
    <w:rsid w:val="00FA7F9E"/>
    <w:rsid w:val="00FB1857"/>
    <w:rsid w:val="00FB223A"/>
    <w:rsid w:val="00FB25ED"/>
    <w:rsid w:val="00FB2A42"/>
    <w:rsid w:val="00FB2BA0"/>
    <w:rsid w:val="00FB36A9"/>
    <w:rsid w:val="00FB4A46"/>
    <w:rsid w:val="00FB4ED3"/>
    <w:rsid w:val="00FB52E3"/>
    <w:rsid w:val="00FB6158"/>
    <w:rsid w:val="00FB71B6"/>
    <w:rsid w:val="00FB781A"/>
    <w:rsid w:val="00FC01F8"/>
    <w:rsid w:val="00FC2D1D"/>
    <w:rsid w:val="00FC6744"/>
    <w:rsid w:val="00FC701A"/>
    <w:rsid w:val="00FC7B07"/>
    <w:rsid w:val="00FD0258"/>
    <w:rsid w:val="00FD0F64"/>
    <w:rsid w:val="00FD133C"/>
    <w:rsid w:val="00FD16EE"/>
    <w:rsid w:val="00FD2032"/>
    <w:rsid w:val="00FD3E65"/>
    <w:rsid w:val="00FD593F"/>
    <w:rsid w:val="00FD65DF"/>
    <w:rsid w:val="00FD6907"/>
    <w:rsid w:val="00FD6944"/>
    <w:rsid w:val="00FD6B4B"/>
    <w:rsid w:val="00FD7449"/>
    <w:rsid w:val="00FD7C8C"/>
    <w:rsid w:val="00FD7EFC"/>
    <w:rsid w:val="00FE1A9D"/>
    <w:rsid w:val="00FE1C2A"/>
    <w:rsid w:val="00FE7843"/>
    <w:rsid w:val="00FF1BF7"/>
    <w:rsid w:val="00FF28E0"/>
    <w:rsid w:val="00FF3355"/>
    <w:rsid w:val="00FF396B"/>
    <w:rsid w:val="00FF3D9B"/>
    <w:rsid w:val="00FF3E6C"/>
    <w:rsid w:val="00FF465D"/>
    <w:rsid w:val="00FF499F"/>
    <w:rsid w:val="00FF5EBC"/>
    <w:rsid w:val="00FF6474"/>
    <w:rsid w:val="00FF7FD0"/>
    <w:rsid w:val="77413AF2"/>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index 1" w:uiPriority="0" w:unhideWhenUsed="0"/>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semiHidden="0" w:uiPriority="0" w:unhideWhenUsed="0" w:qFormat="1"/>
    <w:lsdException w:name="annotation text" w:semiHidden="0" w:uiPriority="0"/>
    <w:lsdException w:name="header" w:semiHidden="0" w:uiPriority="0"/>
    <w:lsdException w:name="footer" w:semiHidden="0"/>
    <w:lsdException w:name="caption" w:semiHidden="0" w:uiPriority="0" w:unhideWhenUsed="0" w:qFormat="1"/>
    <w:lsdException w:name="annotation reference" w:semiHidden="0"/>
    <w:lsdException w:name="page number" w:semiHidden="0" w:uiPriority="0" w:unhideWhenUsed="0"/>
    <w:lsdException w:name="List" w:semiHidden="0" w:uiPriority="0"/>
    <w:lsdException w:name="List Number" w:semiHidden="0" w:uiPriority="0" w:unhideWhenUsed="0"/>
    <w:lsdException w:name="List Number 2" w:uiPriority="0"/>
    <w:lsdException w:name="Title" w:semiHidden="0" w:uiPriority="0" w:unhideWhenUsed="0" w:qFormat="1"/>
    <w:lsdException w:name="Default Paragraph Font" w:semiHidden="0" w:uiPriority="1"/>
    <w:lsdException w:name="Body Text Indent" w:semiHidden="0"/>
    <w:lsdException w:name="Subtitle" w:semiHidden="0" w:uiPriority="11" w:unhideWhenUsed="0" w:qFormat="1"/>
    <w:lsdException w:name="Date" w:semiHidden="0" w:uiPriority="0" w:unhideWhenUsed="0"/>
    <w:lsdException w:name="Body Text First Indent" w:semiHidden="0" w:uiPriority="0"/>
    <w:lsdException w:name="Body Text 2" w:uiPriority="0"/>
    <w:lsdException w:name="Hyperlink" w:semiHidden="0"/>
    <w:lsdException w:name="Strong" w:semiHidden="0" w:uiPriority="22" w:unhideWhenUsed="0" w:qFormat="1"/>
    <w:lsdException w:name="Emphasis" w:semiHidden="0" w:uiPriority="0" w:unhideWhenUsed="0" w:qFormat="1"/>
    <w:lsdException w:name="Plain Text" w:semiHidden="0" w:uiPriority="0" w:unhideWhenUsed="0"/>
    <w:lsdException w:name="Normal (Web)" w:semiHidden="0"/>
    <w:lsdException w:name="Normal Table" w:qFormat="1"/>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NormalIndent"/>
    <w:qFormat/>
    <w:pPr>
      <w:contextualSpacing/>
      <w:jc w:val="both"/>
    </w:pPr>
    <w:rPr>
      <w:rFonts w:ascii="Times New Roman" w:eastAsia="宋体" w:hAnsi="Times New Roman"/>
      <w:sz w:val="24"/>
      <w:szCs w:val="22"/>
      <w:lang w:val="en-US" w:eastAsia="zh-CN" w:bidi="ar-SA"/>
    </w:rPr>
  </w:style>
  <w:style w:type="paragraph" w:styleId="Heading1">
    <w:name w:val="heading 1"/>
    <w:basedOn w:val="Normal"/>
    <w:next w:val="NormalIndent"/>
    <w:link w:val="1Char1"/>
    <w:qFormat/>
    <w:pPr>
      <w:keepNext/>
      <w:keepLines/>
      <w:pageBreakBefore/>
      <w:widowControl w:val="0"/>
      <w:numPr>
        <w:ilvl w:val="0"/>
        <w:numId w:val="1"/>
      </w:numPr>
      <w:spacing w:before="360" w:after="240" w:line="578" w:lineRule="auto"/>
      <w:jc w:val="center"/>
      <w:outlineLvl w:val="0"/>
    </w:pPr>
    <w:rPr>
      <w:b/>
      <w:bCs/>
      <w:kern w:val="44"/>
      <w:sz w:val="36"/>
      <w:szCs w:val="44"/>
    </w:rPr>
  </w:style>
  <w:style w:type="paragraph" w:styleId="Heading2">
    <w:name w:val="heading 2"/>
    <w:basedOn w:val="Normal"/>
    <w:next w:val="NormalIndent"/>
    <w:link w:val="2Char"/>
    <w:qFormat/>
    <w:pPr>
      <w:keepNext/>
      <w:keepLines/>
      <w:numPr>
        <w:ilvl w:val="1"/>
        <w:numId w:val="1"/>
      </w:numPr>
      <w:spacing w:before="50" w:beforeLines="50" w:after="50" w:afterLines="50"/>
      <w:jc w:val="left"/>
      <w:outlineLvl w:val="1"/>
    </w:pPr>
    <w:rPr>
      <w:b/>
      <w:bCs/>
      <w:sz w:val="28"/>
      <w:szCs w:val="32"/>
    </w:rPr>
  </w:style>
  <w:style w:type="paragraph" w:styleId="Heading3">
    <w:name w:val="heading 3"/>
    <w:basedOn w:val="Normal"/>
    <w:next w:val="NormalIndent"/>
    <w:link w:val="3Char"/>
    <w:qFormat/>
    <w:pPr>
      <w:keepNext/>
      <w:keepLines/>
      <w:numPr>
        <w:ilvl w:val="2"/>
        <w:numId w:val="1"/>
      </w:numPr>
      <w:spacing w:before="216" w:beforeLines="50" w:after="108" w:afterLines="25"/>
      <w:jc w:val="left"/>
      <w:outlineLvl w:val="2"/>
    </w:pPr>
    <w:rPr>
      <w:b/>
      <w:bCs/>
      <w:szCs w:val="32"/>
    </w:rPr>
  </w:style>
  <w:style w:type="paragraph" w:styleId="Heading4">
    <w:name w:val="heading 4"/>
    <w:basedOn w:val="Normal"/>
    <w:next w:val="NormalIndent"/>
    <w:link w:val="4Char"/>
    <w:qFormat/>
    <w:pPr>
      <w:keepNext/>
      <w:keepLines/>
      <w:numPr>
        <w:ilvl w:val="3"/>
        <w:numId w:val="1"/>
      </w:numPr>
      <w:tabs>
        <w:tab w:val="left" w:pos="672"/>
      </w:tabs>
      <w:spacing w:before="25" w:beforeLines="25" w:after="25" w:afterLines="25" w:line="480" w:lineRule="exact"/>
      <w:jc w:val="left"/>
      <w:outlineLvl w:val="3"/>
    </w:pPr>
    <w:rPr>
      <w:bCs/>
      <w:szCs w:val="28"/>
    </w:rPr>
  </w:style>
  <w:style w:type="paragraph" w:styleId="Heading5">
    <w:name w:val="heading 5"/>
    <w:basedOn w:val="Normal"/>
    <w:next w:val="NormalIndent"/>
    <w:link w:val="5Char"/>
    <w:qFormat/>
    <w:pPr>
      <w:keepNext/>
      <w:keepLines/>
      <w:numPr>
        <w:ilvl w:val="0"/>
        <w:numId w:val="2"/>
      </w:numPr>
      <w:tabs>
        <w:tab w:val="left" w:pos="896"/>
      </w:tabs>
      <w:spacing w:beforeLines="25" w:afterLines="25" w:line="480" w:lineRule="exact"/>
      <w:jc w:val="left"/>
      <w:outlineLvl w:val="4"/>
    </w:pPr>
    <w:rPr>
      <w:bCs/>
      <w:szCs w:val="28"/>
    </w:rPr>
  </w:style>
  <w:style w:type="paragraph" w:styleId="Heading6">
    <w:name w:val="heading 6"/>
    <w:basedOn w:val="Normal"/>
    <w:link w:val="6Char"/>
    <w:uiPriority w:val="9"/>
    <w:qFormat/>
    <w:pPr>
      <w:keepNext/>
      <w:keepLines/>
      <w:numPr>
        <w:ilvl w:val="0"/>
        <w:numId w:val="3"/>
      </w:numPr>
      <w:tabs>
        <w:tab w:val="left" w:pos="672"/>
        <w:tab w:val="left" w:pos="1134"/>
      </w:tabs>
      <w:ind w:left="112" w:firstLine="448" w:leftChars="50" w:firstLineChars="200"/>
      <w:outlineLvl w:val="5"/>
    </w:pPr>
    <w:rPr>
      <w:bCs/>
      <w:szCs w:val="24"/>
    </w:rPr>
  </w:style>
  <w:style w:type="paragraph" w:styleId="Heading7">
    <w:name w:val="heading 7"/>
    <w:basedOn w:val="Normal"/>
    <w:link w:val="7Char"/>
    <w:uiPriority w:val="9"/>
    <w:qFormat/>
    <w:pPr>
      <w:keepNext/>
      <w:keepLines/>
      <w:numPr>
        <w:ilvl w:val="0"/>
        <w:numId w:val="4"/>
      </w:numPr>
      <w:tabs>
        <w:tab w:val="left" w:pos="1276"/>
      </w:tabs>
      <w:ind w:left="1214"/>
      <w:outlineLvl w:val="6"/>
    </w:pPr>
    <w:rPr>
      <w:bCs/>
      <w:szCs w:val="24"/>
    </w:rPr>
  </w:style>
  <w:style w:type="paragraph" w:styleId="Heading8">
    <w:name w:val="heading 8"/>
    <w:basedOn w:val="Normal"/>
    <w:next w:val="Normal"/>
    <w:link w:val="8Char"/>
    <w:uiPriority w:val="9"/>
    <w:qFormat/>
    <w:pPr>
      <w:keepNext/>
      <w:keepLines/>
      <w:spacing w:before="240" w:after="64" w:line="320" w:lineRule="auto"/>
      <w:jc w:val="center"/>
      <w:outlineLvl w:val="7"/>
    </w:pPr>
    <w:rPr>
      <w:rFonts w:eastAsia="华文新魏"/>
      <w:sz w:val="48"/>
      <w:szCs w:val="24"/>
    </w:rPr>
  </w:style>
  <w:style w:type="character" w:default="1" w:styleId="DefaultParagraphFont">
    <w:name w:val="Default Paragraph Font"/>
    <w:link w:val="CharCharChar1Char"/>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NormalIndent">
    <w:name w:val="Normal Indent"/>
    <w:basedOn w:val="Normal"/>
    <w:link w:val="Char"/>
    <w:qFormat/>
    <w:pPr>
      <w:ind w:firstLine="448" w:firstLineChars="200"/>
    </w:pPr>
  </w:style>
  <w:style w:type="character" w:customStyle="1" w:styleId="Char">
    <w:name w:val="正文缩进 Char"/>
    <w:aliases w:val="Body text ident 1 Char,正文1 Char,正文缩进1 Char,正文（首行缩进两字） Char Char Char Char Char Char,正文（首行缩进两字） Char Char Char Char Char1,正文（首行缩进两字） Char Char Char Char1,正文（首行缩进两字） Char Char Char1,正文（首行缩进两字） Char Char1,特点 Char,首行缩进两字 Char,首行缩进两字 Char Char Char"/>
    <w:link w:val="NormalIndent"/>
    <w:rPr>
      <w:rFonts w:ascii="Times New Roman" w:eastAsia="宋体" w:hAnsi="Times New Roman"/>
      <w:sz w:val="24"/>
      <w:szCs w:val="22"/>
    </w:rPr>
  </w:style>
  <w:style w:type="character" w:customStyle="1" w:styleId="1Char1">
    <w:name w:val="标题 1 Char"/>
    <w:aliases w:val="-*+ Char Char1,-*+ Char1,1st level Char Char,H1 Char,Otsikko 1 Char,Section Head Char Char,h1 Char Char,l1 Char Char,报告书标题 1 Char,标题 1 Char Char Char1,标题章 Char,标题章 Char Char Char Char Char,章 Char,章标题 1 Char Char,章标题 1 Char1,章节 1 Char,章节 Char"/>
    <w:link w:val="Heading1"/>
    <w:rPr>
      <w:rFonts w:ascii="Times New Roman" w:eastAsia="宋体" w:hAnsi="Times New Roman"/>
      <w:b/>
      <w:bCs/>
      <w:kern w:val="44"/>
      <w:sz w:val="36"/>
      <w:szCs w:val="44"/>
    </w:rPr>
  </w:style>
  <w:style w:type="character" w:customStyle="1" w:styleId="2Char">
    <w:name w:val="标题 2 Char"/>
    <w:aliases w:val="1.1标题 2 Char,1.1标题2 Char,2 Char,2nd level Char,Header 2 Char,Heading 2 Hidden Char,Titre3 Char,h2 Char,sect 1.2 Char,标题 2 Char Char Char Char,标题 2 Char Char Char1,标题节 Char,标题节 Char Char Char,章标题 Char1,章节2 Char,节 Char,节标题 1.1 Char,节标题 Char"/>
    <w:link w:val="Heading2"/>
    <w:rPr>
      <w:rFonts w:ascii="Times New Roman" w:eastAsia="宋体" w:hAnsi="Times New Roman"/>
      <w:b/>
      <w:bCs/>
      <w:sz w:val="28"/>
      <w:szCs w:val="32"/>
    </w:rPr>
  </w:style>
  <w:style w:type="character" w:customStyle="1" w:styleId="3Char">
    <w:name w:val="标题 3 Char"/>
    <w:aliases w:val="3 Char1,31 Char,3rd level Char1,3rd level1 Char,CT Char Char Char1,CT Char Char1,CT Char1,H3 Char,H31 Char,Re Char,h3 Char1,h31 Char,l3 Char,l31 Char Char Char,头 Char,小标题 Char,小节标题 Char,条标题1.1.1 Char1,条标题1.1.11 Char,标题 31 Char,标题 一 Char,段 Char"/>
    <w:link w:val="Heading3"/>
    <w:rPr>
      <w:rFonts w:ascii="Times New Roman" w:eastAsia="宋体" w:hAnsi="Times New Roman"/>
      <w:b/>
      <w:bCs/>
      <w:sz w:val="24"/>
      <w:szCs w:val="32"/>
    </w:rPr>
  </w:style>
  <w:style w:type="character" w:customStyle="1" w:styleId="4Char">
    <w:name w:val="标题 4 Char"/>
    <w:aliases w:val="H4 Char,H41 Char,L4 Char,Minor Heading Char,PIM 4 Char,h4 Char,h4 sub sub heading Char,heading 4 + Indent: Left 0.5 in Char,mxHeading4 Char,rh1 Char,四 Char,标题 4 Char Char Char,标题 4 Char2 Char Char,款标题1.1.1.1 Char,目 Char,表格1 Char,（一） Char"/>
    <w:link w:val="Heading4"/>
    <w:rPr>
      <w:rFonts w:ascii="Times New Roman" w:eastAsia="宋体" w:hAnsi="Times New Roman"/>
      <w:bCs/>
      <w:sz w:val="24"/>
      <w:szCs w:val="28"/>
    </w:rPr>
  </w:style>
  <w:style w:type="character" w:customStyle="1" w:styleId="5Char">
    <w:name w:val="标题 5 Char"/>
    <w:aliases w:val="五 Char,五1 Char,五2 Char,标题1.1.1.1.1 Char,标题1.1.1.1.11 Char,标题1.1.1.1.12 Char,标题（一） Char,标题（一）1 Char,标题（一）2 Char"/>
    <w:link w:val="Heading5"/>
    <w:rPr>
      <w:rFonts w:ascii="Times New Roman" w:eastAsia="宋体" w:hAnsi="Times New Roman"/>
      <w:bCs/>
      <w:sz w:val="24"/>
      <w:szCs w:val="28"/>
    </w:rPr>
  </w:style>
  <w:style w:type="character" w:customStyle="1" w:styleId="6Char">
    <w:name w:val="标题 6 Char"/>
    <w:link w:val="Heading6"/>
    <w:uiPriority w:val="9"/>
    <w:rPr>
      <w:rFonts w:ascii="Times New Roman" w:eastAsia="宋体" w:hAnsi="Times New Roman"/>
      <w:bCs/>
      <w:sz w:val="24"/>
      <w:szCs w:val="24"/>
    </w:rPr>
  </w:style>
  <w:style w:type="character" w:customStyle="1" w:styleId="7Char">
    <w:name w:val="标题 7 Char"/>
    <w:link w:val="Heading7"/>
    <w:uiPriority w:val="9"/>
    <w:rPr>
      <w:rFonts w:ascii="Times New Roman" w:eastAsia="宋体" w:hAnsi="Times New Roman"/>
      <w:bCs/>
      <w:sz w:val="24"/>
      <w:szCs w:val="24"/>
    </w:rPr>
  </w:style>
  <w:style w:type="character" w:customStyle="1" w:styleId="8Char">
    <w:name w:val="标题 8 Char"/>
    <w:aliases w:val="报告书名称 Char"/>
    <w:link w:val="Heading8"/>
    <w:uiPriority w:val="9"/>
    <w:rPr>
      <w:rFonts w:ascii="Times New Roman" w:eastAsia="华文新魏" w:hAnsi="Times New Roman"/>
      <w:sz w:val="48"/>
      <w:szCs w:val="24"/>
    </w:rPr>
  </w:style>
  <w:style w:type="paragraph" w:styleId="TOC7">
    <w:name w:val="toc 7"/>
    <w:basedOn w:val="Normal"/>
    <w:next w:val="Normal"/>
    <w:uiPriority w:val="39"/>
    <w:unhideWhenUsed/>
    <w:pPr>
      <w:widowControl w:val="0"/>
      <w:ind w:left="2520" w:leftChars="1200"/>
    </w:pPr>
    <w:rPr>
      <w:rFonts w:ascii="Calibri" w:hAnsi="Calibri"/>
      <w:kern w:val="2"/>
      <w:sz w:val="21"/>
    </w:rPr>
  </w:style>
  <w:style w:type="paragraph" w:styleId="ListNumber">
    <w:name w:val="List Number"/>
    <w:basedOn w:val="Normal"/>
    <w:pPr>
      <w:widowControl w:val="0"/>
      <w:tabs>
        <w:tab w:val="left" w:pos="360"/>
      </w:tabs>
      <w:ind w:left="360" w:hanging="360" w:hangingChars="200"/>
    </w:pPr>
    <w:rPr>
      <w:rFonts w:ascii="Arial" w:hAnsi="Arial"/>
      <w:kern w:val="2"/>
      <w:sz w:val="21"/>
      <w:szCs w:val="24"/>
    </w:rPr>
  </w:style>
  <w:style w:type="paragraph" w:styleId="Caption">
    <w:name w:val="caption"/>
    <w:basedOn w:val="Normal"/>
    <w:next w:val="Normal"/>
    <w:link w:val="Char30"/>
    <w:qFormat/>
    <w:pPr>
      <w:jc w:val="center"/>
    </w:pPr>
    <w:rPr>
      <w:b/>
      <w:sz w:val="21"/>
      <w:szCs w:val="20"/>
    </w:rPr>
  </w:style>
  <w:style w:type="character" w:customStyle="1" w:styleId="Char30">
    <w:name w:val="题注 Char3"/>
    <w:aliases w:val=" Char Char Char Char Char Char,题注 Char Char,题注 Char Char Char Char Char,题注 Char Char Char Char Char Char Char Char,题注 Char Char Char Char Char Char Char Char Char Char Char,题注 Char Char Char Char Char Char Char1,题注 Char2 Char,默认段落字体1 Char1"/>
    <w:link w:val="Caption"/>
    <w:rPr>
      <w:rFonts w:ascii="Times New Roman" w:eastAsia="宋体" w:hAnsi="Times New Roman" w:cs="Arial"/>
      <w:b/>
      <w:sz w:val="21"/>
    </w:rPr>
  </w:style>
  <w:style w:type="paragraph" w:styleId="DocumentMap">
    <w:name w:val="Document Map"/>
    <w:basedOn w:val="Normal"/>
    <w:link w:val="Char20"/>
    <w:uiPriority w:val="99"/>
    <w:unhideWhenUsed/>
    <w:rPr>
      <w:rFonts w:ascii="宋体" w:hAnsi="Arial"/>
      <w:sz w:val="18"/>
      <w:szCs w:val="18"/>
    </w:rPr>
  </w:style>
  <w:style w:type="character" w:customStyle="1" w:styleId="Char20">
    <w:name w:val="文档结构图 Char"/>
    <w:link w:val="DocumentMap"/>
    <w:uiPriority w:val="99"/>
    <w:semiHidden/>
    <w:rPr>
      <w:rFonts w:ascii="宋体" w:eastAsia="宋体" w:hAnsi="Arial"/>
      <w:sz w:val="18"/>
      <w:szCs w:val="18"/>
    </w:rPr>
  </w:style>
  <w:style w:type="paragraph" w:styleId="CommentText">
    <w:name w:val="annotation text"/>
    <w:basedOn w:val="Normal"/>
    <w:link w:val="Char21"/>
    <w:unhideWhenUsed/>
    <w:pPr>
      <w:spacing w:line="240" w:lineRule="exact"/>
      <w:jc w:val="left"/>
    </w:pPr>
  </w:style>
  <w:style w:type="character" w:customStyle="1" w:styleId="Char21">
    <w:name w:val="批注文字 Char"/>
    <w:link w:val="CommentText"/>
    <w:rPr>
      <w:rFonts w:ascii="Times New Roman" w:eastAsia="宋体" w:hAnsi="Times New Roman"/>
      <w:sz w:val="24"/>
      <w:szCs w:val="22"/>
    </w:rPr>
  </w:style>
  <w:style w:type="paragraph" w:styleId="BodyText3">
    <w:name w:val="Body Text 3"/>
    <w:basedOn w:val="Normal"/>
    <w:link w:val="3Char0"/>
    <w:uiPriority w:val="99"/>
    <w:unhideWhenUsed/>
    <w:pPr>
      <w:spacing w:after="120"/>
    </w:pPr>
    <w:rPr>
      <w:rFonts w:ascii="Arial" w:hAnsi="Arial"/>
      <w:sz w:val="16"/>
      <w:szCs w:val="16"/>
    </w:rPr>
  </w:style>
  <w:style w:type="character" w:customStyle="1" w:styleId="3Char0">
    <w:name w:val="正文文本 3 Char"/>
    <w:link w:val="BodyText3"/>
    <w:uiPriority w:val="99"/>
    <w:semiHidden/>
    <w:rPr>
      <w:rFonts w:ascii="Arial" w:eastAsia="宋体" w:hAnsi="Arial"/>
      <w:sz w:val="16"/>
      <w:szCs w:val="16"/>
    </w:rPr>
  </w:style>
  <w:style w:type="paragraph" w:styleId="BodyText">
    <w:name w:val="Body Text"/>
    <w:basedOn w:val="Normal"/>
    <w:link w:val="Char22"/>
    <w:uiPriority w:val="99"/>
    <w:unhideWhenUsed/>
    <w:pPr>
      <w:spacing w:after="120"/>
    </w:pPr>
    <w:rPr>
      <w:rFonts w:ascii="Arial" w:hAnsi="Arial"/>
    </w:rPr>
  </w:style>
  <w:style w:type="character" w:customStyle="1" w:styleId="Char22">
    <w:name w:val="正文文本 Char"/>
    <w:link w:val="BodyText"/>
    <w:uiPriority w:val="99"/>
    <w:semiHidden/>
    <w:rPr>
      <w:rFonts w:ascii="Arial" w:eastAsia="宋体" w:hAnsi="Arial"/>
      <w:sz w:val="24"/>
      <w:szCs w:val="22"/>
    </w:rPr>
  </w:style>
  <w:style w:type="paragraph" w:styleId="BodyTextIndent">
    <w:name w:val="Body Text Indent"/>
    <w:basedOn w:val="Normal"/>
    <w:link w:val="Char23"/>
    <w:uiPriority w:val="99"/>
    <w:unhideWhenUsed/>
    <w:pPr>
      <w:spacing w:after="120"/>
      <w:ind w:left="420" w:leftChars="200"/>
    </w:pPr>
    <w:rPr>
      <w:rFonts w:ascii="Arial" w:hAnsi="Arial"/>
    </w:rPr>
  </w:style>
  <w:style w:type="character" w:customStyle="1" w:styleId="Char23">
    <w:name w:val="正文文本缩进 Char"/>
    <w:link w:val="BodyTextIndent"/>
    <w:uiPriority w:val="99"/>
    <w:rPr>
      <w:rFonts w:ascii="Arial" w:eastAsia="宋体" w:hAnsi="Arial"/>
      <w:sz w:val="24"/>
      <w:szCs w:val="22"/>
    </w:rPr>
  </w:style>
  <w:style w:type="paragraph" w:styleId="TOC5">
    <w:name w:val="toc 5"/>
    <w:basedOn w:val="Normal"/>
    <w:next w:val="Normal"/>
    <w:uiPriority w:val="39"/>
    <w:unhideWhenUsed/>
    <w:pPr>
      <w:widowControl w:val="0"/>
      <w:ind w:left="1680" w:leftChars="800"/>
    </w:pPr>
    <w:rPr>
      <w:rFonts w:ascii="Calibri" w:hAnsi="Calibri"/>
      <w:kern w:val="2"/>
      <w:sz w:val="21"/>
    </w:rPr>
  </w:style>
  <w:style w:type="paragraph" w:styleId="TOC3">
    <w:name w:val="toc 3"/>
    <w:basedOn w:val="Normal"/>
    <w:next w:val="Normal"/>
    <w:uiPriority w:val="39"/>
    <w:unhideWhenUsed/>
    <w:pPr>
      <w:ind w:left="840" w:leftChars="400"/>
    </w:pPr>
  </w:style>
  <w:style w:type="paragraph" w:styleId="PlainText">
    <w:name w:val="Plain Text"/>
    <w:basedOn w:val="Normal"/>
    <w:link w:val="Char110"/>
    <w:pPr>
      <w:widowControl w:val="0"/>
      <w:spacing w:line="360" w:lineRule="auto"/>
    </w:pPr>
    <w:rPr>
      <w:rFonts w:ascii="宋体" w:hAnsi="Courier New"/>
      <w:kern w:val="2"/>
      <w:sz w:val="21"/>
      <w:szCs w:val="20"/>
    </w:rPr>
  </w:style>
  <w:style w:type="character" w:customStyle="1" w:styleId="Char110">
    <w:name w:val="纯文本 Char1"/>
    <w:aliases w:val=" Char1 Char,Char Char,Char Char Char Char,Char1 Char,普通文字 Char,普通文字 Char Char Char Char Char,普通文字 Char Char Char Char Char Char Char Char Char Char,普通文字 Char Char Char Char1,普通文字 Char Char Char1,普通文字1 Char,普通文字1 Char Char Char,纯文本1 Char"/>
    <w:link w:val="PlainText"/>
    <w:rPr>
      <w:rFonts w:ascii="宋体" w:eastAsia="宋体" w:hAnsi="Courier New"/>
      <w:kern w:val="2"/>
      <w:sz w:val="21"/>
    </w:rPr>
  </w:style>
  <w:style w:type="paragraph" w:styleId="TOC8">
    <w:name w:val="toc 8"/>
    <w:basedOn w:val="Normal"/>
    <w:next w:val="Normal"/>
    <w:uiPriority w:val="39"/>
    <w:unhideWhenUsed/>
    <w:pPr>
      <w:widowControl w:val="0"/>
      <w:ind w:left="2940" w:leftChars="1400"/>
    </w:pPr>
    <w:rPr>
      <w:rFonts w:ascii="Calibri" w:hAnsi="Calibri"/>
      <w:kern w:val="2"/>
      <w:sz w:val="21"/>
    </w:rPr>
  </w:style>
  <w:style w:type="paragraph" w:styleId="Date">
    <w:name w:val="Date"/>
    <w:basedOn w:val="Normal"/>
    <w:next w:val="Normal"/>
    <w:link w:val="Char25"/>
    <w:pPr>
      <w:widowControl w:val="0"/>
    </w:pPr>
    <w:rPr>
      <w:kern w:val="2"/>
      <w:szCs w:val="24"/>
    </w:rPr>
  </w:style>
  <w:style w:type="character" w:customStyle="1" w:styleId="Char25">
    <w:name w:val="日期 Char"/>
    <w:link w:val="Date"/>
    <w:rPr>
      <w:rFonts w:ascii="Times New Roman" w:eastAsia="宋体" w:hAnsi="Times New Roman"/>
      <w:kern w:val="2"/>
      <w:sz w:val="24"/>
      <w:szCs w:val="24"/>
    </w:rPr>
  </w:style>
  <w:style w:type="paragraph" w:styleId="BodyTextIndent2">
    <w:name w:val="Body Text Indent 2"/>
    <w:basedOn w:val="Normal"/>
    <w:link w:val="2Char4"/>
    <w:uiPriority w:val="99"/>
    <w:unhideWhenUsed/>
    <w:pPr>
      <w:spacing w:after="120" w:line="480" w:lineRule="auto"/>
      <w:ind w:left="420" w:leftChars="200"/>
    </w:pPr>
    <w:rPr>
      <w:rFonts w:ascii="Arial" w:hAnsi="Arial"/>
    </w:rPr>
  </w:style>
  <w:style w:type="character" w:customStyle="1" w:styleId="2Char4">
    <w:name w:val="正文文本缩进 2 Char"/>
    <w:link w:val="BodyTextIndent2"/>
    <w:uiPriority w:val="99"/>
    <w:semiHidden/>
    <w:rPr>
      <w:rFonts w:ascii="Arial" w:eastAsia="宋体" w:hAnsi="Arial"/>
      <w:sz w:val="24"/>
      <w:szCs w:val="22"/>
    </w:rPr>
  </w:style>
  <w:style w:type="paragraph" w:styleId="BalloonText">
    <w:name w:val="Balloon Text"/>
    <w:basedOn w:val="Normal"/>
    <w:link w:val="Char26"/>
    <w:uiPriority w:val="99"/>
    <w:unhideWhenUsed/>
    <w:rPr>
      <w:rFonts w:ascii="Arial" w:hAnsi="Arial"/>
      <w:sz w:val="18"/>
      <w:szCs w:val="18"/>
    </w:rPr>
  </w:style>
  <w:style w:type="character" w:customStyle="1" w:styleId="Char26">
    <w:name w:val="批注框文本 Char"/>
    <w:link w:val="BalloonText"/>
    <w:uiPriority w:val="99"/>
    <w:semiHidden/>
    <w:rPr>
      <w:rFonts w:ascii="Arial" w:eastAsia="宋体" w:hAnsi="Arial"/>
      <w:sz w:val="18"/>
      <w:szCs w:val="18"/>
    </w:rPr>
  </w:style>
  <w:style w:type="paragraph" w:styleId="Footer">
    <w:name w:val="footer"/>
    <w:basedOn w:val="Normal"/>
    <w:link w:val="Char27"/>
    <w:uiPriority w:val="99"/>
    <w:unhideWhenUsed/>
    <w:pPr>
      <w:tabs>
        <w:tab w:val="center" w:pos="4153"/>
        <w:tab w:val="right" w:pos="8306"/>
      </w:tabs>
    </w:pPr>
    <w:rPr>
      <w:sz w:val="18"/>
      <w:szCs w:val="18"/>
    </w:rPr>
  </w:style>
  <w:style w:type="character" w:customStyle="1" w:styleId="Char27">
    <w:name w:val="页脚 Char"/>
    <w:link w:val="Footer"/>
    <w:uiPriority w:val="99"/>
    <w:rPr>
      <w:rFonts w:ascii="Times New Roman" w:eastAsia="宋体" w:hAnsi="Times New Roman"/>
      <w:sz w:val="18"/>
      <w:szCs w:val="18"/>
    </w:rPr>
  </w:style>
  <w:style w:type="paragraph" w:styleId="Header">
    <w:name w:val="header"/>
    <w:basedOn w:val="Normal"/>
    <w:link w:val="Char28"/>
    <w:unhideWhenUsed/>
    <w:pPr>
      <w:pBdr>
        <w:bottom w:val="single" w:sz="6" w:space="1" w:color="auto"/>
      </w:pBdr>
      <w:tabs>
        <w:tab w:val="left" w:pos="0"/>
        <w:tab w:val="center" w:pos="4153"/>
        <w:tab w:val="right" w:pos="8505"/>
      </w:tabs>
    </w:pPr>
    <w:rPr>
      <w:rFonts w:ascii="宋体" w:hAnsi="宋体"/>
      <w:sz w:val="15"/>
      <w:szCs w:val="18"/>
    </w:rPr>
  </w:style>
  <w:style w:type="character" w:customStyle="1" w:styleId="Char28">
    <w:name w:val="页眉 Char"/>
    <w:aliases w:val="无页眉 Char,无页眉1 Char,无页眉2 Char,页眉1 Char,页眉11 Char,页眉12 Char,页眉2 Char,页眉21 Char,页眉22 Char"/>
    <w:link w:val="Header"/>
    <w:rPr>
      <w:rFonts w:ascii="宋体" w:eastAsia="宋体" w:hAnsi="宋体"/>
      <w:sz w:val="15"/>
      <w:szCs w:val="18"/>
    </w:rPr>
  </w:style>
  <w:style w:type="paragraph" w:styleId="TOC1">
    <w:name w:val="toc 1"/>
    <w:basedOn w:val="Normal"/>
    <w:next w:val="Normal"/>
    <w:uiPriority w:val="39"/>
    <w:unhideWhenUsed/>
    <w:pPr>
      <w:tabs>
        <w:tab w:val="right" w:leader="dot" w:pos="8495"/>
      </w:tabs>
    </w:pPr>
    <w:rPr>
      <w:rFonts w:cs="Arial"/>
      <w:b/>
    </w:rPr>
  </w:style>
  <w:style w:type="paragraph" w:styleId="TOC4">
    <w:name w:val="toc 4"/>
    <w:basedOn w:val="Normal"/>
    <w:next w:val="Normal"/>
    <w:uiPriority w:val="39"/>
    <w:unhideWhenUsed/>
    <w:pPr>
      <w:ind w:left="1260" w:leftChars="600"/>
    </w:pPr>
  </w:style>
  <w:style w:type="paragraph" w:styleId="List">
    <w:name w:val="List"/>
    <w:basedOn w:val="Normal"/>
    <w:unhideWhenUsed/>
    <w:pPr>
      <w:numPr>
        <w:ilvl w:val="4"/>
        <w:numId w:val="5"/>
      </w:numPr>
      <w:ind w:left="200" w:hanging="200" w:hangingChars="200"/>
    </w:pPr>
    <w:rPr>
      <w:rFonts w:ascii="Arial" w:hAnsi="Arial"/>
    </w:rPr>
  </w:style>
  <w:style w:type="paragraph" w:styleId="TOC6">
    <w:name w:val="toc 6"/>
    <w:basedOn w:val="Normal"/>
    <w:next w:val="Normal"/>
    <w:uiPriority w:val="39"/>
    <w:unhideWhenUsed/>
    <w:pPr>
      <w:widowControl w:val="0"/>
      <w:ind w:left="2100" w:leftChars="1000"/>
    </w:pPr>
    <w:rPr>
      <w:rFonts w:ascii="Calibri" w:hAnsi="Calibri"/>
      <w:kern w:val="2"/>
      <w:sz w:val="21"/>
    </w:rPr>
  </w:style>
  <w:style w:type="paragraph" w:styleId="BodyTextIndent3">
    <w:name w:val="Body Text Indent 3"/>
    <w:basedOn w:val="Normal"/>
    <w:link w:val="3Char2"/>
    <w:uiPriority w:val="99"/>
    <w:unhideWhenUsed/>
    <w:pPr>
      <w:spacing w:after="120"/>
      <w:ind w:left="420" w:leftChars="200"/>
    </w:pPr>
    <w:rPr>
      <w:sz w:val="16"/>
      <w:szCs w:val="16"/>
    </w:rPr>
  </w:style>
  <w:style w:type="character" w:customStyle="1" w:styleId="3Char2">
    <w:name w:val="正文文本缩进 3 Char"/>
    <w:link w:val="BodyTextIndent3"/>
    <w:uiPriority w:val="99"/>
    <w:semiHidden/>
    <w:rPr>
      <w:rFonts w:ascii="Times New Roman" w:eastAsia="宋体" w:hAnsi="Times New Roman"/>
      <w:sz w:val="16"/>
      <w:szCs w:val="16"/>
    </w:rPr>
  </w:style>
  <w:style w:type="paragraph" w:styleId="TOC2">
    <w:name w:val="toc 2"/>
    <w:basedOn w:val="Normal"/>
    <w:next w:val="Normal"/>
    <w:uiPriority w:val="39"/>
    <w:unhideWhenUsed/>
    <w:pPr>
      <w:tabs>
        <w:tab w:val="left" w:pos="993"/>
        <w:tab w:val="left" w:pos="1276"/>
        <w:tab w:val="right" w:leader="dot" w:pos="8495"/>
      </w:tabs>
      <w:spacing w:line="360" w:lineRule="exact"/>
      <w:ind w:left="336" w:leftChars="150"/>
      <w:jc w:val="center"/>
    </w:pPr>
    <w:rPr>
      <w:sz w:val="21"/>
    </w:rPr>
  </w:style>
  <w:style w:type="paragraph" w:styleId="TOC9">
    <w:name w:val="toc 9"/>
    <w:basedOn w:val="Normal"/>
    <w:next w:val="Normal"/>
    <w:uiPriority w:val="39"/>
    <w:unhideWhenUsed/>
    <w:pPr>
      <w:widowControl w:val="0"/>
      <w:ind w:left="3360" w:leftChars="1600"/>
    </w:pPr>
    <w:rPr>
      <w:rFonts w:ascii="Calibri" w:hAnsi="Calibri"/>
      <w:kern w:val="2"/>
      <w:sz w:val="21"/>
    </w:rPr>
  </w:style>
  <w:style w:type="paragraph" w:styleId="BodyText2">
    <w:name w:val="Body Text 2"/>
    <w:basedOn w:val="Normal"/>
    <w:link w:val="2Char7"/>
    <w:unhideWhenUsed/>
    <w:pPr>
      <w:spacing w:after="120" w:line="480" w:lineRule="auto"/>
    </w:pPr>
  </w:style>
  <w:style w:type="character" w:customStyle="1" w:styleId="2Char7">
    <w:name w:val="正文文本 2 Char"/>
    <w:link w:val="BodyText2"/>
    <w:semiHidden/>
    <w:rPr>
      <w:rFonts w:ascii="Times New Roman" w:eastAsia="宋体" w:hAnsi="Times New Roman"/>
      <w:sz w:val="24"/>
      <w:szCs w:val="22"/>
    </w:rPr>
  </w:style>
  <w:style w:type="paragraph" w:styleId="NormalWeb">
    <w:name w:val="Normal (Web)"/>
    <w:basedOn w:val="Normal"/>
    <w:uiPriority w:val="99"/>
    <w:unhideWhenUsed/>
    <w:pPr>
      <w:spacing w:before="100" w:beforeAutospacing="1" w:after="100" w:afterAutospacing="1"/>
      <w:jc w:val="left"/>
    </w:pPr>
    <w:rPr>
      <w:rFonts w:ascii="宋体" w:hAnsi="宋体" w:cs="宋体"/>
      <w:szCs w:val="24"/>
    </w:rPr>
  </w:style>
  <w:style w:type="paragraph" w:styleId="Index1">
    <w:name w:val="index 1"/>
    <w:basedOn w:val="Normal"/>
    <w:next w:val="Normal"/>
    <w:semiHidden/>
    <w:pPr>
      <w:widowControl w:val="0"/>
      <w:adjustRightInd w:val="0"/>
      <w:snapToGrid w:val="0"/>
      <w:jc w:val="center"/>
    </w:pPr>
    <w:rPr>
      <w:kern w:val="2"/>
      <w:sz w:val="21"/>
      <w:szCs w:val="21"/>
    </w:rPr>
  </w:style>
  <w:style w:type="paragraph" w:styleId="Title">
    <w:name w:val="Title"/>
    <w:basedOn w:val="Normal"/>
    <w:next w:val="Normal"/>
    <w:link w:val="Char31"/>
    <w:qFormat/>
    <w:pPr>
      <w:spacing w:before="240" w:after="60"/>
      <w:jc w:val="center"/>
      <w:outlineLvl w:val="0"/>
    </w:pPr>
    <w:rPr>
      <w:rFonts w:ascii="Cambria" w:hAnsi="Cambria"/>
      <w:b/>
      <w:bCs/>
      <w:sz w:val="32"/>
      <w:szCs w:val="32"/>
    </w:rPr>
  </w:style>
  <w:style w:type="character" w:customStyle="1" w:styleId="Char31">
    <w:name w:val="标题 Char"/>
    <w:link w:val="Title"/>
    <w:rPr>
      <w:rFonts w:ascii="Cambria" w:eastAsia="宋体" w:hAnsi="Cambria" w:cs="Times New Roman"/>
      <w:b/>
      <w:bCs/>
      <w:sz w:val="32"/>
      <w:szCs w:val="32"/>
    </w:rPr>
  </w:style>
  <w:style w:type="paragraph" w:styleId="CommentSubject">
    <w:name w:val="annotation subject"/>
    <w:basedOn w:val="CommentText"/>
    <w:next w:val="CommentText"/>
    <w:link w:val="Char32"/>
    <w:uiPriority w:val="99"/>
    <w:unhideWhenUsed/>
    <w:rPr>
      <w:b/>
      <w:bCs/>
    </w:rPr>
  </w:style>
  <w:style w:type="character" w:customStyle="1" w:styleId="Char32">
    <w:name w:val="批注主题 Char"/>
    <w:link w:val="CommentSubject"/>
    <w:uiPriority w:val="99"/>
    <w:semiHidden/>
    <w:rPr>
      <w:rFonts w:ascii="Times New Roman" w:eastAsia="宋体" w:hAnsi="Times New Roman"/>
      <w:b/>
      <w:bCs/>
      <w:sz w:val="24"/>
      <w:szCs w:val="22"/>
    </w:rPr>
  </w:style>
  <w:style w:type="paragraph" w:styleId="BodyTextFirstIndent">
    <w:name w:val="Body Text First Indent"/>
    <w:basedOn w:val="Normal"/>
    <w:link w:val="Char33"/>
    <w:unhideWhenUsed/>
    <w:pPr>
      <w:ind w:firstLine="420" w:firstLineChars="100"/>
    </w:pPr>
  </w:style>
  <w:style w:type="character" w:customStyle="1" w:styleId="Char33">
    <w:name w:val="正文首行缩进 Char"/>
    <w:basedOn w:val="DefaultParagraphFont"/>
    <w:link w:val="BodyTextFirstIndent"/>
  </w:style>
  <w:style w:type="paragraph" w:customStyle="1" w:styleId="CharCharChar1Char">
    <w:name w:val=" Char Char Char1 Char"/>
    <w:basedOn w:val="Normal"/>
    <w:link w:val="DefaultParagraphFont"/>
    <w:pPr>
      <w:widowControl w:val="0"/>
    </w:pPr>
    <w:rPr>
      <w:kern w:val="2"/>
      <w:szCs w:val="24"/>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uiPriority w:val="22"/>
    <w:qFormat/>
    <w:rPr>
      <w:b/>
      <w:bCs/>
      <w:sz w:val="24"/>
    </w:rPr>
  </w:style>
  <w:style w:type="character" w:styleId="PageNumber">
    <w:name w:val="page number"/>
    <w:basedOn w:val="DefaultParagraphFont"/>
  </w:style>
  <w:style w:type="character" w:styleId="FollowedHyperlink">
    <w:name w:val="FollowedHyperlink"/>
    <w:uiPriority w:val="99"/>
    <w:unhideWhenUsed/>
    <w:rPr>
      <w:color w:val="800080"/>
      <w:u w:val="single"/>
    </w:rPr>
  </w:style>
  <w:style w:type="character" w:styleId="Emphasis">
    <w:name w:val="Emphasis"/>
    <w:qFormat/>
    <w:rPr>
      <w:i/>
      <w:iCs/>
    </w:rPr>
  </w:style>
  <w:style w:type="character" w:styleId="Hyperlink">
    <w:name w:val="Hyperlink"/>
    <w:uiPriority w:val="99"/>
    <w:unhideWhenUsed/>
    <w:rPr>
      <w:color w:val="0000FF"/>
      <w:u w:val="single"/>
    </w:rPr>
  </w:style>
  <w:style w:type="character" w:styleId="CommentReference">
    <w:name w:val="annotation reference"/>
    <w:uiPriority w:val="99"/>
    <w:unhideWhenUsed/>
    <w:rPr>
      <w:sz w:val="21"/>
      <w:szCs w:val="21"/>
    </w:rPr>
  </w:style>
  <w:style w:type="paragraph" w:styleId="Quote">
    <w:name w:val="Quote"/>
    <w:basedOn w:val="Normal"/>
    <w:next w:val="Normal"/>
    <w:link w:val="Char34"/>
    <w:uiPriority w:val="29"/>
    <w:qFormat/>
    <w:rPr>
      <w:rFonts w:ascii="Arial" w:hAnsi="Arial"/>
      <w:i/>
      <w:iCs/>
      <w:color w:val="000000"/>
    </w:rPr>
  </w:style>
  <w:style w:type="character" w:customStyle="1" w:styleId="Char34">
    <w:name w:val="引用 Char"/>
    <w:link w:val="Quote"/>
    <w:uiPriority w:val="29"/>
    <w:rPr>
      <w:rFonts w:ascii="Arial" w:eastAsia="宋体" w:hAnsi="Arial"/>
      <w:i/>
      <w:iCs/>
      <w:color w:val="000000"/>
      <w:sz w:val="24"/>
      <w:szCs w:val="22"/>
    </w:rPr>
  </w:style>
  <w:style w:type="character" w:styleId="IntenseEmphasis">
    <w:name w:val="Intense Emphasis"/>
    <w:uiPriority w:val="21"/>
    <w:qFormat/>
    <w:rPr>
      <w:b/>
      <w:bCs/>
      <w:i/>
      <w:iCs/>
      <w:color w:val="4F81BD"/>
    </w:rPr>
  </w:style>
  <w:style w:type="character" w:styleId="SubtleEmphasis">
    <w:name w:val="Subtle Emphasis"/>
    <w:uiPriority w:val="19"/>
    <w:qFormat/>
    <w:rPr>
      <w:i/>
      <w:iCs/>
      <w:color w:val="808080"/>
    </w:rPr>
  </w:style>
  <w:style w:type="paragraph" w:styleId="ListParagraph">
    <w:name w:val="List Paragraph"/>
    <w:basedOn w:val="Normal"/>
    <w:uiPriority w:val="34"/>
    <w:qFormat/>
    <w:pPr>
      <w:ind w:firstLine="420" w:firstLineChars="200"/>
    </w:pPr>
  </w:style>
  <w:style w:type="paragraph" w:customStyle="1" w:styleId="a">
    <w:name w:val="表格居中"/>
    <w:next w:val="Normal"/>
    <w:link w:val="Char35"/>
    <w:qFormat/>
    <w:pPr>
      <w:spacing w:line="0" w:lineRule="atLeast"/>
      <w:jc w:val="center"/>
    </w:pPr>
    <w:rPr>
      <w:rFonts w:ascii="Times New Roman" w:eastAsia="宋体" w:hAnsi="Times New Roman"/>
      <w:kern w:val="2"/>
      <w:sz w:val="21"/>
      <w:szCs w:val="24"/>
      <w:lang w:val="en-US" w:eastAsia="zh-CN" w:bidi="ar-SA"/>
    </w:rPr>
  </w:style>
  <w:style w:type="character" w:customStyle="1" w:styleId="Char35">
    <w:name w:val="表格居中 Char"/>
    <w:link w:val="a"/>
    <w:rPr>
      <w:rFonts w:ascii="Times New Roman" w:eastAsia="宋体" w:hAnsi="Times New Roman"/>
      <w:kern w:val="2"/>
      <w:sz w:val="21"/>
      <w:szCs w:val="24"/>
      <w:lang w:val="en-US" w:eastAsia="zh-CN" w:bidi="ar-SA"/>
    </w:rPr>
  </w:style>
  <w:style w:type="paragraph" w:customStyle="1" w:styleId="a0">
    <w:name w:val="表格内段落"/>
    <w:basedOn w:val="a"/>
    <w:link w:val="Char36"/>
    <w:qFormat/>
    <w:pPr>
      <w:ind w:firstLine="200" w:firstLineChars="200"/>
      <w:jc w:val="left"/>
    </w:pPr>
    <w:rPr>
      <w:rFonts w:ascii="Calibri" w:hAnsi="Calibri"/>
    </w:rPr>
  </w:style>
  <w:style w:type="character" w:customStyle="1" w:styleId="Char36">
    <w:name w:val="表格内段落 Char"/>
    <w:link w:val="a0"/>
    <w:rPr>
      <w:rFonts w:eastAsia="宋体"/>
      <w:kern w:val="2"/>
      <w:sz w:val="21"/>
      <w:szCs w:val="24"/>
      <w:lang w:val="en-US" w:eastAsia="zh-CN" w:bidi="ar-SA"/>
    </w:rPr>
  </w:style>
  <w:style w:type="paragraph" w:customStyle="1" w:styleId="1">
    <w:name w:val="表格正文编号（1）"/>
    <w:basedOn w:val="10"/>
    <w:link w:val="1Char14"/>
    <w:qFormat/>
    <w:pPr>
      <w:numPr>
        <w:ilvl w:val="0"/>
        <w:numId w:val="7"/>
      </w:numPr>
      <w:tabs>
        <w:tab w:val="left" w:pos="564"/>
        <w:tab w:val="clear" w:pos="896"/>
      </w:tabs>
    </w:pPr>
    <w:rPr>
      <w:sz w:val="21"/>
    </w:rPr>
  </w:style>
  <w:style w:type="paragraph" w:customStyle="1" w:styleId="10">
    <w:name w:val="正文编号(1)"/>
    <w:basedOn w:val="Normal"/>
    <w:next w:val="NormalIndent"/>
    <w:link w:val="1Char13"/>
    <w:qFormat/>
    <w:pPr>
      <w:numPr>
        <w:ilvl w:val="0"/>
        <w:numId w:val="6"/>
      </w:numPr>
      <w:tabs>
        <w:tab w:val="left" w:pos="896"/>
      </w:tabs>
    </w:pPr>
  </w:style>
  <w:style w:type="character" w:customStyle="1" w:styleId="1Char13">
    <w:name w:val="正文编号(1) Char"/>
    <w:link w:val="10"/>
    <w:rPr>
      <w:rFonts w:ascii="Times New Roman" w:eastAsia="宋体" w:hAnsi="Times New Roman"/>
      <w:sz w:val="24"/>
      <w:szCs w:val="22"/>
    </w:rPr>
  </w:style>
  <w:style w:type="character" w:customStyle="1" w:styleId="1Char14">
    <w:name w:val="表格正文编号（1） Char"/>
    <w:link w:val="1"/>
    <w:rPr>
      <w:rFonts w:ascii="Times New Roman" w:eastAsia="宋体" w:hAnsi="Times New Roman"/>
      <w:sz w:val="21"/>
      <w:szCs w:val="22"/>
    </w:rPr>
  </w:style>
  <w:style w:type="paragraph" w:customStyle="1" w:styleId="28">
    <w:name w:val="样式28"/>
    <w:basedOn w:val="NormalIndent"/>
    <w:qFormat/>
    <w:pPr>
      <w:widowControl w:val="0"/>
      <w:spacing w:line="264" w:lineRule="auto"/>
      <w:ind w:firstLine="476" w:firstLineChars="0"/>
    </w:pPr>
    <w:rPr>
      <w:spacing w:val="10"/>
      <w:kern w:val="2"/>
      <w:szCs w:val="20"/>
    </w:rPr>
  </w:style>
  <w:style w:type="paragraph" w:customStyle="1" w:styleId="xl26">
    <w:name w:val="xl26"/>
    <w:basedOn w:val="Normal"/>
    <w:pPr>
      <w:pBdr>
        <w:left w:val="single" w:sz="4" w:space="0" w:color="auto"/>
        <w:bottom w:val="single" w:sz="4" w:space="0" w:color="auto"/>
        <w:right w:val="single" w:sz="4" w:space="0" w:color="auto"/>
      </w:pBdr>
      <w:spacing w:before="100" w:beforeAutospacing="1" w:after="100" w:afterAutospacing="1"/>
      <w:jc w:val="center"/>
    </w:pPr>
    <w:rPr>
      <w:rFonts w:ascii="宋体" w:hAnsi="宋体"/>
      <w:sz w:val="21"/>
      <w:szCs w:val="20"/>
    </w:rPr>
  </w:style>
  <w:style w:type="paragraph" w:customStyle="1" w:styleId="a1">
    <w:name w:val="样式 题注 + (中文) 宋体 小四 加粗"/>
    <w:basedOn w:val="Caption"/>
    <w:link w:val="Char37"/>
    <w:pPr>
      <w:keepNext/>
      <w:widowControl w:val="0"/>
      <w:spacing w:before="160" w:line="0" w:lineRule="atLeast"/>
    </w:pPr>
    <w:rPr>
      <w:bCs/>
      <w:sz w:val="24"/>
    </w:rPr>
  </w:style>
  <w:style w:type="character" w:customStyle="1" w:styleId="Char37">
    <w:name w:val="样式 题注 + (中文) 宋体 小四 加粗 Char"/>
    <w:link w:val="a1"/>
    <w:rPr>
      <w:rFonts w:ascii="Times New Roman" w:eastAsia="宋体" w:hAnsi="Times New Roman" w:cs="Arial"/>
      <w:b/>
      <w:bCs/>
      <w:sz w:val="24"/>
    </w:rPr>
  </w:style>
  <w:style w:type="paragraph" w:customStyle="1" w:styleId="a2">
    <w:name w:val="居中正文"/>
    <w:basedOn w:val="Normal"/>
    <w:next w:val="Title"/>
  </w:style>
  <w:style w:type="paragraph" w:styleId="Revision">
    <w:name w:val="Revision"/>
    <w:uiPriority w:val="99"/>
    <w:semiHidden/>
    <w:rPr>
      <w:rFonts w:ascii="Arial" w:eastAsia="宋体" w:hAnsi="Arial"/>
      <w:sz w:val="24"/>
      <w:szCs w:val="22"/>
      <w:lang w:val="en-US" w:eastAsia="zh-CN" w:bidi="ar-SA"/>
    </w:rPr>
  </w:style>
  <w:style w:type="paragraph" w:customStyle="1" w:styleId="a3">
    <w:name w:val="表格正文正文"/>
    <w:basedOn w:val="Normal"/>
    <w:qFormat/>
    <w:pPr>
      <w:widowControl w:val="0"/>
      <w:spacing w:line="0" w:lineRule="atLeast"/>
      <w:jc w:val="center"/>
    </w:pPr>
    <w:rPr>
      <w:rFonts w:cs="Arial"/>
      <w:kern w:val="2"/>
      <w:sz w:val="21"/>
      <w:szCs w:val="20"/>
    </w:rPr>
  </w:style>
  <w:style w:type="paragraph" w:customStyle="1" w:styleId="085">
    <w:name w:val="样式 首行缩进:  0.85 厘米"/>
    <w:basedOn w:val="Normal"/>
    <w:pPr>
      <w:widowControl w:val="0"/>
      <w:ind w:firstLine="480"/>
    </w:pPr>
    <w:rPr>
      <w:rFonts w:cs="宋体"/>
      <w:kern w:val="2"/>
      <w:szCs w:val="20"/>
    </w:rPr>
  </w:style>
  <w:style w:type="table" w:customStyle="1" w:styleId="11">
    <w:name w:val="普通环评表格1"/>
    <w:basedOn w:val="TableGrid"/>
    <w:pPr>
      <w:widowControl w:val="0"/>
      <w:snapToGrid w:val="0"/>
      <w:spacing w:line="0" w:lineRule="atLeast"/>
      <w:jc w:val="both"/>
    </w:pPr>
    <w:rPr>
      <w:rFonts w:ascii="Arial" w:eastAsia="宋体" w:hAnsi="Arial"/>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12">
    <w:name w:val="浅色列表1"/>
    <w:basedOn w:val="TableNormal"/>
    <w:uiPriority w:val="61"/>
    <w:tblPr>
      <w:tblStyleRowBandSize w:val="1"/>
      <w:tblStyleColBandSize w:val="1"/>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
    <w:tblStylePr w:type="firstRow">
      <w:pPr>
        <w:spacing w:before="0" w:after="0" w:line="240" w:lineRule="auto"/>
      </w:pPr>
      <w:rPr>
        <w:b/>
        <w:bCs/>
        <w:color w:val="FFDECA"/>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band1Vert">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band1Horz">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style>
  <w:style w:type="table" w:customStyle="1" w:styleId="13">
    <w:name w:val="浅色网格1"/>
    <w:basedOn w:val="TableNormal"/>
    <w:uiPriority w:val="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eastAsia="New York" w:cs="Courier New"/>
        <w:b/>
        <w:bCs/>
      </w:rPr>
      <w:tblPr/>
      <w:tcPr>
        <w:tcBorders>
          <w:top w:val="single" w:sz="8" w:space="0" w:color="000000"/>
          <w:left w:val="single" w:sz="8" w:space="0" w:color="000000"/>
          <w:bottom w:val="single" w:sz="18" w:space="0" w:color="000000"/>
          <w:right w:val="single" w:sz="8" w:space="0" w:color="000000"/>
          <w:insideH w:val="nil"/>
          <w:insideV w:val="single" w:sz="8" w:space="0" w:color="000000"/>
          <w:tl2br w:val="none" w:sz="0" w:space="0" w:color="auto"/>
          <w:tr2bl w:val="none" w:sz="0" w:space="0" w:color="auto"/>
        </w:tcBorders>
      </w:tcPr>
    </w:tblStylePr>
    <w:tblStylePr w:type="lastRow">
      <w:pPr>
        <w:spacing w:before="0" w:after="0" w:line="240" w:lineRule="auto"/>
      </w:pPr>
      <w:rPr>
        <w:rFonts w:eastAsia="New York" w:cs="Courier New"/>
        <w:b/>
        <w:bCs/>
      </w:rPr>
      <w:tblPr/>
      <w:tcPr>
        <w:tcBorders>
          <w:top w:val="double" w:sz="6" w:space="0" w:color="000000"/>
          <w:left w:val="single" w:sz="8" w:space="0" w:color="000000"/>
          <w:bottom w:val="single" w:sz="8" w:space="0" w:color="000000"/>
          <w:right w:val="single" w:sz="8" w:space="0" w:color="000000"/>
          <w:insideH w:val="nil"/>
          <w:insideV w:val="single" w:sz="8" w:space="0" w:color="000000"/>
          <w:tl2br w:val="none" w:sz="0" w:space="0" w:color="auto"/>
          <w:tr2bl w:val="none" w:sz="0" w:space="0" w:color="auto"/>
        </w:tcBorders>
      </w:tcPr>
    </w:tblStylePr>
    <w:tblStylePr w:type="lastCol">
      <w:rPr>
        <w:rFonts w:eastAsia="New York" w:cs="Courier New"/>
        <w:b/>
        <w:bCs/>
      </w:rPr>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tcPr>
    </w:tblStylePr>
    <w:tblStylePr w:type="band1Vert">
      <w:tblPr/>
      <w:tcPr>
        <w:tcBorders>
          <w:top w:val="single" w:sz="8" w:space="0" w:color="000000"/>
          <w:left w:val="single" w:sz="8" w:space="0" w:color="000000"/>
          <w:bottom w:val="single" w:sz="8" w:space="0" w:color="000000"/>
          <w:right w:val="single" w:sz="8" w:space="0" w:color="000000"/>
          <w:insideH w:val="none" w:sz="0" w:space="0" w:color="auto"/>
          <w:insideV w:val="none" w:sz="0" w:space="0" w:color="auto"/>
          <w:tl2br w:val="none" w:sz="0" w:space="0" w:color="auto"/>
          <w:tr2bl w:val="none" w:sz="0" w:space="0" w:color="auto"/>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one" w:sz="0" w:space="0" w:color="auto"/>
          <w:insideV w:val="single" w:sz="8" w:space="0" w:color="000000"/>
          <w:tl2br w:val="none" w:sz="0" w:space="0" w:color="auto"/>
          <w:tr2bl w:val="none" w:sz="0"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one" w:sz="0" w:space="0" w:color="auto"/>
          <w:insideV w:val="single" w:sz="8" w:space="0" w:color="000000"/>
          <w:tl2br w:val="none" w:sz="0" w:space="0" w:color="auto"/>
          <w:tr2bl w:val="none" w:sz="0" w:space="0" w:color="auto"/>
        </w:tcBorders>
      </w:tcPr>
    </w:tblStylePr>
    <w:tblStylePr w:type="firstCol">
      <w:rPr>
        <w:rFonts w:eastAsia="New York" w:cs="Courier New"/>
        <w:b/>
        <w:bCs/>
      </w:rPr>
    </w:tblStylePr>
  </w:style>
  <w:style w:type="paragraph" w:customStyle="1" w:styleId="2">
    <w:name w:val="标头2"/>
    <w:basedOn w:val="Normal"/>
    <w:pPr>
      <w:widowControl w:val="0"/>
      <w:spacing w:line="360" w:lineRule="auto"/>
      <w:jc w:val="center"/>
    </w:pPr>
    <w:rPr>
      <w:rFonts w:eastAsia="黑体" w:cs="Arial"/>
      <w:kern w:val="2"/>
      <w:sz w:val="21"/>
      <w:szCs w:val="21"/>
    </w:rPr>
  </w:style>
  <w:style w:type="table" w:customStyle="1" w:styleId="14">
    <w:name w:val="普通表格环评表格1"/>
    <w:basedOn w:val="TableNormal"/>
    <w:pPr>
      <w:spacing w:line="0" w:lineRule="atLeast"/>
    </w:pPr>
    <w:rPr>
      <w:rFonts w:ascii="Arial Unicode MS" w:eastAsia="宋体" w:hAnsi="Arial Unicode MS"/>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style>
  <w:style w:type="table" w:customStyle="1" w:styleId="0">
    <w:name w:val="普通表格环评表格最小段落0"/>
    <w:basedOn w:val="TableNormal"/>
    <w:pPr>
      <w:jc w:val="center"/>
    </w:pPr>
    <w:rPr>
      <w:rFonts w:ascii="Arial Unicode MS" w:eastAsia="宋体" w:hAnsi="Arial Unicode MS"/>
      <w:sz w:val="21"/>
    </w:rPr>
    <w:tblPr>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7" w:type="dxa"/>
        <w:right w:w="57" w:type="dxa"/>
      </w:tblCellMar>
    </w:tblPr>
  </w:style>
  <w:style w:type="paragraph" w:customStyle="1" w:styleId="GB231212">
    <w:name w:val="样式 样式 (中文) 仿宋_GB2312 四号1 + 首行缩进:  2 字符"/>
    <w:basedOn w:val="Normal"/>
    <w:pPr>
      <w:widowControl w:val="0"/>
      <w:tabs>
        <w:tab w:val="left" w:pos="1800"/>
      </w:tabs>
      <w:spacing w:line="460" w:lineRule="exact"/>
      <w:ind w:firstLine="560" w:firstLineChars="200"/>
      <w:jc w:val="center"/>
    </w:pPr>
    <w:rPr>
      <w:rFonts w:eastAsia="仿宋_GB2312" w:cs="宋体"/>
      <w:kern w:val="2"/>
      <w:sz w:val="28"/>
      <w:szCs w:val="20"/>
    </w:rPr>
  </w:style>
  <w:style w:type="paragraph" w:customStyle="1" w:styleId="15">
    <w:name w:val="正文编号1."/>
    <w:basedOn w:val="NormalIndent"/>
    <w:next w:val="NormalIndent"/>
    <w:qFormat/>
    <w:pPr>
      <w:tabs>
        <w:tab w:val="left" w:pos="784"/>
      </w:tabs>
      <w:ind w:left="1074" w:hanging="420" w:firstLineChars="0"/>
    </w:pPr>
  </w:style>
  <w:style w:type="paragraph" w:customStyle="1" w:styleId="a4">
    <w:name w:val="表格编号"/>
    <w:basedOn w:val="a"/>
    <w:qFormat/>
    <w:pPr>
      <w:tabs>
        <w:tab w:val="left" w:pos="313"/>
        <w:tab w:val="left" w:pos="360"/>
      </w:tabs>
    </w:pPr>
  </w:style>
  <w:style w:type="character" w:customStyle="1" w:styleId="Char38">
    <w:name w:val="纯文本 Char"/>
    <w:aliases w:val="普通文字 Char Char1,普通文字 Char1,普通文字1 Char Cha Char,正文格式 Char,表内文字 Char"/>
    <w:rPr>
      <w:rFonts w:ascii="宋体" w:eastAsia="宋体" w:hAnsi="Courier New" w:cs="Courier New"/>
      <w:sz w:val="21"/>
      <w:szCs w:val="21"/>
    </w:rPr>
  </w:style>
  <w:style w:type="paragraph" w:customStyle="1" w:styleId="a5">
    <w:name w:val="表格内序号"/>
    <w:basedOn w:val="a"/>
    <w:link w:val="Char41"/>
    <w:qFormat/>
    <w:pPr>
      <w:numPr>
        <w:ilvl w:val="0"/>
        <w:numId w:val="8"/>
      </w:numPr>
    </w:pPr>
  </w:style>
  <w:style w:type="character" w:customStyle="1" w:styleId="Char41">
    <w:name w:val="表格内序号 Char"/>
    <w:link w:val="a5"/>
    <w:rPr>
      <w:rFonts w:ascii="Times New Roman" w:eastAsia="宋体" w:hAnsi="Times New Roman"/>
      <w:kern w:val="2"/>
      <w:sz w:val="21"/>
      <w:szCs w:val="24"/>
    </w:rPr>
  </w:style>
  <w:style w:type="paragraph" w:customStyle="1" w:styleId="a6">
    <w:name w:val="表格正文"/>
    <w:next w:val="BodyText"/>
    <w:link w:val="Char42"/>
    <w:qFormat/>
    <w:pPr>
      <w:spacing w:line="0" w:lineRule="atLeast"/>
      <w:jc w:val="center"/>
    </w:pPr>
    <w:rPr>
      <w:rFonts w:ascii="Arial" w:eastAsia="宋体" w:hAnsi="Arial"/>
      <w:kern w:val="2"/>
      <w:sz w:val="21"/>
      <w:szCs w:val="24"/>
      <w:lang w:val="en-US" w:eastAsia="zh-CN" w:bidi="ar-SA"/>
    </w:rPr>
  </w:style>
  <w:style w:type="character" w:customStyle="1" w:styleId="Char42">
    <w:name w:val="表格正文 Char"/>
    <w:link w:val="a6"/>
    <w:rPr>
      <w:rFonts w:ascii="Arial" w:eastAsia="宋体" w:hAnsi="Arial"/>
      <w:kern w:val="2"/>
      <w:sz w:val="21"/>
      <w:szCs w:val="24"/>
      <w:lang w:val="en-US" w:eastAsia="zh-CN" w:bidi="ar-SA"/>
    </w:rPr>
  </w:style>
  <w:style w:type="paragraph" w:customStyle="1" w:styleId="Char43">
    <w:name w:val="Char"/>
    <w:basedOn w:val="Normal"/>
    <w:pPr>
      <w:widowControl w:val="0"/>
    </w:pPr>
    <w:rPr>
      <w:rFonts w:ascii="Tahoma" w:eastAsia="仿宋_GB2312" w:hAnsi="Tahoma"/>
      <w:kern w:val="2"/>
      <w:szCs w:val="20"/>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Normal"/>
    <w:pPr>
      <w:widowControl w:val="0"/>
      <w:spacing w:line="360" w:lineRule="auto"/>
      <w:ind w:firstLine="200" w:firstLineChars="200"/>
    </w:pPr>
    <w:rPr>
      <w:rFonts w:ascii="宋体" w:hAnsi="宋体" w:cs="宋体"/>
      <w:kern w:val="2"/>
      <w:szCs w:val="24"/>
    </w:rPr>
  </w:style>
  <w:style w:type="paragraph" w:customStyle="1" w:styleId="CharChar1CharCharCharCharCharCharCharCharCharCharCharCharCharCharCharCharCharCharCharChar1Char1">
    <w:name w:val="Char Char1 Char Char Char Char Char Char Char Char Char Char Char Char Char Char Char Char Char Char Char Char1 Char1"/>
    <w:basedOn w:val="Normal"/>
    <w:pPr>
      <w:widowControl w:val="0"/>
      <w:spacing w:line="360" w:lineRule="auto"/>
      <w:ind w:firstLine="200" w:firstLineChars="200"/>
    </w:pPr>
    <w:rPr>
      <w:rFonts w:ascii="宋体" w:hAnsi="宋体" w:cs="宋体"/>
      <w:kern w:val="2"/>
      <w:szCs w:val="24"/>
    </w:rPr>
  </w:style>
  <w:style w:type="paragraph" w:customStyle="1" w:styleId="Char112">
    <w:name w:val="Char1"/>
    <w:basedOn w:val="Normal"/>
    <w:pPr>
      <w:widowControl w:val="0"/>
      <w:spacing w:line="360" w:lineRule="auto"/>
      <w:ind w:firstLine="200" w:firstLineChars="200"/>
    </w:pPr>
    <w:rPr>
      <w:rFonts w:ascii="宋体" w:hAnsi="宋体" w:cs="宋体"/>
      <w:kern w:val="2"/>
      <w:szCs w:val="24"/>
    </w:rPr>
  </w:style>
  <w:style w:type="paragraph" w:customStyle="1" w:styleId="16">
    <w:name w:val="正文样式1"/>
    <w:basedOn w:val="BodyTextIndent2"/>
    <w:pPr>
      <w:widowControl w:val="0"/>
      <w:snapToGrid w:val="0"/>
      <w:spacing w:after="0" w:line="540" w:lineRule="exact"/>
      <w:ind w:left="0" w:firstLine="200" w:leftChars="0" w:firstLineChars="200"/>
    </w:pPr>
    <w:rPr>
      <w:kern w:val="2"/>
      <w:szCs w:val="20"/>
    </w:rPr>
  </w:style>
  <w:style w:type="paragraph" w:customStyle="1" w:styleId="CharCharChar2">
    <w:name w:val="Char Char Char"/>
    <w:basedOn w:val="Normal"/>
    <w:pPr>
      <w:widowControl w:val="0"/>
    </w:pPr>
    <w:rPr>
      <w:kern w:val="2"/>
      <w:szCs w:val="24"/>
    </w:rPr>
  </w:style>
  <w:style w:type="paragraph" w:customStyle="1" w:styleId="26">
    <w:name w:val="样式26"/>
    <w:basedOn w:val="Heading4"/>
    <w:qFormat/>
    <w:pPr>
      <w:widowControl w:val="0"/>
      <w:tabs>
        <w:tab w:val="clear" w:pos="672"/>
        <w:tab w:val="left" w:pos="851"/>
      </w:tabs>
      <w:spacing w:beforeLines="0" w:afterLines="0" w:line="240" w:lineRule="auto"/>
      <w:ind w:left="851" w:hanging="563"/>
      <w:jc w:val="center"/>
    </w:pPr>
    <w:rPr>
      <w:rFonts w:ascii="Arial" w:eastAsia="仿宋_GB2312" w:hAnsi="Arial"/>
      <w:b/>
      <w:bCs w:val="0"/>
      <w:kern w:val="2"/>
      <w:szCs w:val="20"/>
    </w:rPr>
  </w:style>
  <w:style w:type="paragraph" w:customStyle="1" w:styleId="ParaCharCharCharChar">
    <w:name w:val="默认段落字体 Para Char Char Char Char"/>
    <w:basedOn w:val="Normal"/>
    <w:pPr>
      <w:widowControl w:val="0"/>
    </w:pPr>
    <w:rPr>
      <w:kern w:val="2"/>
      <w:szCs w:val="24"/>
    </w:rPr>
  </w:style>
  <w:style w:type="paragraph" w:customStyle="1" w:styleId="xl37">
    <w:name w:val="xl37"/>
    <w:basedOn w:val="Normal"/>
    <w:pPr>
      <w:spacing w:before="100" w:beforeAutospacing="1" w:after="100" w:afterAutospacing="1"/>
      <w:jc w:val="center"/>
    </w:pPr>
    <w:rPr>
      <w:rFonts w:ascii="宋体" w:hAnsi="宋体"/>
      <w:szCs w:val="24"/>
    </w:rPr>
  </w:style>
  <w:style w:type="paragraph" w:customStyle="1" w:styleId="24">
    <w:name w:val="样式24"/>
    <w:basedOn w:val="Heading2"/>
    <w:qFormat/>
    <w:pPr>
      <w:widowControl w:val="0"/>
      <w:tabs>
        <w:tab w:val="left" w:pos="567"/>
      </w:tabs>
      <w:spacing w:beforeLines="0" w:afterLines="0"/>
      <w:ind w:left="567" w:hanging="567"/>
      <w:jc w:val="both"/>
    </w:pPr>
    <w:rPr>
      <w:rFonts w:ascii="黑体" w:eastAsia="黑体" w:hAnsi="Arial" w:cs="Times New Roman"/>
      <w:b w:val="0"/>
      <w:bCs w:val="0"/>
      <w:kern w:val="2"/>
      <w:szCs w:val="20"/>
    </w:rPr>
  </w:style>
  <w:style w:type="paragraph" w:customStyle="1" w:styleId="CharCharCharCharCharCharCharCharCharCharCharCharChar">
    <w:name w:val="Char Char Char Char Char Char Char Char Char Char Char Char Char"/>
    <w:basedOn w:val="Normal"/>
    <w:pPr>
      <w:widowControl w:val="0"/>
      <w:spacing w:line="360" w:lineRule="auto"/>
      <w:ind w:firstLine="200" w:firstLineChars="200"/>
    </w:pPr>
    <w:rPr>
      <w:rFonts w:ascii="宋体" w:hAnsi="宋体" w:cs="宋体"/>
      <w:kern w:val="2"/>
      <w:szCs w:val="24"/>
    </w:rPr>
  </w:style>
  <w:style w:type="paragraph" w:customStyle="1" w:styleId="31113h33rdlevelH3l3CTl31C">
    <w:name w:val="样式 标题 3小节标题标题 一头小标题条标题1.1.13h33rd levelH3l3CT段l31 C..."/>
    <w:basedOn w:val="Heading3"/>
    <w:link w:val="31113h33rdlevelH3l3CTl31CChar"/>
    <w:pPr>
      <w:numPr>
        <w:ilvl w:val="0"/>
        <w:numId w:val="0"/>
      </w:numPr>
      <w:spacing w:before="216" w:after="108"/>
      <w:ind w:left="1260" w:hanging="420"/>
    </w:pPr>
    <w:rPr>
      <w:rFonts w:ascii="Calibri" w:hAnsi="Calibri" w:cs="宋体"/>
      <w:lang w:val="en-US" w:eastAsia="zh-CN"/>
    </w:rPr>
  </w:style>
  <w:style w:type="character" w:customStyle="1" w:styleId="31113h33rdlevelH3l3CTl31CChar">
    <w:name w:val="样式 标题 3小节标题标题 一头小标题条标题1.1.13h33rd levelH3l3CT段l31 C... Char"/>
    <w:link w:val="31113h33rdlevelH3l3CTl31C"/>
    <w:rPr>
      <w:rFonts w:eastAsia="宋体" w:cs="宋体"/>
      <w:b/>
      <w:bCs/>
      <w:sz w:val="24"/>
      <w:szCs w:val="32"/>
      <w:lang w:val="en-US" w:eastAsia="zh-CN" w:bidi="ar-SA"/>
    </w:rPr>
  </w:style>
  <w:style w:type="paragraph" w:customStyle="1" w:styleId="5025025">
    <w:name w:val="样式 标题 5 + 段前: 0.25 行 段后: 0.25 行"/>
    <w:basedOn w:val="Heading5"/>
    <w:pPr>
      <w:numPr>
        <w:ilvl w:val="0"/>
        <w:numId w:val="0"/>
      </w:numPr>
      <w:tabs>
        <w:tab w:val="left" w:pos="896"/>
      </w:tabs>
      <w:spacing w:before="108" w:after="108"/>
      <w:ind w:left="3828"/>
    </w:pPr>
    <w:rPr>
      <w:rFonts w:cs="宋体"/>
      <w:bCs w:val="0"/>
      <w:szCs w:val="20"/>
    </w:rPr>
  </w:style>
  <w:style w:type="paragraph" w:customStyle="1" w:styleId="CharCharChar11">
    <w:name w:val="Char Char Char1"/>
    <w:basedOn w:val="Normal"/>
    <w:pPr>
      <w:widowControl w:val="0"/>
    </w:pPr>
    <w:rPr>
      <w:kern w:val="2"/>
      <w:szCs w:val="24"/>
    </w:rPr>
  </w:style>
  <w:style w:type="paragraph" w:customStyle="1" w:styleId="Default">
    <w:name w:val="Default"/>
    <w:pPr>
      <w:widowControl w:val="0"/>
      <w:autoSpaceDE w:val="0"/>
      <w:autoSpaceDN w:val="0"/>
      <w:adjustRightInd w:val="0"/>
    </w:pPr>
    <w:rPr>
      <w:rFonts w:ascii="宋体" w:eastAsia="宋体" w:cs="宋体"/>
      <w:color w:val="000000"/>
      <w:sz w:val="24"/>
      <w:szCs w:val="24"/>
      <w:lang w:val="en-US" w:eastAsia="zh-CN" w:bidi="ar-SA"/>
    </w:rPr>
  </w:style>
  <w:style w:type="paragraph" w:customStyle="1" w:styleId="a7">
    <w:name w:val="表"/>
    <w:basedOn w:val="Normal"/>
    <w:link w:val="Char44"/>
    <w:pPr>
      <w:widowControl w:val="0"/>
      <w:snapToGrid w:val="0"/>
      <w:jc w:val="center"/>
    </w:pPr>
    <w:rPr>
      <w:spacing w:val="2"/>
      <w:kern w:val="2"/>
      <w:sz w:val="21"/>
      <w:szCs w:val="20"/>
    </w:rPr>
  </w:style>
  <w:style w:type="character" w:customStyle="1" w:styleId="Char44">
    <w:name w:val="表 Char"/>
    <w:link w:val="a7"/>
    <w:rPr>
      <w:rFonts w:ascii="Times New Roman" w:eastAsia="宋体" w:hAnsi="Times New Roman"/>
      <w:spacing w:val="2"/>
      <w:kern w:val="2"/>
      <w:sz w:val="21"/>
    </w:rPr>
  </w:style>
  <w:style w:type="paragraph" w:customStyle="1" w:styleId="121">
    <w:name w:val="样式 (符号) 宋体 五号 黑色 居中 行距: 固定值 12 磅1"/>
    <w:basedOn w:val="Normal"/>
    <w:pPr>
      <w:widowControl w:val="0"/>
      <w:spacing w:line="240" w:lineRule="exact"/>
      <w:jc w:val="center"/>
    </w:pPr>
    <w:rPr>
      <w:rFonts w:hAnsi="宋体" w:cs="宋体"/>
      <w:color w:val="000000"/>
      <w:kern w:val="2"/>
      <w:sz w:val="21"/>
      <w:szCs w:val="20"/>
    </w:rPr>
  </w:style>
  <w:style w:type="paragraph" w:customStyle="1" w:styleId="Char45">
    <w:name w:val=" Char"/>
    <w:basedOn w:val="Normal"/>
    <w:pPr>
      <w:widowControl w:val="0"/>
      <w:spacing w:line="360" w:lineRule="auto"/>
      <w:ind w:firstLine="200" w:firstLineChars="200"/>
    </w:pPr>
    <w:rPr>
      <w:rFonts w:ascii="宋体" w:hAnsi="宋体" w:cs="宋体"/>
      <w:kern w:val="2"/>
      <w:szCs w:val="24"/>
    </w:rPr>
  </w:style>
  <w:style w:type="paragraph" w:customStyle="1" w:styleId="8">
    <w:name w:val="样式8"/>
    <w:basedOn w:val="NormalIndent"/>
    <w:pPr>
      <w:widowControl w:val="0"/>
      <w:ind w:firstLine="200"/>
    </w:pPr>
    <w:rPr>
      <w:rFonts w:ascii="Arial" w:hAnsi="Arial" w:cs="Arial"/>
      <w:kern w:val="2"/>
      <w:szCs w:val="20"/>
    </w:rPr>
  </w:style>
  <w:style w:type="paragraph" w:customStyle="1" w:styleId="CharChar1CharCharCharCharCharCharCharCharCharCharCharCharCharCharCharCharCharCharCharChar1Char0">
    <w:name w:val=" Char Char1 Char Char Char Char Char Char Char Char Char Char Char Char Char Char Char Char Char Char Char Char1 Char"/>
    <w:basedOn w:val="Normal"/>
    <w:pPr>
      <w:widowControl w:val="0"/>
      <w:spacing w:line="360" w:lineRule="auto"/>
      <w:ind w:firstLine="200" w:firstLineChars="200"/>
    </w:pPr>
    <w:rPr>
      <w:rFonts w:ascii="宋体" w:hAnsi="宋体" w:cs="宋体"/>
      <w:kern w:val="2"/>
      <w:szCs w:val="24"/>
    </w:rPr>
  </w:style>
  <w:style w:type="paragraph" w:customStyle="1" w:styleId="01">
    <w:name w:val="正文01"/>
    <w:basedOn w:val="Normal"/>
    <w:link w:val="01Char"/>
    <w:pPr>
      <w:widowControl w:val="0"/>
      <w:spacing w:before="60" w:line="460" w:lineRule="exact"/>
      <w:ind w:firstLine="200" w:firstLineChars="200"/>
    </w:pPr>
    <w:rPr>
      <w:kern w:val="2"/>
      <w:szCs w:val="24"/>
    </w:rPr>
  </w:style>
  <w:style w:type="character" w:customStyle="1" w:styleId="01Char">
    <w:name w:val="正文01 Char"/>
    <w:link w:val="01"/>
    <w:rPr>
      <w:rFonts w:ascii="Times New Roman" w:eastAsia="宋体" w:hAnsi="Times New Roman"/>
      <w:kern w:val="2"/>
      <w:sz w:val="24"/>
      <w:szCs w:val="24"/>
    </w:rPr>
  </w:style>
  <w:style w:type="paragraph" w:customStyle="1" w:styleId="pic-info">
    <w:name w:val="pic-info"/>
    <w:basedOn w:val="Normal"/>
    <w:pPr>
      <w:spacing w:before="100" w:beforeAutospacing="1" w:after="100" w:afterAutospacing="1"/>
      <w:jc w:val="left"/>
    </w:pPr>
    <w:rPr>
      <w:rFonts w:ascii="宋体" w:hAnsi="宋体" w:cs="宋体"/>
      <w:szCs w:val="24"/>
    </w:rPr>
  </w:style>
  <w:style w:type="paragraph" w:customStyle="1" w:styleId="a8">
    <w:name w:val="表格"/>
    <w:pPr>
      <w:spacing w:line="380" w:lineRule="exact"/>
      <w:jc w:val="center"/>
    </w:pPr>
    <w:rPr>
      <w:rFonts w:ascii="宋体" w:eastAsia="宋体" w:hAnsi="宋体"/>
      <w:snapToGrid w:val="0"/>
      <w:sz w:val="21"/>
      <w:lang w:val="en-US" w:eastAsia="zh-CN" w:bidi="ar-SA"/>
    </w:rPr>
  </w:style>
  <w:style w:type="paragraph" w:customStyle="1" w:styleId="001">
    <w:name w:val="表格001"/>
    <w:basedOn w:val="Normal"/>
    <w:pPr>
      <w:widowControl w:val="0"/>
      <w:jc w:val="center"/>
    </w:pPr>
    <w:rPr>
      <w:kern w:val="2"/>
      <w:szCs w:val="20"/>
    </w:rPr>
  </w:style>
  <w:style w:type="paragraph" w:customStyle="1" w:styleId="a9">
    <w:name w:val="标头"/>
    <w:basedOn w:val="Normal"/>
    <w:link w:val="Char46"/>
    <w:pPr>
      <w:widowControl w:val="0"/>
      <w:spacing w:line="360" w:lineRule="auto"/>
      <w:jc w:val="center"/>
    </w:pPr>
    <w:rPr>
      <w:rFonts w:ascii="Arial" w:eastAsia="黑体" w:hAnsi="Arial"/>
      <w:kern w:val="2"/>
      <w:sz w:val="21"/>
      <w:szCs w:val="21"/>
    </w:rPr>
  </w:style>
  <w:style w:type="character" w:customStyle="1" w:styleId="Char46">
    <w:name w:val="标头 Char"/>
    <w:link w:val="a9"/>
    <w:rPr>
      <w:rFonts w:ascii="Arial" w:eastAsia="黑体" w:hAnsi="Arial" w:cs="Arial"/>
      <w:kern w:val="2"/>
      <w:sz w:val="21"/>
      <w:szCs w:val="21"/>
    </w:rPr>
  </w:style>
  <w:style w:type="paragraph" w:customStyle="1" w:styleId="a10">
    <w:name w:val="环评正文"/>
    <w:basedOn w:val="Normal"/>
    <w:pPr>
      <w:widowControl w:val="0"/>
      <w:spacing w:line="360" w:lineRule="auto"/>
    </w:pPr>
    <w:rPr>
      <w:rFonts w:ascii="宋体" w:hAnsi="宋体" w:cs="宋体"/>
      <w:kern w:val="2"/>
      <w:szCs w:val="20"/>
    </w:rPr>
  </w:style>
  <w:style w:type="character" w:customStyle="1" w:styleId="Char113">
    <w:name w:val="题注 Char1"/>
    <w:aliases w:val=" Char Char Char Char Char Char1,Char2 Char1,题注 Char Char Char Char Char Char Char Char Char Char Char1,题注 Char Char Char Char Char Char Char Char1,题注 Char Char Char Char Char Char Char2,题注 Char Char1,题注 Char2 Char1,默认段落字体1 Char"/>
    <w:rPr>
      <w:rFonts w:eastAsia="黑体"/>
      <w:b/>
      <w:kern w:val="2"/>
      <w:sz w:val="21"/>
      <w:szCs w:val="21"/>
    </w:rPr>
  </w:style>
  <w:style w:type="character" w:customStyle="1" w:styleId="1CharChar0">
    <w:name w:val="默认段落字体1 Char Char"/>
    <w:rPr>
      <w:rFonts w:ascii="Times New Roman" w:eastAsia="宋体" w:hAnsi="Times New Roman" w:cs="Arial"/>
      <w:b/>
      <w:sz w:val="21"/>
    </w:rPr>
  </w:style>
  <w:style w:type="character" w:customStyle="1" w:styleId="Char210">
    <w:name w:val="首行缩进两字 Char2"/>
    <w:aliases w:val="s4 Char2,标题4 Char2,正文不缩进 Char2,正文缩进1 Char2,正文（首行缩进两字） Char Char Char Char Char Char Char Char2,正文（首行缩进两字） Char Char Char Char Char Char1,正文（首行缩进两字） Char Char Char Char Char3,正文（首行缩进两字） Char Char Char Char3,正文（首行缩进两字） Char Char2,特点 Char2"/>
    <w:uiPriority w:val="99"/>
    <w:rPr>
      <w:rFonts w:ascii="Times New Roman" w:eastAsia="宋体" w:hAnsi="Times New Roman"/>
      <w:kern w:val="2"/>
      <w:sz w:val="24"/>
      <w:szCs w:val="24"/>
    </w:rPr>
  </w:style>
  <w:style w:type="paragraph" w:customStyle="1" w:styleId="Style6">
    <w:name w:val="_Style 6"/>
    <w:basedOn w:val="NormalIndent"/>
    <w:pPr>
      <w:widowControl w:val="0"/>
      <w:spacing w:before="100" w:beforeAutospacing="1" w:after="100" w:afterAutospacing="1" w:line="360" w:lineRule="auto"/>
      <w:ind w:firstLine="480"/>
    </w:pPr>
    <w:rPr>
      <w:kern w:val="2"/>
      <w:sz w:val="21"/>
      <w:szCs w:val="20"/>
    </w:rPr>
  </w:style>
  <w:style w:type="character" w:customStyle="1" w:styleId="CharCharChar3">
    <w:name w:val="题注 Char Char Char"/>
    <w:rPr>
      <w:rFonts w:eastAsia="宋体" w:cs="Courier New"/>
      <w:b/>
      <w:sz w:val="21"/>
      <w:lang w:val="en-US" w:eastAsia="zh-CN" w:bidi="ar-SA"/>
    </w:rPr>
  </w:style>
  <w:style w:type="character" w:customStyle="1" w:styleId="1CharChar1">
    <w:name w:val="正文编号(1) Char Char1"/>
    <w:rPr>
      <w:rFonts w:eastAsia="宋体" w:cs="微软雅黑"/>
      <w:sz w:val="24"/>
      <w:szCs w:val="22"/>
      <w:lang w:val="en-US" w:eastAsia="zh-CN" w:bidi="ar-SA"/>
    </w:rPr>
  </w:style>
  <w:style w:type="character" w:customStyle="1" w:styleId="CharChar3">
    <w:name w:val="表格内序号 Char Char"/>
    <w:rPr>
      <w:rFonts w:eastAsia="宋体" w:cs="微软雅黑"/>
      <w:kern w:val="2"/>
      <w:sz w:val="21"/>
      <w:szCs w:val="24"/>
      <w:lang w:val="en-US" w:eastAsia="zh-CN" w:bidi="ar-SA"/>
    </w:rPr>
  </w:style>
  <w:style w:type="paragraph" w:customStyle="1" w:styleId="17">
    <w:name w:val="表格正文编号(1)"/>
    <w:basedOn w:val="10"/>
    <w:qFormat/>
    <w:pPr>
      <w:numPr>
        <w:ilvl w:val="0"/>
        <w:numId w:val="9"/>
      </w:numPr>
      <w:tabs>
        <w:tab w:val="left" w:pos="851"/>
        <w:tab w:val="left" w:pos="896"/>
      </w:tabs>
    </w:pPr>
    <w:rPr>
      <w:sz w:val="21"/>
    </w:rPr>
  </w:style>
  <w:style w:type="paragraph" w:customStyle="1" w:styleId="5">
    <w:name w:val="表格内标题5"/>
    <w:basedOn w:val="Heading5"/>
    <w:qFormat/>
    <w:pPr>
      <w:numPr>
        <w:ilvl w:val="4"/>
        <w:numId w:val="10"/>
      </w:numPr>
      <w:tabs>
        <w:tab w:val="clear" w:pos="896"/>
      </w:tabs>
      <w:spacing w:beforeLines="0" w:afterLines="0" w:line="400" w:lineRule="exact"/>
    </w:pPr>
    <w:rPr>
      <w:b/>
      <w:sz w:val="21"/>
    </w:rPr>
  </w:style>
  <w:style w:type="paragraph" w:customStyle="1" w:styleId="a11">
    <w:name w:val="样式 五号 黑色 居中"/>
    <w:basedOn w:val="Normal"/>
    <w:pPr>
      <w:widowControl w:val="0"/>
      <w:jc w:val="center"/>
    </w:pPr>
    <w:rPr>
      <w:rFonts w:cs="宋体"/>
      <w:color w:val="000000"/>
      <w:kern w:val="2"/>
      <w:sz w:val="21"/>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yperlink" Target="https://d.book118.com/455131111242011041" TargetMode="External" /><Relationship Id="rId32" Type="http://schemas.openxmlformats.org/officeDocument/2006/relationships/header" Target="header10.xml" /><Relationship Id="rId33" Type="http://schemas.openxmlformats.org/officeDocument/2006/relationships/footer" Target="footer19.xml" /><Relationship Id="rId34" Type="http://schemas.openxmlformats.org/officeDocument/2006/relationships/footer" Target="footer20.xml" /><Relationship Id="rId35" Type="http://schemas.microsoft.com/office/2006/relationships/keyMapCustomizations" Target="customizations.xml" /><Relationship Id="rId36" Type="http://schemas.openxmlformats.org/officeDocument/2006/relationships/theme" Target="theme/theme1.xml" /><Relationship Id="rId37" Type="http://schemas.openxmlformats.org/officeDocument/2006/relationships/numbering" Target="numbering.xml" /><Relationship Id="rId38"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_rels/settings.xml.rels><?xml version="1.0" encoding="utf-8" standalone="yes"?><Relationships xmlns="http://schemas.openxmlformats.org/package/2006/relationships"><Relationship Id="rId1" Type="http://schemas.openxmlformats.org/officeDocument/2006/relationships/attachedTemplate" Target="file:///C:\Documents%20and%20Settings\Administrator\&#26700;&#38754;\&#25253;&#21578;&#20070;&#8212;&#8212;&#22522;&#30784;&#26684;&#24335;&#27169;&#26495;&#65288;&#35797;&#29992;&#31295;&#65289;2012.2.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报告书——基础格式模板（试用稿）2012.2.dot</Template>
  <TotalTime>0</TotalTime>
  <Pages>11</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嘉善东大树脂有限公司新建年产不饱和聚酯树脂2万吨项目</dc:title>
  <dc:creator>ICBC</dc:creator>
  <cp:lastModifiedBy>委员</cp:lastModifiedBy>
  <cp:revision>6</cp:revision>
  <cp:lastPrinted>2011-12-28T01:13:00Z</cp:lastPrinted>
  <dcterms:created xsi:type="dcterms:W3CDTF">2014-07-02T06:52:00Z</dcterms:created>
  <dcterms:modified xsi:type="dcterms:W3CDTF">2024-01-09T03:27:04Z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ECDE532167124EE78AC762DB900DE162_12</vt:lpwstr>
  </property>
  <property fmtid="{D5CDD505-2E9C-101B-9397-08002B2CF9AE}" pid="3" name="KSOProductBuildVer">
    <vt:lpwstr>2052-12.1.0.15712</vt:lpwstr>
  </property>
</Properties>
</file>