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2018-2023年天津生物工程职业技术学院高职单招（数学／语文／英语）历年常考试题库含答案解析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老舍的长篇小说代表作是（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A.《骆驼祥子》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B.《茶馆》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C.《龙须沟》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D.《月牙儿》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王安石的《答司马谏议书》是一篇什么体的驳论文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A.奏疏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B.书信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C.辞赋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D.小说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下列作品选自宋代郭茂倩编辑的《乐府诗集》的是（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A.《氓》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B.《国殇》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C.《陌上桑》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D.《行路难》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屠格涅夫最后一部作品是（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A.《贵族之家》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B.《处女地》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C.《散文诗集》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D.《初恋》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马致远《天净沙·秋思》的“枯藤老树昏鸦，小桥流水人家，古道西风瘦马”的修辞手法是（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B.排比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C.鼎足对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苏轼《水调歌头（明月几时有）》一词中最能体现“兼怀子由”的词句是（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A.但愿人长久，千里共婵娟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B.人有悲欢离合，月有阴晴圆缺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C.不应有恨，何事长向别时圆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D.起舞弄清影，何似在人间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下列句子中，使用了反诘修辞格的是（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A.叹年来踪迹，何事苦淹留?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B.不知天上宫阙，今夕是何年?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C.满地黄花堆积，憔悴损，如今有谁堪摘?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D.明明如月，何时可掇?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李煜《虞美人（春花秋月何时了）》中“雕栏玉砌应犹在，只是朱颜改”的言外之意是（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A.美景依旧，故人已老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B.岁月流逝，青春不再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C.故国宫殿，令人牵挂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D.江山易主，物是人非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人称“曲状元”的元代散曲作家是（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A.王实甫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B.关汉卿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C.郑光祖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D.马致远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郭沫若标明为“眷念祖国的情绪”的诗作是（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A.《凤凰涅槃》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B.《天狗》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C.《炉中煤》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D.《地球，我的母亲》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《大同》论证理想社会时主要运用了（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A.演绎法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B.归纳法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C.对比法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D.类比法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侯方域是明末清初著名的（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A.诗文作家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B.政治家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C.思想家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D.教育家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《麦琪的礼物》中男女主人公的名字分别是（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A.姚纳和万卡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B.安娜和吉姆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C.吉姆和德拉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D.罗密欧和朱丽叶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李商隐《无题》中推己而及对方的一联是（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A.相见时难别亦难，东风无力百花残。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https://d.book118.com/455143033330011112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455143033330011112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