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4"/>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7"/>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8"/>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9"/>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10"/>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 id="_x0000_i1026" type="#_x0000_t75" style="width:12pt;height:31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3"/>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14"/>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15"/>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16"/>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原理；活塞A、B面积如图所示，当100N的力作用在活塞A上，活塞B能举起</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7"/>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7" type="#_x0000_t75" style="width:20pt;height:16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8" type="#_x0000_t75" style="width:77pt;height:18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9" type="#_x0000_t75" style="width:48pt;height:16pt" o:ole="" coordsize="21600,21600" o:preferrelative="t" filled="f" stroked="f">
            <v:stroke joinstyle="miter"/>
            <v:imagedata r:id="rId22" o:title=""/>
            <o:lock v:ext="edit" aspectratio="f"/>
            <w10:anchorlock/>
          </v:shape>
          <o:OLEObject Type="Embed" ProgID="Equation.DSMT4" ShapeID="_x0000_i1029" DrawAspect="Content" ObjectID="_1468075729" r:id="rId2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4"/>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5"/>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w:t>
      </w:r>
      <w:r>
        <w:rPr>
          <w:rFonts w:ascii="宋体" w:eastAsia="宋体" w:hAnsi="宋体" w:cs="宋体" w:hint="eastAsia"/>
          <w:color w:val="000000" w:themeColor="text1"/>
          <w:sz w:val="22"/>
          <w14:textFill>
            <w14:solidFill>
              <w14:schemeClr w14:val="tx1"/>
            </w14:solidFill>
          </w14:textFill>
        </w:rPr>
        <w:t xml:space="preserve">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6"/>
                    <a:stretch>
                      <a:fillRect/>
                    </a:stretch>
                  </pic:blipFill>
                  <pic:spPr>
                    <a:xfrm>
                      <a:off x="0" y="0"/>
                      <a:ext cx="1490133"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近年来随着“低碳出行”的理念深入人心，不少市民选择骑“共享单车”出行。质量约为50kg的中学生张明从家里去图书馆选择了一辆摩拜单车水平匀速骑行，如表是这辆摩拜单车的部分参数。（g取10N/kg） 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航天级钪合金</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车架材料体积/cm</w:t>
            </w:r>
            <w:r>
              <w:rPr>
                <w:rFonts w:ascii="宋体" w:eastAsia="宋体" w:hAnsi="宋体" w:cs="宋体" w:hint="eastAsia"/>
                <w:color w:val="000000" w:themeColor="text1"/>
                <w:sz w:val="22"/>
                <w:vertAlign w:val="superscript"/>
                <w14:textFill>
                  <w14:solidFill>
                    <w14:schemeClr w14:val="tx1"/>
                  </w14:solidFill>
                </w14:textFill>
              </w:rPr>
              <w:t>3</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2500</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整车质量/kg</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（1）这辆摩拜单车整车的重力为多少？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（2）张明家距图书馆3km，他骑摩拜单车从家到图书馆耗时10min，若已知摩拜单车在该路段受到的阻力为摩拜单车和人的总重力的0.03倍，那么他在这段路程中的骑行速度和动力的功率分别为多少？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27"/>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 id="_x0000_i1030" type="#_x0000_t75" style="width:11pt;height:31pt" o:ole="" coordsize="21600,21600" o:preferrelative="t" filled="f" stroked="f">
            <v:stroke joinstyle="miter"/>
            <v:imagedata r:id="rId28" o:title=""/>
            <o:lock v:ext="edit" aspectratio="f"/>
            <w10:anchorlock/>
          </v:shape>
          <o:OLEObject Type="Embed" ProgID="Equation.DSMT4" ShapeID="_x0000_i1030" DrawAspect="Content" ObjectID="_1468075730" r:id="rId29"/>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如图所示，某容器放在水平桌面上，盛有足量的水。现将体积为1.25×10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，质量为0.4 kg的实心正方体放入水中，正方体不断下沉，直到沉底。已知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489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0"/>
                    <a:stretch>
                      <a:fillRect/>
                    </a:stretch>
                  </pic:blipFill>
                  <pic:spPr>
                    <a:xfrm>
                      <a:off x="0" y="0"/>
                      <a:ext cx="14224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（1）正方体受到的重力的大小；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（2）正方体浸没在水中受到的浮力的大小；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（3）容器底部对正方体的支持力的大小。</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探究“压力作用效果”的实验如甲、乙、丙所示：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30855" cy="744855"/>
            <wp:effectExtent l="0" t="0" r="17145" b="17145"/>
            <wp:docPr id="96" name="图片 96"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图片_x0020_100030"/>
                    <pic:cNvPicPr>
                      <a:picLocks noChangeAspect="1"/>
                    </pic:cNvPicPr>
                  </pic:nvPicPr>
                  <pic:blipFill>
                    <a:blip xmlns:r="http://schemas.openxmlformats.org/officeDocument/2006/relationships" r:embed="rId31"/>
                    <a:stretch>
                      <a:fillRect/>
                    </a:stretch>
                  </pic:blipFill>
                  <pic:spPr>
                    <a:xfrm>
                      <a:off x="0" y="0"/>
                      <a:ext cx="3031067"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（1）甲、乙、丙实验中，根据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来比较压力的作用效果；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（2）通过甲、乙实验能够得到的结论是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（3）由实验乙、丙可知“压力的作用效果与受力面积大小”的关系。以下实例中，没有应用这一结论的是：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A菜刀要经常磨    B书包用宽的背带    C汽车限重    D啄木鸟有坚硬而细长的喙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（4）将该小桌和砝码放在如图丁所示的木板上，比较图丙中海绵受到的压强p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和图丁中木板受到的压强p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的大小关系为p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（填“&gt;”、“&lt;”或“=”）p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；此实验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（选填“能”或“不能”）用图丁所示的木板代替海绵。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夏琛同学为了探究物体在水中不同深度所受浮力的变化情况，如图所示，将一挂在弹簧秤下的圆柱体金属块缓慢地浸入水中（水足够深），在圆柱体接触容器底之前，分别记下圆柱体下表面在水中的深度h和弹簧秤相应的示数F．已知圆柱体高为8cm，实验记录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1083310"/>
            <wp:effectExtent l="0" t="0" r="17145"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2"/>
                    <a:stretch>
                      <a:fillRect/>
                    </a:stretch>
                  </pic:blipFill>
                  <pic:spPr>
                    <a:xfrm>
                      <a:off x="0" y="0"/>
                      <a:ext cx="440267" cy="10837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72"/>
        <w:gridCol w:w="557"/>
        <w:gridCol w:w="833"/>
        <w:gridCol w:w="557"/>
        <w:gridCol w:w="833"/>
        <w:gridCol w:w="557"/>
        <w:gridCol w:w="717"/>
        <w:gridCol w:w="717"/>
        <w:gridCol w:w="71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h/cm</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（1）分析上表的数据可知，金属块的质量为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（2）当浸入深度为4cm时，物体所受的浮力为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（3）下面能正确反映物体所受浮力F浮与圆柱体下表面在水中深度h关系的图象是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318000" cy="897255"/>
            <wp:effectExtent l="0" t="0" r="6350" b="171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3"/>
                    <a:stretch>
                      <a:fillRect/>
                    </a:stretch>
                  </pic:blipFill>
                  <pic:spPr>
                    <a:xfrm>
                      <a:off x="0" y="0"/>
                      <a:ext cx="431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（4）由以上实验，还可以计算出金属块的密度ρ＝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【解答】分析滑轮组的特点可以得出，左侧滑轮为动滑轮，右侧滑轮为定滑轮，绳子的段数为2段。物体A在B的作用下匀速运动，则物体A受的摩擦力 </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r>
        <w:rPr>
          <w:rFonts w:ascii="宋体" w:eastAsia="宋体" w:hAnsi="宋体" w:cs="宋体" w:hint="eastAsia"/>
          <w:color w:val="000000" w:themeColor="text1"/>
          <w:sz w:val="22"/>
          <w14:textFill>
            <w14:solidFill>
              <w14:schemeClr w14:val="tx1"/>
            </w14:solidFill>
          </w14:textFill>
        </w:rPr>
        <w:t xml:space="preserve"> ，如果在A上再加一个向左的180N的力，物体A影响摩擦力的两个要素都没改变，所以摩擦力还是 </w:t>
      </w:r>
      <w:r>
        <w:rPr>
          <w:rFonts w:ascii="宋体" w:eastAsia="宋体" w:hAnsi="宋体" w:cs="宋体" w:hint="eastAsia"/>
          <w:color w:val="000000" w:themeColor="text1"/>
          <w:sz w:val="22"/>
          <w14:textFill>
            <w14:solidFill>
              <w14:schemeClr w14:val="tx1"/>
            </w14:solidFill>
          </w14:textFill>
        </w:rPr>
        <w:object>
          <v:shape id="_x0000_i1032" type="#_x0000_t75" style="width:12pt;height:16pt" o:ole="" coordsize="21600,21600" o:preferrelative="t" filled="f" stroked="f">
            <v:stroke joinstyle="miter"/>
            <v:imagedata r:id="rId36" o:title=""/>
            <o:lock v:ext="edit" aspectratio="f"/>
            <w10:anchorlock/>
          </v:shape>
          <o:OLEObject Type="Embed" ProgID="Equation.DSMT4" ShapeID="_x0000_i1032" DrawAspect="Content" ObjectID="_1468075732" r:id="rId37"/>
        </w:objec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https://d.book118.com/455223102340011100</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D0861"/>
    <w:rsid w:val="20FD0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wmf" /><Relationship Id="rId23" Type="http://schemas.openxmlformats.org/officeDocument/2006/relationships/oleObject" Target="embeddings/oleObject5.bin"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wmf" /><Relationship Id="rId29" Type="http://schemas.openxmlformats.org/officeDocument/2006/relationships/oleObject" Target="embeddings/oleObject6.bin" /><Relationship Id="rId3" Type="http://schemas.openxmlformats.org/officeDocument/2006/relationships/fontTable" Target="fontTable.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wmf" /><Relationship Id="rId37" Type="http://schemas.openxmlformats.org/officeDocument/2006/relationships/oleObject" Target="embeddings/oleObject8.bin" /><Relationship Id="rId38" Type="http://schemas.openxmlformats.org/officeDocument/2006/relationships/hyperlink" Target="https://d.book118.com/455223102340011100"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2023-11-15T18:24:22Z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4BB42229AAEF44519713296D016009EA_11</vt:lpwstr>
  </property>
  <property fmtid="{D5CDD505-2E9C-101B-9397-08002B2CF9AE}" pid="3" name="KSOProductBuildVer">
    <vt:lpwstr>2052-11.1.0.14309</vt:lpwstr>
  </property>
</Properties>
</file>