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line="573" w:lineRule="exact"/>
        <w:ind w:left="0" w:right="119" w:firstLine="0"/>
        <w:jc w:val="center"/>
        <w:rPr>
          <w:rFonts w:ascii="微软雅黑" w:eastAsia="微软雅黑"/>
          <w:b/>
          <w:sz w:val="36"/>
        </w:rPr>
      </w:pPr>
      <w:r>
        <w:rPr>
          <w:rFonts w:ascii="微软雅黑" w:eastAsia="微软雅黑"/>
          <w:b/>
          <w:spacing w:val="-2"/>
          <w:sz w:val="36"/>
        </w:rPr>
        <w:t>净水站工程</w:t>
      </w:r>
    </w:p>
    <w:p>
      <w:pPr>
        <w:pStyle w:val="BodyText"/>
        <w:spacing w:before="0"/>
        <w:ind w:left="0"/>
        <w:rPr>
          <w:rFonts w:ascii="微软雅黑"/>
          <w:b/>
          <w:sz w:val="53"/>
        </w:rPr>
      </w:pPr>
    </w:p>
    <w:p>
      <w:pPr>
        <w:pStyle w:val="Title"/>
        <w:spacing w:line="230" w:lineRule="auto"/>
        <w:rPr>
          <w:b w:val="0"/>
        </w:rPr>
      </w:pPr>
      <w:r>
        <w:rPr>
          <w:b w:val="0"/>
          <w:spacing w:val="-2"/>
        </w:rPr>
        <w:t>大体积混凝土</w:t>
      </w:r>
      <w:r>
        <w:rPr>
          <w:b w:val="0"/>
          <w:spacing w:val="-2"/>
        </w:rPr>
        <w:t>专项施工方案</w:t>
      </w:r>
    </w:p>
    <w:p>
      <w:pPr>
        <w:pStyle w:val="BodyText"/>
        <w:spacing w:before="0"/>
        <w:ind w:left="0"/>
        <w:rPr>
          <w:rFonts w:ascii="微软雅黑 Light"/>
          <w:b w:val="0"/>
          <w:sz w:val="104"/>
        </w:rPr>
      </w:pPr>
    </w:p>
    <w:p>
      <w:pPr>
        <w:tabs>
          <w:tab w:val="left" w:pos="2728"/>
        </w:tabs>
        <w:spacing w:before="0"/>
        <w:ind w:left="0" w:right="479" w:firstLine="0"/>
        <w:jc w:val="center"/>
        <w:rPr>
          <w:rFonts w:ascii="Times New Roman" w:eastAsia="Times New Roman"/>
          <w:b/>
          <w:sz w:val="28"/>
        </w:rPr>
      </w:pPr>
      <w:r>
        <w:rPr>
          <w:rFonts w:ascii="微软雅黑" w:eastAsia="微软雅黑"/>
          <w:b/>
          <w:sz w:val="28"/>
        </w:rPr>
        <w:t>编</w:t>
      </w:r>
      <w:r>
        <w:rPr>
          <w:rFonts w:ascii="微软雅黑" w:eastAsia="微软雅黑"/>
          <w:b/>
          <w:sz w:val="28"/>
        </w:rPr>
        <w:t>制</w:t>
      </w:r>
      <w:r>
        <w:rPr>
          <w:rFonts w:ascii="微软雅黑" w:eastAsia="微软雅黑"/>
          <w:b/>
          <w:spacing w:val="-10"/>
          <w:sz w:val="28"/>
        </w:rPr>
        <w:t>：</w:t>
      </w:r>
      <w:r>
        <w:rPr>
          <w:rFonts w:ascii="Times New Roman" w:eastAsia="Times New Roman"/>
          <w:b/>
          <w:sz w:val="28"/>
          <w:u w:val="thick"/>
        </w:rPr>
        <w:tab/>
      </w:r>
    </w:p>
    <w:p>
      <w:pPr>
        <w:pStyle w:val="BodyText"/>
        <w:spacing w:before="0"/>
        <w:ind w:left="0"/>
        <w:rPr>
          <w:rFonts w:ascii="Times New Roman"/>
          <w:b/>
          <w:sz w:val="20"/>
        </w:rPr>
      </w:pPr>
    </w:p>
    <w:p>
      <w:pPr>
        <w:pStyle w:val="BodyText"/>
        <w:spacing w:before="0"/>
        <w:ind w:left="0"/>
        <w:rPr>
          <w:rFonts w:ascii="Times New Roman"/>
          <w:b/>
          <w:sz w:val="20"/>
        </w:rPr>
      </w:pPr>
    </w:p>
    <w:p>
      <w:pPr>
        <w:pStyle w:val="BodyText"/>
        <w:spacing w:before="4"/>
        <w:ind w:left="0"/>
        <w:rPr>
          <w:rFonts w:ascii="Times New Roman"/>
          <w:b/>
          <w:sz w:val="25"/>
        </w:rPr>
      </w:pPr>
    </w:p>
    <w:p>
      <w:pPr>
        <w:tabs>
          <w:tab w:val="left" w:pos="2728"/>
        </w:tabs>
        <w:spacing w:before="0" w:line="497" w:lineRule="exact"/>
        <w:ind w:left="0" w:right="479" w:firstLine="0"/>
        <w:jc w:val="center"/>
        <w:rPr>
          <w:rFonts w:ascii="Times New Roman" w:eastAsia="Times New Roman"/>
          <w:b/>
          <w:sz w:val="28"/>
        </w:rPr>
      </w:pPr>
      <w:r>
        <w:rPr>
          <w:rFonts w:ascii="微软雅黑" w:eastAsia="微软雅黑"/>
          <w:b/>
          <w:sz w:val="28"/>
        </w:rPr>
        <w:t>审</w:t>
      </w:r>
      <w:r>
        <w:rPr>
          <w:rFonts w:ascii="微软雅黑" w:eastAsia="微软雅黑"/>
          <w:b/>
          <w:sz w:val="28"/>
        </w:rPr>
        <w:t>核</w:t>
      </w:r>
      <w:r>
        <w:rPr>
          <w:rFonts w:ascii="微软雅黑" w:eastAsia="微软雅黑"/>
          <w:b/>
          <w:spacing w:val="-10"/>
          <w:sz w:val="28"/>
        </w:rPr>
        <w:t>：</w:t>
      </w:r>
      <w:r>
        <w:rPr>
          <w:rFonts w:ascii="Times New Roman" w:eastAsia="Times New Roman"/>
          <w:b/>
          <w:sz w:val="28"/>
          <w:u w:val="thick"/>
        </w:rPr>
        <w:tab/>
      </w:r>
    </w:p>
    <w:p>
      <w:pPr>
        <w:pStyle w:val="BodyText"/>
        <w:spacing w:before="0"/>
        <w:ind w:left="0"/>
        <w:rPr>
          <w:rFonts w:ascii="Times New Roman"/>
          <w:b/>
          <w:sz w:val="20"/>
        </w:rPr>
      </w:pPr>
    </w:p>
    <w:p>
      <w:pPr>
        <w:pStyle w:val="BodyText"/>
        <w:spacing w:before="0"/>
        <w:ind w:left="0"/>
        <w:rPr>
          <w:rFonts w:ascii="Times New Roman"/>
          <w:b/>
          <w:sz w:val="20"/>
        </w:rPr>
      </w:pPr>
    </w:p>
    <w:p>
      <w:pPr>
        <w:pStyle w:val="BodyText"/>
        <w:spacing w:before="4"/>
        <w:ind w:left="0"/>
        <w:rPr>
          <w:rFonts w:ascii="Times New Roman"/>
          <w:b/>
          <w:sz w:val="25"/>
        </w:rPr>
      </w:pPr>
    </w:p>
    <w:p>
      <w:pPr>
        <w:tabs>
          <w:tab w:val="left" w:pos="2728"/>
        </w:tabs>
        <w:spacing w:before="0" w:line="497" w:lineRule="exact"/>
        <w:ind w:left="0" w:right="479" w:firstLine="0"/>
        <w:jc w:val="center"/>
        <w:rPr>
          <w:rFonts w:ascii="Times New Roman" w:eastAsia="Times New Roman"/>
          <w:b/>
          <w:sz w:val="28"/>
        </w:rPr>
      </w:pPr>
      <w:r>
        <w:rPr>
          <w:rFonts w:ascii="微软雅黑" w:eastAsia="微软雅黑"/>
          <w:b/>
          <w:sz w:val="28"/>
        </w:rPr>
        <w:t>审</w:t>
      </w:r>
      <w:r>
        <w:rPr>
          <w:rFonts w:ascii="微软雅黑" w:eastAsia="微软雅黑"/>
          <w:b/>
          <w:sz w:val="28"/>
        </w:rPr>
        <w:t>批</w:t>
      </w:r>
      <w:r>
        <w:rPr>
          <w:rFonts w:ascii="微软雅黑" w:eastAsia="微软雅黑"/>
          <w:b/>
          <w:spacing w:val="-10"/>
          <w:sz w:val="28"/>
        </w:rPr>
        <w:t>：</w:t>
      </w:r>
      <w:r>
        <w:rPr>
          <w:rFonts w:ascii="Times New Roman" w:eastAsia="Times New Roman"/>
          <w:b/>
          <w:sz w:val="28"/>
          <w:u w:val="thick"/>
        </w:rPr>
        <w:tab/>
      </w:r>
    </w:p>
    <w:p>
      <w:pPr>
        <w:pStyle w:val="BodyText"/>
        <w:spacing w:before="0"/>
        <w:ind w:left="0"/>
        <w:rPr>
          <w:rFonts w:ascii="Times New Roman"/>
          <w:b/>
          <w:sz w:val="20"/>
        </w:rPr>
      </w:pPr>
    </w:p>
    <w:p>
      <w:pPr>
        <w:pStyle w:val="BodyText"/>
        <w:spacing w:before="0"/>
        <w:ind w:left="0"/>
        <w:rPr>
          <w:rFonts w:ascii="Times New Roman"/>
          <w:b/>
          <w:sz w:val="20"/>
        </w:rPr>
      </w:pPr>
    </w:p>
    <w:p>
      <w:pPr>
        <w:pStyle w:val="BodyText"/>
        <w:spacing w:before="0"/>
        <w:ind w:left="0"/>
        <w:rPr>
          <w:rFonts w:ascii="Times New Roman"/>
          <w:b/>
          <w:sz w:val="20"/>
        </w:rPr>
      </w:pPr>
    </w:p>
    <w:p>
      <w:pPr>
        <w:pStyle w:val="BodyText"/>
        <w:spacing w:before="0"/>
        <w:ind w:left="0"/>
        <w:rPr>
          <w:rFonts w:ascii="Times New Roman"/>
          <w:b/>
          <w:sz w:val="20"/>
        </w:rPr>
      </w:pPr>
    </w:p>
    <w:p>
      <w:pPr>
        <w:pStyle w:val="BodyText"/>
        <w:spacing w:before="0"/>
        <w:ind w:left="0"/>
        <w:rPr>
          <w:rFonts w:ascii="Times New Roman"/>
          <w:b/>
          <w:sz w:val="20"/>
        </w:rPr>
      </w:pPr>
    </w:p>
    <w:p>
      <w:pPr>
        <w:pStyle w:val="BodyText"/>
        <w:spacing w:before="0"/>
        <w:ind w:left="0"/>
        <w:rPr>
          <w:rFonts w:ascii="Times New Roman"/>
          <w:b/>
          <w:sz w:val="20"/>
        </w:rPr>
      </w:pPr>
    </w:p>
    <w:p>
      <w:pPr>
        <w:pStyle w:val="BodyText"/>
        <w:spacing w:before="0"/>
        <w:ind w:left="0"/>
        <w:rPr>
          <w:rFonts w:ascii="Times New Roman"/>
          <w:b/>
          <w:sz w:val="20"/>
        </w:rPr>
      </w:pPr>
    </w:p>
    <w:p>
      <w:pPr>
        <w:pStyle w:val="BodyText"/>
        <w:ind w:left="0"/>
        <w:rPr>
          <w:rFonts w:ascii="Times New Roman"/>
          <w:b/>
        </w:rPr>
      </w:pPr>
    </w:p>
    <w:p>
      <w:pPr>
        <w:spacing w:before="71"/>
        <w:ind w:left="0" w:right="194" w:firstLine="0"/>
        <w:jc w:val="center"/>
        <w:rPr>
          <w:sz w:val="21"/>
        </w:rPr>
      </w:pPr>
      <w:r>
        <w:rPr>
          <w:spacing w:val="-2"/>
          <w:sz w:val="21"/>
        </w:rPr>
        <w:t>净水站工程项目部</w:t>
      </w:r>
    </w:p>
    <w:p>
      <w:pPr>
        <w:spacing w:before="43"/>
        <w:ind w:left="2979" w:right="3277" w:firstLine="0"/>
        <w:jc w:val="center"/>
        <w:rPr>
          <w:sz w:val="21"/>
        </w:rPr>
      </w:pPr>
      <w:r>
        <w:rPr>
          <w:rFonts w:ascii="Times New Roman" w:eastAsia="Times New Roman"/>
          <w:sz w:val="21"/>
        </w:rPr>
        <w:t xml:space="preserve">2019 </w:t>
      </w:r>
      <w:r>
        <w:rPr>
          <w:spacing w:val="-27"/>
          <w:sz w:val="21"/>
        </w:rPr>
        <w:t xml:space="preserve">年 </w:t>
      </w:r>
      <w:r>
        <w:rPr>
          <w:rFonts w:ascii="Times New Roman" w:eastAsia="Times New Roman"/>
          <w:sz w:val="21"/>
        </w:rPr>
        <w:t xml:space="preserve">7 </w:t>
      </w:r>
      <w:r>
        <w:rPr>
          <w:spacing w:val="-10"/>
          <w:sz w:val="21"/>
        </w:rPr>
        <w:t>月</w:t>
      </w:r>
    </w:p>
    <w:p>
      <w:pPr>
        <w:spacing w:after="0"/>
        <w:jc w:val="center"/>
        <w:rPr>
          <w:sz w:val="21"/>
        </w:rPr>
        <w:sectPr>
          <w:type w:val="continuous"/>
          <w:pgSz w:w="11910" w:h="16840"/>
          <w:pgMar w:top="1460" w:right="880" w:bottom="280" w:left="1180" w:header="708" w:footer="708"/>
          <w:cols w:space="708"/>
        </w:sectPr>
      </w:pPr>
    </w:p>
    <w:p>
      <w:pPr>
        <w:spacing w:before="35"/>
        <w:ind w:left="0" w:right="299" w:firstLine="0"/>
        <w:jc w:val="center"/>
        <w:rPr>
          <w:sz w:val="28"/>
        </w:rPr>
      </w:pPr>
      <w:r>
        <w:rPr>
          <w:spacing w:val="-4"/>
          <w:sz w:val="28"/>
        </w:rPr>
        <w:t>目 录</w:t>
      </w:r>
    </w:p>
    <w:p>
      <w:pPr>
        <w:spacing w:after="0"/>
        <w:jc w:val="center"/>
        <w:rPr>
          <w:sz w:val="28"/>
        </w:rPr>
        <w:sectPr>
          <w:pgSz w:w="11910" w:h="16840"/>
          <w:pgMar w:top="1500" w:right="880" w:bottom="1045" w:left="1180" w:header="708" w:footer="708"/>
          <w:pgNumType w:start="2"/>
          <w:cols w:space="708"/>
        </w:sectPr>
      </w:pPr>
    </w:p>
    <w:sdt>
      <w:sdtPr>
        <w:id w:val="78180924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9307"/>
            </w:tabs>
            <w:spacing w:before="135"/>
            <w:rPr>
              <w:rFonts w:ascii="Times New Roman" w:eastAsia="Times New Roman"/>
            </w:rPr>
          </w:pPr>
          <w:hyperlink w:anchor="_TOC_250020" w:history="1">
            <w:r>
              <w:t>一、编制依</w:t>
            </w:r>
            <w:r>
              <w:rPr>
                <w:spacing w:val="-10"/>
              </w:rPr>
              <w:t>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1</w:t>
            </w:r>
          </w:hyperlink>
        </w:p>
        <w:p>
          <w:pPr>
            <w:pStyle w:val="TOC1"/>
            <w:tabs>
              <w:tab w:val="right" w:leader="dot" w:pos="9307"/>
            </w:tabs>
            <w:spacing w:before="26"/>
            <w:rPr>
              <w:rFonts w:ascii="Times New Roman" w:eastAsia="Times New Roman"/>
            </w:rPr>
          </w:pPr>
          <w:hyperlink w:anchor="_TOC_250019" w:history="1">
            <w:r>
              <w:t>二、工程概况及特点难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1</w:t>
            </w:r>
          </w:hyperlink>
        </w:p>
        <w:p>
          <w:pPr>
            <w:pStyle w:val="TOC2"/>
            <w:tabs>
              <w:tab w:val="right" w:leader="dot" w:pos="9307"/>
            </w:tabs>
            <w:spacing w:before="102"/>
            <w:rPr>
              <w:rFonts w:ascii="Times New Roman" w:eastAsia="Times New Roman"/>
            </w:rPr>
          </w:pPr>
          <w:hyperlink w:anchor="_TOC_250018" w:history="1">
            <w:r>
              <w:t>1、工程概况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  <w:b/>
              </w:rPr>
              <w:tab/>
            </w:r>
            <w:r>
              <w:rPr>
                <w:rFonts w:ascii="Times New Roman" w:eastAsia="Times New Roman"/>
                <w:spacing w:val="-10"/>
              </w:rPr>
              <w:t>1</w:t>
            </w:r>
          </w:hyperlink>
        </w:p>
        <w:p>
          <w:pPr>
            <w:pStyle w:val="TOC2"/>
            <w:tabs>
              <w:tab w:val="right" w:leader="dot" w:pos="9307"/>
            </w:tabs>
            <w:spacing w:before="161"/>
            <w:rPr>
              <w:rFonts w:ascii="Times New Roman" w:eastAsia="Times New Roman"/>
            </w:rPr>
          </w:pPr>
          <w:hyperlink w:anchor="_TOC_250017" w:history="1">
            <w:r>
              <w:t>2、特点难点分析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  <w:b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right" w:leader="dot" w:pos="9307"/>
            </w:tabs>
            <w:rPr>
              <w:rFonts w:ascii="Times New Roman" w:eastAsia="Times New Roman"/>
            </w:rPr>
          </w:pPr>
          <w:hyperlink w:anchor="_TOC_250016" w:history="1">
            <w:r>
              <w:t>三、施工部</w:t>
            </w:r>
            <w:r>
              <w:rPr>
                <w:spacing w:val="-10"/>
              </w:rPr>
              <w:t>署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3</w:t>
            </w:r>
          </w:hyperlink>
        </w:p>
        <w:p>
          <w:pPr>
            <w:pStyle w:val="TOC2"/>
            <w:tabs>
              <w:tab w:val="right" w:leader="dot" w:pos="9307"/>
            </w:tabs>
            <w:spacing w:before="102"/>
            <w:rPr>
              <w:rFonts w:ascii="Times New Roman" w:eastAsia="Times New Roman"/>
            </w:rPr>
          </w:pPr>
          <w:hyperlink w:anchor="_TOC_250015" w:history="1">
            <w:r>
              <w:t>1、施工准</w:t>
            </w:r>
            <w:r>
              <w:rPr>
                <w:spacing w:val="-10"/>
              </w:rPr>
              <w:t>备</w:t>
            </w:r>
            <w:r>
              <w:rPr>
                <w:rFonts w:ascii="Times New Roman" w:eastAsia="Times New Roman"/>
                <w:b/>
              </w:rPr>
              <w:tab/>
            </w:r>
            <w:r>
              <w:rPr>
                <w:rFonts w:ascii="Times New Roman" w:eastAsia="Times New Roman"/>
                <w:spacing w:val="-10"/>
              </w:rPr>
              <w:t>3</w:t>
            </w:r>
          </w:hyperlink>
        </w:p>
        <w:p>
          <w:pPr>
            <w:pStyle w:val="TOC2"/>
            <w:tabs>
              <w:tab w:val="right" w:leader="dot" w:pos="9307"/>
            </w:tabs>
            <w:rPr>
              <w:rFonts w:ascii="Times New Roman" w:eastAsia="Times New Roman"/>
            </w:rPr>
          </w:pPr>
          <w:hyperlink w:anchor="_TOC_250014" w:history="1">
            <w:r>
              <w:t>2、施工计划安</w:t>
            </w:r>
            <w:r>
              <w:rPr>
                <w:spacing w:val="-10"/>
              </w:rPr>
              <w:t>排</w:t>
            </w:r>
            <w:r>
              <w:rPr>
                <w:rFonts w:ascii="Times New Roman" w:eastAsia="Times New Roman"/>
                <w:b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2"/>
            <w:tabs>
              <w:tab w:val="right" w:leader="dot" w:pos="9307"/>
            </w:tabs>
            <w:spacing w:before="161"/>
            <w:rPr>
              <w:rFonts w:ascii="Times New Roman" w:eastAsia="Times New Roman"/>
            </w:rPr>
          </w:pPr>
          <w:hyperlink w:anchor="_TOC_250013" w:history="1">
            <w:r>
              <w:t>3、混凝土浇筑的人员组</w:t>
            </w:r>
            <w:r>
              <w:rPr>
                <w:spacing w:val="-10"/>
              </w:rPr>
              <w:t>织</w:t>
            </w:r>
            <w:r>
              <w:rPr>
                <w:rFonts w:ascii="Times New Roman" w:eastAsia="Times New Roman"/>
                <w:b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2"/>
            <w:tabs>
              <w:tab w:val="right" w:leader="dot" w:pos="9307"/>
            </w:tabs>
            <w:rPr>
              <w:rFonts w:ascii="Times New Roman" w:eastAsia="Times New Roman"/>
            </w:rPr>
          </w:pPr>
          <w:r>
            <w:t>4、泵车的布</w:t>
          </w:r>
          <w:r>
            <w:rPr>
              <w:spacing w:val="-10"/>
            </w:rPr>
            <w:t>置</w:t>
          </w:r>
          <w:r>
            <w:rPr>
              <w:rFonts w:ascii="Times New Roman" w:eastAsia="Times New Roman"/>
              <w:b/>
            </w:rPr>
            <w:tab/>
          </w:r>
          <w:r>
            <w:rPr>
              <w:rFonts w:ascii="Times New Roman" w:eastAsia="Times New Roman"/>
              <w:spacing w:val="-10"/>
            </w:rPr>
            <w:t>5</w:t>
          </w:r>
        </w:p>
        <w:p>
          <w:pPr>
            <w:pStyle w:val="TOC1"/>
            <w:tabs>
              <w:tab w:val="right" w:leader="dot" w:pos="9307"/>
            </w:tabs>
            <w:rPr>
              <w:rFonts w:ascii="Times New Roman" w:eastAsia="Times New Roman"/>
            </w:rPr>
          </w:pPr>
          <w:hyperlink w:anchor="_TOC_250012" w:history="1">
            <w:r>
              <w:t>四、组织管理及施工顺</w:t>
            </w:r>
            <w:r>
              <w:rPr>
                <w:spacing w:val="-10"/>
              </w:rPr>
              <w:t>序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2"/>
            <w:tabs>
              <w:tab w:val="right" w:leader="dot" w:pos="9307"/>
            </w:tabs>
            <w:spacing w:before="103"/>
            <w:rPr>
              <w:rFonts w:ascii="Times New Roman" w:eastAsia="Times New Roman"/>
            </w:rPr>
          </w:pPr>
          <w:hyperlink w:anchor="_TOC_250011" w:history="1">
            <w:r>
              <w:t>1、施工组织构</w:t>
            </w:r>
            <w:r>
              <w:rPr>
                <w:spacing w:val="-10"/>
              </w:rPr>
              <w:t>架</w:t>
            </w:r>
            <w:r>
              <w:rPr>
                <w:rFonts w:ascii="Times New Roman" w:eastAsia="Times New Roman"/>
                <w:b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2"/>
            <w:tabs>
              <w:tab w:val="right" w:leader="dot" w:pos="9307"/>
            </w:tabs>
            <w:rPr>
              <w:rFonts w:ascii="Times New Roman" w:eastAsia="Times New Roman"/>
            </w:rPr>
          </w:pPr>
          <w:hyperlink w:anchor="_TOC_250010" w:history="1">
            <w:r>
              <w:t>2、施工顺</w:t>
            </w:r>
            <w:r>
              <w:rPr>
                <w:spacing w:val="-10"/>
              </w:rPr>
              <w:t>序</w:t>
            </w:r>
            <w:r>
              <w:rPr>
                <w:rFonts w:ascii="Times New Roman" w:eastAsia="Times New Roman"/>
                <w:b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right" w:leader="dot" w:pos="9307"/>
            </w:tabs>
            <w:rPr>
              <w:rFonts w:ascii="Times New Roman" w:eastAsia="Times New Roman"/>
            </w:rPr>
          </w:pPr>
          <w:hyperlink w:anchor="_TOC_250009" w:history="1">
            <w:r>
              <w:t>五、原材料及配合比设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2"/>
            <w:tabs>
              <w:tab w:val="right" w:leader="dot" w:pos="9307"/>
            </w:tabs>
            <w:spacing w:before="102"/>
            <w:rPr>
              <w:rFonts w:ascii="Times New Roman" w:eastAsia="Times New Roman"/>
            </w:rPr>
          </w:pPr>
          <w:hyperlink w:anchor="_TOC_250008" w:history="1">
            <w:r>
              <w:t>1、原材</w:t>
            </w:r>
            <w:r>
              <w:rPr>
                <w:spacing w:val="-10"/>
              </w:rPr>
              <w:t>料</w:t>
            </w:r>
            <w:r>
              <w:rPr>
                <w:rFonts w:ascii="Times New Roman" w:eastAsia="Times New Roman"/>
                <w:b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2"/>
            <w:tabs>
              <w:tab w:val="right" w:leader="dot" w:pos="9307"/>
            </w:tabs>
            <w:spacing w:before="161"/>
            <w:rPr>
              <w:rFonts w:ascii="Times New Roman" w:eastAsia="Times New Roman"/>
            </w:rPr>
          </w:pPr>
          <w:hyperlink w:anchor="_TOC_250007" w:history="1">
            <w:r>
              <w:t>2、配合比设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  <w:b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right" w:leader="dot" w:pos="9307"/>
            </w:tabs>
            <w:spacing w:before="83"/>
            <w:rPr>
              <w:rFonts w:ascii="Times New Roman" w:eastAsia="Times New Roman"/>
            </w:rPr>
          </w:pPr>
          <w:hyperlink w:anchor="_TOC_250006" w:history="1">
            <w:r>
              <w:t>六、混凝土施</w:t>
            </w:r>
            <w:r>
              <w:rPr>
                <w:spacing w:val="-10"/>
              </w:rPr>
              <w:t>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2"/>
            <w:tabs>
              <w:tab w:val="right" w:leader="dot" w:pos="9307"/>
            </w:tabs>
            <w:spacing w:before="103"/>
            <w:rPr>
              <w:rFonts w:ascii="Times New Roman" w:eastAsia="Times New Roman"/>
            </w:rPr>
          </w:pPr>
          <w:r>
            <w:t>整体分层连续浇筑施</w:t>
          </w:r>
          <w:r>
            <w:rPr>
              <w:spacing w:val="-10"/>
            </w:rPr>
            <w:t>工</w:t>
          </w:r>
          <w:r>
            <w:rPr>
              <w:rFonts w:ascii="Times New Roman" w:eastAsia="Times New Roman"/>
              <w:b/>
            </w:rPr>
            <w:tab/>
          </w:r>
          <w:r>
            <w:rPr>
              <w:rFonts w:ascii="Times New Roman" w:eastAsia="Times New Roman"/>
              <w:spacing w:val="-10"/>
            </w:rPr>
            <w:t>8</w:t>
          </w:r>
        </w:p>
        <w:p>
          <w:pPr>
            <w:pStyle w:val="TOC2"/>
            <w:tabs>
              <w:tab w:val="right" w:leader="dot" w:pos="9307"/>
            </w:tabs>
            <w:rPr>
              <w:rFonts w:ascii="Times New Roman" w:eastAsia="Times New Roman"/>
            </w:rPr>
          </w:pPr>
          <w:r>
            <w:t>推移式连续浇筑施</w:t>
          </w:r>
          <w:r>
            <w:rPr>
              <w:spacing w:val="-10"/>
            </w:rPr>
            <w:t>工</w:t>
          </w:r>
          <w:r>
            <w:rPr>
              <w:rFonts w:ascii="Times New Roman" w:eastAsia="Times New Roman"/>
              <w:b/>
            </w:rPr>
            <w:tab/>
          </w:r>
          <w:r>
            <w:rPr>
              <w:rFonts w:ascii="Times New Roman" w:eastAsia="Times New Roman"/>
              <w:spacing w:val="-10"/>
            </w:rPr>
            <w:t>8</w:t>
          </w:r>
        </w:p>
        <w:p>
          <w:pPr>
            <w:pStyle w:val="TOC1"/>
            <w:tabs>
              <w:tab w:val="right" w:leader="dot" w:pos="9307"/>
            </w:tabs>
            <w:rPr>
              <w:rFonts w:ascii="Times New Roman" w:eastAsia="Times New Roman"/>
            </w:rPr>
          </w:pPr>
          <w:hyperlink w:anchor="_TOC_250005" w:history="1">
            <w:r>
              <w:t>七、大体积砼的测温与养</w:t>
            </w:r>
            <w:r>
              <w:rPr>
                <w:spacing w:val="-10"/>
              </w:rPr>
              <w:t>护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2"/>
            <w:tabs>
              <w:tab w:val="right" w:leader="dot" w:pos="9307"/>
            </w:tabs>
            <w:spacing w:before="102"/>
            <w:rPr>
              <w:rFonts w:ascii="Times New Roman" w:eastAsia="Times New Roman"/>
            </w:rPr>
          </w:pPr>
          <w:r>
            <w:t>测温点布置</w:t>
          </w:r>
          <w:r>
            <w:rPr>
              <w:spacing w:val="-10"/>
            </w:rPr>
            <w:t>图</w:t>
          </w:r>
          <w:r>
            <w:rPr>
              <w:rFonts w:ascii="Times New Roman" w:eastAsia="Times New Roman"/>
              <w:b/>
            </w:rPr>
            <w:tab/>
          </w:r>
          <w:r>
            <w:rPr>
              <w:rFonts w:ascii="Times New Roman" w:eastAsia="Times New Roman"/>
              <w:spacing w:val="-5"/>
            </w:rPr>
            <w:t>11</w:t>
          </w:r>
        </w:p>
        <w:p>
          <w:pPr>
            <w:pStyle w:val="TOC2"/>
            <w:tabs>
              <w:tab w:val="right" w:leader="dot" w:pos="9307"/>
            </w:tabs>
            <w:spacing w:before="161"/>
            <w:rPr>
              <w:rFonts w:ascii="Times New Roman" w:eastAsia="Times New Roman"/>
            </w:rPr>
          </w:pPr>
          <w:r>
            <w:t>筏板大体积砼热工计</w:t>
          </w:r>
          <w:r>
            <w:rPr>
              <w:spacing w:val="-10"/>
            </w:rPr>
            <w:t>算</w:t>
          </w:r>
          <w:r>
            <w:rPr>
              <w:rFonts w:ascii="Times New Roman" w:eastAsia="Times New Roman"/>
              <w:b/>
            </w:rPr>
            <w:tab/>
          </w:r>
          <w:r>
            <w:rPr>
              <w:rFonts w:ascii="Times New Roman" w:eastAsia="Times New Roman"/>
              <w:spacing w:val="-5"/>
            </w:rPr>
            <w:t>13</w:t>
          </w:r>
        </w:p>
        <w:p>
          <w:pPr>
            <w:pStyle w:val="TOC2"/>
            <w:tabs>
              <w:tab w:val="right" w:leader="dot" w:pos="9307"/>
            </w:tabs>
            <w:spacing w:after="240"/>
            <w:rPr>
              <w:rFonts w:ascii="Times New Roman" w:eastAsia="Times New Roman"/>
            </w:rPr>
          </w:pPr>
          <w:r>
            <w:t>筏板养护厚度计</w:t>
          </w:r>
          <w:r>
            <w:rPr>
              <w:spacing w:val="-10"/>
            </w:rPr>
            <w:t>算</w:t>
          </w:r>
          <w:r>
            <w:rPr>
              <w:rFonts w:ascii="Times New Roman" w:eastAsia="Times New Roman"/>
              <w:b/>
            </w:rPr>
            <w:tab/>
          </w:r>
          <w:r>
            <w:rPr>
              <w:rFonts w:ascii="Times New Roman" w:eastAsia="Times New Roman"/>
              <w:spacing w:val="-5"/>
            </w:rPr>
            <w:t>15</w:t>
          </w:r>
        </w:p>
        <w:p>
          <w:pPr>
            <w:pStyle w:val="TOC1"/>
            <w:tabs>
              <w:tab w:val="right" w:leader="dot" w:pos="9307"/>
            </w:tabs>
            <w:spacing w:before="22" w:line="428" w:lineRule="exact"/>
            <w:rPr>
              <w:rFonts w:ascii="Times New Roman" w:eastAsia="Times New Roman"/>
            </w:rPr>
          </w:pPr>
          <w:hyperlink w:anchor="_TOC_250004" w:history="1">
            <w:r>
              <w:t>八、可能导致混凝土浇筑中断的应急措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2"/>
            <w:tabs>
              <w:tab w:val="right" w:leader="dot" w:pos="9307"/>
            </w:tabs>
            <w:spacing w:before="102"/>
            <w:rPr>
              <w:rFonts w:ascii="Times New Roman" w:eastAsia="Times New Roman"/>
            </w:rPr>
          </w:pPr>
          <w:r>
            <w:t>1、机械方</w:t>
          </w:r>
          <w:r>
            <w:rPr>
              <w:spacing w:val="-10"/>
            </w:rPr>
            <w:t>面</w:t>
          </w:r>
          <w:r>
            <w:rPr>
              <w:rFonts w:ascii="Times New Roman" w:eastAsia="Times New Roman"/>
              <w:b/>
            </w:rPr>
            <w:tab/>
          </w:r>
          <w:r>
            <w:rPr>
              <w:rFonts w:ascii="Times New Roman" w:eastAsia="Times New Roman"/>
              <w:spacing w:val="-5"/>
            </w:rPr>
            <w:t>16</w:t>
          </w:r>
        </w:p>
        <w:p>
          <w:pPr>
            <w:pStyle w:val="TOC2"/>
            <w:tabs>
              <w:tab w:val="right" w:leader="dot" w:pos="9307"/>
            </w:tabs>
            <w:spacing w:before="161"/>
            <w:rPr>
              <w:rFonts w:ascii="Times New Roman" w:eastAsia="Times New Roman"/>
            </w:rPr>
          </w:pPr>
          <w:r>
            <w:t>2、施工用电方</w:t>
          </w:r>
          <w:r>
            <w:rPr>
              <w:spacing w:val="-10"/>
            </w:rPr>
            <w:t>面</w:t>
          </w:r>
          <w:r>
            <w:rPr>
              <w:rFonts w:ascii="Times New Roman" w:eastAsia="Times New Roman"/>
              <w:b/>
            </w:rPr>
            <w:tab/>
          </w:r>
          <w:r>
            <w:rPr>
              <w:rFonts w:ascii="Times New Roman" w:eastAsia="Times New Roman"/>
              <w:spacing w:val="-5"/>
            </w:rPr>
            <w:t>16</w:t>
          </w:r>
        </w:p>
        <w:p>
          <w:pPr>
            <w:pStyle w:val="TOC2"/>
            <w:tabs>
              <w:tab w:val="right" w:leader="dot" w:pos="9307"/>
            </w:tabs>
            <w:rPr>
              <w:rFonts w:ascii="Times New Roman" w:eastAsia="Times New Roman"/>
            </w:rPr>
          </w:pPr>
          <w:r>
            <w:t>3、防止雨水的措</w:t>
          </w:r>
          <w:r>
            <w:rPr>
              <w:spacing w:val="-10"/>
            </w:rPr>
            <w:t>施</w:t>
          </w:r>
          <w:r>
            <w:rPr>
              <w:rFonts w:ascii="Times New Roman" w:eastAsia="Times New Roman"/>
              <w:b/>
            </w:rPr>
            <w:tab/>
          </w:r>
          <w:r>
            <w:rPr>
              <w:rFonts w:ascii="Times New Roman" w:eastAsia="Times New Roman"/>
              <w:spacing w:val="-5"/>
            </w:rPr>
            <w:t>16</w:t>
          </w:r>
        </w:p>
        <w:p>
          <w:pPr>
            <w:pStyle w:val="TOC1"/>
            <w:tabs>
              <w:tab w:val="right" w:leader="dot" w:pos="9307"/>
            </w:tabs>
            <w:rPr>
              <w:rFonts w:ascii="Times New Roman" w:eastAsia="Times New Roman"/>
            </w:rPr>
          </w:pPr>
          <w:hyperlink w:anchor="_TOC_250003" w:history="1">
            <w:r>
              <w:t>九、大体积砼工程质量保证措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right" w:leader="dot" w:pos="9307"/>
            </w:tabs>
            <w:spacing w:before="25"/>
            <w:rPr>
              <w:rFonts w:ascii="Times New Roman" w:eastAsia="Times New Roman"/>
            </w:rPr>
          </w:pPr>
          <w:hyperlink w:anchor="_TOC_250002" w:history="1">
            <w:r>
              <w:t>十、大体积砼工程安全文明施工措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right" w:leader="dot" w:pos="9307"/>
            </w:tabs>
            <w:spacing w:before="26"/>
            <w:rPr>
              <w:rFonts w:ascii="Times New Roman" w:eastAsia="Times New Roman"/>
            </w:rPr>
            <w:sectPr>
              <w:type w:val="continuous"/>
              <w:pgSz w:w="11910" w:h="16840"/>
              <w:pgMar w:top="1418" w:right="880" w:bottom="1045" w:left="1180" w:header="708" w:footer="708"/>
              <w:pgNumType w:start="3"/>
              <w:cols w:space="708"/>
            </w:sectPr>
          </w:pPr>
          <w:hyperlink w:anchor="_TOC_250001" w:history="1">
            <w:r>
              <w:t>十一、环境保护措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</w:sdtContent>
    </w:sdt>
    <w:sdt>
      <w:sdtPr>
        <w:id w:val="52109880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9307"/>
            </w:tabs>
            <w:spacing w:before="26"/>
            <w:rPr>
              <w:rFonts w:ascii="Times New Roman" w:eastAsia="Times New Roman"/>
            </w:rPr>
          </w:pPr>
          <w:hyperlink w:anchor="_TOC_250000" w:history="1">
            <w:r>
              <w:t>十二、大体积砼应急预</w:t>
            </w:r>
            <w:r>
              <w:rPr>
                <w:spacing w:val="-10"/>
              </w:rPr>
              <w:t>案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</w:sdtContent>
    </w:sdt>
    <w:p>
      <w:pPr>
        <w:spacing w:after="0"/>
        <w:rPr>
          <w:rFonts w:ascii="Times New Roman" w:eastAsia="Times New Roman"/>
        </w:rPr>
        <w:sectPr>
          <w:type w:val="nextPage"/>
          <w:pgSz w:w="11910" w:h="16840"/>
          <w:pgMar w:top="1418" w:right="880" w:bottom="1045" w:left="1180" w:header="708" w:footer="708"/>
          <w:pgNumType w:start="4"/>
          <w:cols w:space="708"/>
          <w:titlePg w:val="0"/>
        </w:sectPr>
      </w:pPr>
    </w:p>
    <w:p>
      <w:pPr>
        <w:pStyle w:val="Heading1"/>
        <w:spacing w:line="457" w:lineRule="exact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2812415</wp:posOffset>
            </wp:positionH>
            <wp:positionV relativeFrom="page">
              <wp:posOffset>9694798</wp:posOffset>
            </wp:positionV>
            <wp:extent cx="328929" cy="296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929" cy="296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TOC_250020"/>
      <w:bookmarkEnd w:id="0"/>
      <w:r>
        <w:rPr>
          <w:spacing w:val="-2"/>
        </w:rPr>
        <w:t>一、编制依据</w:t>
      </w:r>
    </w:p>
    <w:p>
      <w:pPr>
        <w:pStyle w:val="BodyText"/>
        <w:tabs>
          <w:tab w:val="left" w:pos="5397"/>
        </w:tabs>
        <w:spacing w:before="149"/>
        <w:ind w:left="718"/>
      </w:pPr>
      <w:r>
        <w:t>1</w:t>
      </w:r>
      <w:r>
        <w:rPr>
          <w:spacing w:val="-120"/>
        </w:rPr>
        <w:t>、</w:t>
      </w:r>
      <w:r>
        <w:t>《给水排水构筑物施工及验收规范</w:t>
      </w:r>
      <w:r>
        <w:rPr>
          <w:spacing w:val="-10"/>
        </w:rPr>
        <w:t>》</w:t>
      </w:r>
      <w:r>
        <w:tab/>
        <w:t>（GB50141-</w:t>
      </w:r>
      <w:r>
        <w:rPr>
          <w:spacing w:val="-2"/>
        </w:rPr>
        <w:t>2008）</w:t>
      </w:r>
    </w:p>
    <w:p>
      <w:pPr>
        <w:pStyle w:val="BodyText"/>
        <w:spacing w:before="160"/>
        <w:ind w:left="718"/>
      </w:pPr>
      <w:r>
        <w:t>2</w:t>
      </w:r>
      <w:r>
        <w:rPr>
          <w:spacing w:val="-12"/>
        </w:rPr>
        <w:t xml:space="preserve">、《建筑地基基础工程施工质量验收规范》 </w:t>
      </w:r>
      <w:r>
        <w:t>（GB50202-</w:t>
      </w:r>
      <w:r>
        <w:rPr>
          <w:spacing w:val="-2"/>
        </w:rPr>
        <w:t>2018）</w:t>
      </w:r>
    </w:p>
    <w:p>
      <w:pPr>
        <w:pStyle w:val="BodyText"/>
        <w:tabs>
          <w:tab w:val="left" w:pos="5397"/>
        </w:tabs>
        <w:spacing w:before="161"/>
        <w:ind w:left="718"/>
      </w:pPr>
      <w:r>
        <w:t>3</w:t>
      </w:r>
      <w:r>
        <w:rPr>
          <w:spacing w:val="-120"/>
        </w:rPr>
        <w:t>、</w:t>
      </w:r>
      <w:r>
        <w:t>《地下室防水工程质量验收规范</w:t>
      </w:r>
      <w:r>
        <w:rPr>
          <w:spacing w:val="-10"/>
        </w:rPr>
        <w:t>》</w:t>
      </w:r>
      <w:r>
        <w:tab/>
        <w:t>（GB50208-</w:t>
      </w:r>
      <w:r>
        <w:rPr>
          <w:spacing w:val="-2"/>
        </w:rPr>
        <w:t>2011）</w:t>
      </w:r>
    </w:p>
    <w:p>
      <w:pPr>
        <w:pStyle w:val="BodyText"/>
        <w:tabs>
          <w:tab w:val="left" w:pos="5397"/>
        </w:tabs>
        <w:spacing w:before="160"/>
        <w:ind w:left="718"/>
      </w:pPr>
      <w:r>
        <w:t>4</w:t>
      </w:r>
      <w:r>
        <w:rPr>
          <w:spacing w:val="-120"/>
        </w:rPr>
        <w:t>、</w:t>
      </w:r>
      <w:r>
        <w:t>《混凝土结构工程施工质量验收规范</w:t>
      </w:r>
      <w:r>
        <w:rPr>
          <w:spacing w:val="-10"/>
        </w:rPr>
        <w:t>》</w:t>
      </w:r>
      <w:r>
        <w:tab/>
        <w:t>（GB50204-</w:t>
      </w:r>
      <w:r>
        <w:rPr>
          <w:spacing w:val="-2"/>
        </w:rPr>
        <w:t>2015）</w:t>
      </w:r>
    </w:p>
    <w:p>
      <w:pPr>
        <w:pStyle w:val="BodyText"/>
        <w:tabs>
          <w:tab w:val="left" w:pos="5397"/>
        </w:tabs>
        <w:spacing w:before="161"/>
        <w:ind w:left="718"/>
      </w:pPr>
      <w:r>
        <w:t>5</w:t>
      </w:r>
      <w:r>
        <w:rPr>
          <w:spacing w:val="-120"/>
        </w:rPr>
        <w:t>、</w:t>
      </w:r>
      <w:r>
        <w:t>《大体积混凝土施工标准</w:t>
      </w:r>
      <w:r>
        <w:rPr>
          <w:spacing w:val="-10"/>
        </w:rPr>
        <w:t>》</w:t>
      </w:r>
      <w:r>
        <w:tab/>
        <w:t>（GB50496-</w:t>
      </w:r>
      <w:r>
        <w:rPr>
          <w:spacing w:val="-2"/>
        </w:rPr>
        <w:t>2018）</w:t>
      </w:r>
    </w:p>
    <w:p>
      <w:pPr>
        <w:pStyle w:val="BodyText"/>
        <w:tabs>
          <w:tab w:val="left" w:pos="5397"/>
        </w:tabs>
        <w:spacing w:before="160"/>
        <w:ind w:left="718"/>
      </w:pPr>
      <w:r>
        <w:t>6</w:t>
      </w:r>
      <w:r>
        <w:rPr>
          <w:spacing w:val="-120"/>
        </w:rPr>
        <w:t>、</w:t>
      </w:r>
      <w:r>
        <w:t>《混凝土强度检验评定标准</w:t>
      </w:r>
      <w:r>
        <w:rPr>
          <w:spacing w:val="-10"/>
        </w:rPr>
        <w:t>》</w:t>
      </w:r>
      <w:r>
        <w:tab/>
        <w:t>（GB/T50107-</w:t>
      </w:r>
      <w:r>
        <w:rPr>
          <w:spacing w:val="-2"/>
        </w:rPr>
        <w:t>2010）</w:t>
      </w:r>
    </w:p>
    <w:p>
      <w:pPr>
        <w:pStyle w:val="BodyText"/>
        <w:tabs>
          <w:tab w:val="left" w:pos="5397"/>
        </w:tabs>
        <w:spacing w:before="161"/>
        <w:ind w:left="718"/>
      </w:pPr>
      <w:r>
        <w:t>7</w:t>
      </w:r>
      <w:r>
        <w:rPr>
          <w:spacing w:val="-120"/>
        </w:rPr>
        <w:t>、</w:t>
      </w:r>
      <w:r>
        <w:t>《建筑机械使用安全技术规范</w:t>
      </w:r>
      <w:r>
        <w:rPr>
          <w:spacing w:val="-10"/>
        </w:rPr>
        <w:t>》</w:t>
      </w:r>
      <w:r>
        <w:tab/>
        <w:t>（JGJ133-</w:t>
      </w:r>
      <w:r>
        <w:rPr>
          <w:spacing w:val="-2"/>
        </w:rPr>
        <w:t>2012）</w:t>
      </w:r>
    </w:p>
    <w:p>
      <w:pPr>
        <w:pStyle w:val="BodyText"/>
        <w:tabs>
          <w:tab w:val="left" w:pos="5397"/>
        </w:tabs>
        <w:spacing w:before="160"/>
        <w:ind w:left="718"/>
      </w:pPr>
      <w:r>
        <w:t>8</w:t>
      </w:r>
      <w:r>
        <w:rPr>
          <w:spacing w:val="-120"/>
        </w:rPr>
        <w:t>、</w:t>
      </w:r>
      <w:r>
        <w:t>《建筑施工安全检查标准</w:t>
      </w:r>
      <w:r>
        <w:rPr>
          <w:spacing w:val="-10"/>
        </w:rPr>
        <w:t>》</w:t>
      </w:r>
      <w:r>
        <w:tab/>
        <w:t>（JGJ59-</w:t>
      </w:r>
      <w:r>
        <w:rPr>
          <w:spacing w:val="-2"/>
        </w:rPr>
        <w:t>2011）</w:t>
      </w:r>
    </w:p>
    <w:p>
      <w:pPr>
        <w:pStyle w:val="BodyText"/>
        <w:spacing w:before="161"/>
        <w:ind w:left="718"/>
      </w:pPr>
      <w:r>
        <w:t>9</w:t>
      </w:r>
      <w:r>
        <w:rPr>
          <w:spacing w:val="-21"/>
        </w:rPr>
        <w:t>、《 净水站工程施工组织设计》、《深基坑支护及土方开挖专项施工方案》</w:t>
      </w:r>
    </w:p>
    <w:p>
      <w:pPr>
        <w:pStyle w:val="Heading1"/>
        <w:spacing w:before="120"/>
      </w:pPr>
      <w:bookmarkStart w:id="1" w:name="_TOC_250019"/>
      <w:bookmarkEnd w:id="1"/>
      <w:r>
        <w:rPr>
          <w:spacing w:val="-1"/>
        </w:rPr>
        <w:t>二、工程概况及特点难点</w:t>
      </w:r>
    </w:p>
    <w:p>
      <w:pPr>
        <w:pStyle w:val="Heading2"/>
        <w:spacing w:before="70"/>
      </w:pPr>
      <w:bookmarkStart w:id="2" w:name="_TOC_250018"/>
      <w:r>
        <w:rPr>
          <w:spacing w:val="-6"/>
        </w:rPr>
        <w:t>1</w:t>
      </w:r>
      <w:bookmarkEnd w:id="2"/>
      <w:r>
        <w:rPr>
          <w:spacing w:val="-7"/>
        </w:rPr>
        <w:t>、工程概况：</w:t>
      </w:r>
    </w:p>
    <w:p>
      <w:pPr>
        <w:pStyle w:val="BodyText"/>
        <w:spacing w:before="106" w:line="364" w:lineRule="auto"/>
        <w:ind w:left="718" w:right="6607"/>
        <w:jc w:val="both"/>
      </w:pPr>
      <w:r>
        <w:rPr>
          <w:spacing w:val="-5"/>
        </w:rPr>
        <w:t>工程名称： 净水站工程</w:t>
      </w:r>
      <w:r>
        <w:rPr>
          <w:spacing w:val="-2"/>
        </w:rPr>
        <w:t>建设地点：</w:t>
      </w:r>
    </w:p>
    <w:p>
      <w:pPr>
        <w:pStyle w:val="BodyText"/>
        <w:spacing w:line="364" w:lineRule="auto"/>
        <w:ind w:left="718" w:right="7927"/>
        <w:jc w:val="both"/>
      </w:pPr>
      <w:r>
        <w:rPr>
          <w:spacing w:val="-2"/>
        </w:rPr>
        <w:t>建设单位：</w:t>
      </w:r>
      <w:r>
        <w:rPr>
          <w:spacing w:val="-2"/>
        </w:rPr>
        <w:t>设计单位：</w:t>
      </w:r>
      <w:r>
        <w:rPr>
          <w:spacing w:val="-2"/>
        </w:rPr>
        <w:t>监理单位：</w:t>
      </w:r>
      <w:r>
        <w:rPr>
          <w:spacing w:val="-2"/>
        </w:rPr>
        <w:t>勘探单位：</w:t>
      </w:r>
      <w:r>
        <w:rPr>
          <w:spacing w:val="-2"/>
        </w:rPr>
        <w:t>施工单位：</w:t>
      </w:r>
    </w:p>
    <w:p>
      <w:pPr>
        <w:pStyle w:val="BodyText"/>
        <w:spacing w:before="3"/>
        <w:ind w:left="838"/>
        <w:jc w:val="both"/>
      </w:pPr>
      <w:r>
        <w:rPr>
          <w:spacing w:val="-4"/>
        </w:rPr>
        <w:t xml:space="preserve">净水站工程为全地下建筑，规模 </w:t>
      </w:r>
      <w:r>
        <w:t>10</w:t>
      </w:r>
      <w:r>
        <w:rPr>
          <w:spacing w:val="-37"/>
        </w:rPr>
        <w:t xml:space="preserve"> 万 </w:t>
      </w:r>
      <w:r>
        <w:t>m</w:t>
      </w:r>
      <w:r>
        <w:rPr>
          <w:vertAlign w:val="superscript"/>
        </w:rPr>
        <w:t>3</w:t>
      </w:r>
      <w:r>
        <w:rPr>
          <w:vertAlign w:val="baseline"/>
        </w:rPr>
        <w:t>/d</w:t>
      </w:r>
      <w:r>
        <w:rPr>
          <w:spacing w:val="-9"/>
          <w:vertAlign w:val="baseline"/>
        </w:rPr>
        <w:t xml:space="preserve"> 水处理，设计地下二层，负二层层高</w:t>
      </w:r>
    </w:p>
    <w:p>
      <w:pPr>
        <w:pStyle w:val="BodyText"/>
        <w:spacing w:before="161"/>
      </w:pPr>
      <w:r>
        <w:t>6.4m，</w:t>
      </w:r>
      <w:r>
        <w:rPr>
          <w:spacing w:val="-10"/>
        </w:rPr>
        <w:t xml:space="preserve">负一层层高 </w:t>
      </w:r>
      <w:r>
        <w:t>4.75m</w:t>
      </w:r>
      <w:r>
        <w:rPr>
          <w:spacing w:val="-10"/>
        </w:rPr>
        <w:t>。</w:t>
      </w:r>
    </w:p>
    <w:p>
      <w:pPr>
        <w:pStyle w:val="BodyText"/>
        <w:spacing w:before="160" w:line="364" w:lineRule="auto"/>
        <w:ind w:right="535" w:firstLine="480"/>
      </w:pPr>
      <w:r>
        <w:rPr>
          <w:color w:val="FF0000"/>
          <w:spacing w:val="-8"/>
        </w:rPr>
        <w:t xml:space="preserve">基础为筏板基础，筏板厚度 </w:t>
      </w:r>
      <w:r>
        <w:rPr>
          <w:color w:val="FF0000"/>
          <w:spacing w:val="-4"/>
        </w:rPr>
        <w:t>1300mm</w:t>
      </w:r>
      <w:r>
        <w:rPr>
          <w:color w:val="FF0000"/>
          <w:spacing w:val="-10"/>
        </w:rPr>
        <w:t xml:space="preserve">，砼强度等级为 </w:t>
      </w:r>
      <w:r>
        <w:rPr>
          <w:color w:val="FF0000"/>
          <w:spacing w:val="-4"/>
        </w:rPr>
        <w:t>C30（</w:t>
      </w:r>
      <w:r>
        <w:rPr>
          <w:color w:val="FF0000"/>
          <w:spacing w:val="-11"/>
        </w:rPr>
        <w:t xml:space="preserve">储药池部分为 </w:t>
      </w:r>
      <w:r>
        <w:rPr>
          <w:color w:val="FF0000"/>
          <w:spacing w:val="-4"/>
        </w:rPr>
        <w:t>C35）,抗渗</w:t>
      </w:r>
      <w:r>
        <w:rPr>
          <w:color w:val="FF0000"/>
          <w:spacing w:val="-14"/>
        </w:rPr>
        <w:t xml:space="preserve">等级 </w:t>
      </w:r>
      <w:r>
        <w:rPr>
          <w:color w:val="FF0000"/>
        </w:rPr>
        <w:t>P8；</w:t>
      </w:r>
    </w:p>
    <w:p>
      <w:pPr>
        <w:pStyle w:val="BodyText"/>
        <w:spacing w:line="364" w:lineRule="auto"/>
        <w:ind w:right="427" w:firstLine="480"/>
      </w:pPr>
      <w:r>
        <w:rPr>
          <w:spacing w:val="-13"/>
        </w:rPr>
        <w:t xml:space="preserve">主体为框架结构，砼强度等级为 </w:t>
      </w:r>
      <w:r>
        <w:rPr>
          <w:spacing w:val="-2"/>
        </w:rPr>
        <w:t>C30（储药池部分标高+4.25m</w:t>
      </w:r>
      <w:r>
        <w:rPr>
          <w:spacing w:val="-26"/>
        </w:rPr>
        <w:t xml:space="preserve"> 以下为 </w:t>
      </w:r>
      <w:r>
        <w:rPr>
          <w:spacing w:val="33"/>
        </w:rPr>
        <w:t>C35</w:t>
      </w:r>
      <w:r>
        <w:rPr>
          <w:spacing w:val="-87"/>
        </w:rPr>
        <w:t>）</w:t>
      </w:r>
      <w:r>
        <w:rPr>
          <w:spacing w:val="-8"/>
        </w:rPr>
        <w:t>，贮水构</w:t>
      </w:r>
      <w:r>
        <w:rPr>
          <w:spacing w:val="-7"/>
        </w:rPr>
        <w:t xml:space="preserve">筑物混凝土抗渗等级 </w:t>
      </w:r>
      <w:r>
        <w:rPr>
          <w:spacing w:val="-2"/>
        </w:rPr>
        <w:t>P8，</w:t>
      </w:r>
      <w:r>
        <w:rPr>
          <w:spacing w:val="-5"/>
        </w:rPr>
        <w:t xml:space="preserve">结构安全等级二级，抗震设防类别丙类，采用 </w:t>
      </w:r>
      <w:r>
        <w:rPr>
          <w:spacing w:val="-2"/>
        </w:rPr>
        <w:t>7</w:t>
      </w:r>
      <w:r>
        <w:rPr>
          <w:spacing w:val="-10"/>
        </w:rPr>
        <w:t xml:space="preserve"> 度抗震设防，</w:t>
      </w:r>
      <w:r>
        <w:rPr>
          <w:spacing w:val="-2"/>
        </w:rPr>
        <w:t>框架抗震等级三级。</w:t>
      </w:r>
    </w:p>
    <w:p>
      <w:pPr>
        <w:pStyle w:val="BodyText"/>
        <w:spacing w:before="2" w:line="364" w:lineRule="auto"/>
        <w:ind w:right="607" w:firstLine="480"/>
      </w:pPr>
      <w:r>
        <w:rPr>
          <w:spacing w:val="-7"/>
        </w:rPr>
        <w:t>依据本工程筏板基础设计厚度和《大体积混凝土施工标准》，特编制专项施工方案</w:t>
      </w:r>
      <w:r>
        <w:rPr>
          <w:spacing w:val="-2"/>
        </w:rPr>
        <w:t>以指导具体施工。</w:t>
      </w:r>
    </w:p>
    <w:p>
      <w:pPr>
        <w:spacing w:after="0" w:line="364" w:lineRule="auto"/>
        <w:sectPr>
          <w:footerReference w:type="default" r:id="rId5"/>
          <w:pgSz w:w="11910" w:h="16840"/>
          <w:pgMar w:top="1500" w:right="880" w:bottom="1540" w:left="1180" w:header="0" w:footer="1358"/>
          <w:pgNumType w:start="1"/>
          <w:cols w:space="708"/>
        </w:sectPr>
      </w:pPr>
    </w:p>
    <w:p>
      <w:pPr>
        <w:pStyle w:val="Heading2"/>
        <w:spacing w:line="404" w:lineRule="exact"/>
      </w:pPr>
      <w:bookmarkStart w:id="3" w:name="_TOC_250017"/>
      <w:r>
        <w:rPr>
          <w:spacing w:val="-4"/>
        </w:rPr>
        <w:t>2</w:t>
      </w:r>
      <w:bookmarkEnd w:id="3"/>
      <w:r>
        <w:rPr>
          <w:spacing w:val="-5"/>
        </w:rPr>
        <w:t>、特点难点分析：</w:t>
      </w:r>
    </w:p>
    <w:p>
      <w:pPr>
        <w:pStyle w:val="BodyText"/>
        <w:spacing w:before="106" w:line="364" w:lineRule="auto"/>
        <w:ind w:right="535" w:firstLine="240"/>
        <w:jc w:val="both"/>
      </w:pPr>
      <w:r>
        <w:rPr>
          <w:color w:val="FF0000"/>
          <w:spacing w:val="-2"/>
        </w:rPr>
        <w:t>⑴本工程施工场地狭小，在准备基础筏板大体积混凝土浇筑前，应提前合理规划施工</w:t>
      </w:r>
      <w:r>
        <w:rPr>
          <w:color w:val="FF0000"/>
          <w:spacing w:val="-2"/>
        </w:rPr>
        <w:t>场地和混凝土车辆运输通道，及时清理现场可能影响到浇筑时泵车架设、混凝土运输车</w:t>
      </w:r>
      <w:r>
        <w:rPr>
          <w:color w:val="FF0000"/>
          <w:spacing w:val="-2"/>
        </w:rPr>
        <w:t>辆的机械、材料。</w:t>
      </w:r>
    </w:p>
    <w:p>
      <w:pPr>
        <w:pStyle w:val="BodyText"/>
        <w:spacing w:line="364" w:lineRule="auto"/>
        <w:ind w:right="535" w:firstLine="240"/>
        <w:jc w:val="both"/>
      </w:pPr>
      <w:r>
        <w:rPr>
          <w:color w:val="FF0000"/>
          <w:spacing w:val="-2"/>
        </w:rPr>
        <w:t>⑵属于深基坑工程，浇筑过程中混凝土泵车、混凝土运输车辆集中在距离基坑一倍深</w:t>
      </w:r>
      <w:r>
        <w:rPr>
          <w:color w:val="FF0000"/>
          <w:spacing w:val="-2"/>
        </w:rPr>
        <w:t>度范围内，施工期间应加强基坑监测，确保基坑安全。泵车操作司机和主要指挥人员注</w:t>
      </w:r>
      <w:r>
        <w:rPr>
          <w:color w:val="FF0000"/>
          <w:spacing w:val="-2"/>
        </w:rPr>
        <w:t>意力应高度集中，操作过程中严禁泵车臂架碰撞到支撑梁和坑内格构柱。</w:t>
      </w:r>
    </w:p>
    <w:p>
      <w:pPr>
        <w:pStyle w:val="BodyText"/>
        <w:spacing w:before="2" w:line="364" w:lineRule="auto"/>
        <w:ind w:right="415" w:firstLine="240"/>
        <w:jc w:val="both"/>
      </w:pPr>
      <w:r>
        <w:rPr>
          <w:color w:val="FF0000"/>
          <w:spacing w:val="-2"/>
        </w:rPr>
        <w:t>⑶大体积混凝土施工期间处于夏季高温天气，施工时现场除配备好防暑降温物品外，</w:t>
      </w:r>
      <w:r>
        <w:rPr>
          <w:color w:val="FF0000"/>
          <w:spacing w:val="-11"/>
        </w:rPr>
        <w:t>必要时应避开昼间高温时间段施工，当无法避免高温时间段浇筑混凝土时，宜采用遮盖、</w:t>
      </w:r>
      <w:r>
        <w:rPr>
          <w:color w:val="FF0000"/>
          <w:spacing w:val="-2"/>
        </w:rPr>
        <w:t>洒水、拌冰屑等降低混凝土原材料温度的措施。</w:t>
      </w:r>
    </w:p>
    <w:p>
      <w:pPr>
        <w:pStyle w:val="BodyText"/>
        <w:spacing w:before="2"/>
        <w:ind w:left="478"/>
      </w:pPr>
      <w:r>
        <w:rPr>
          <w:color w:val="FF0000"/>
          <w:spacing w:val="-1"/>
        </w:rPr>
        <w:t>⑷原材料控制要求高：</w:t>
      </w:r>
    </w:p>
    <w:p>
      <w:pPr>
        <w:pStyle w:val="ListParagraph"/>
        <w:numPr>
          <w:ilvl w:val="0"/>
          <w:numId w:val="1"/>
        </w:numPr>
        <w:tabs>
          <w:tab w:val="left" w:pos="719"/>
        </w:tabs>
        <w:spacing w:before="160" w:after="0" w:line="364" w:lineRule="auto"/>
        <w:ind w:left="238" w:right="535" w:firstLine="240"/>
        <w:jc w:val="both"/>
        <w:rPr>
          <w:sz w:val="24"/>
        </w:rPr>
      </w:pPr>
      <w:r>
        <w:rPr>
          <w:color w:val="FF0000"/>
          <w:spacing w:val="-4"/>
          <w:sz w:val="24"/>
        </w:rPr>
        <w:t>水泥：应采用低水化热的通用硅酸盐水泥，3d水化热不宜大于250kJ</w:t>
      </w:r>
      <w:r>
        <w:rPr>
          <w:color w:val="FF0000"/>
          <w:spacing w:val="-19"/>
          <w:sz w:val="24"/>
        </w:rPr>
        <w:t xml:space="preserve"> </w:t>
      </w:r>
      <w:r>
        <w:rPr>
          <w:color w:val="FF0000"/>
          <w:spacing w:val="-4"/>
          <w:sz w:val="24"/>
        </w:rPr>
        <w:t>/kg,</w:t>
      </w:r>
      <w:r>
        <w:rPr>
          <w:color w:val="FF0000"/>
          <w:spacing w:val="-19"/>
          <w:sz w:val="24"/>
        </w:rPr>
        <w:t xml:space="preserve"> </w:t>
      </w:r>
      <w:r>
        <w:rPr>
          <w:color w:val="FF0000"/>
          <w:spacing w:val="-4"/>
          <w:sz w:val="24"/>
        </w:rPr>
        <w:t>7d水化热</w:t>
      </w:r>
      <w:r>
        <w:rPr>
          <w:color w:val="FF0000"/>
          <w:sz w:val="24"/>
        </w:rPr>
        <w:t>不宜大于280kJ/kg;当选用52.5强度等级水泥时，7d水化热宜小300kJ/kg; 水泥在搅拌</w:t>
      </w:r>
      <w:r>
        <w:rPr>
          <w:color w:val="FF0000"/>
          <w:spacing w:val="-2"/>
          <w:sz w:val="24"/>
        </w:rPr>
        <w:t>站的入机温度不宜高于60°C;</w:t>
      </w:r>
    </w:p>
    <w:p>
      <w:pPr>
        <w:pStyle w:val="ListParagraph"/>
        <w:numPr>
          <w:ilvl w:val="0"/>
          <w:numId w:val="1"/>
        </w:numPr>
        <w:tabs>
          <w:tab w:val="left" w:pos="719"/>
        </w:tabs>
        <w:spacing w:before="2" w:after="0" w:line="240" w:lineRule="auto"/>
        <w:ind w:left="719" w:right="0" w:hanging="241"/>
        <w:jc w:val="both"/>
        <w:rPr>
          <w:sz w:val="24"/>
        </w:rPr>
      </w:pPr>
      <w:r>
        <w:rPr>
          <w:color w:val="FF0000"/>
          <w:sz w:val="24"/>
        </w:rPr>
        <w:t>细骨料宜采用中砂，细度模数宜大于2.3, 含泥量不应大于</w:t>
      </w:r>
      <w:r>
        <w:rPr>
          <w:color w:val="FF0000"/>
          <w:spacing w:val="-5"/>
          <w:sz w:val="24"/>
        </w:rPr>
        <w:t>3%;</w:t>
      </w:r>
    </w:p>
    <w:p>
      <w:pPr>
        <w:pStyle w:val="ListParagraph"/>
        <w:numPr>
          <w:ilvl w:val="0"/>
          <w:numId w:val="1"/>
        </w:numPr>
        <w:tabs>
          <w:tab w:val="left" w:pos="719"/>
        </w:tabs>
        <w:spacing w:before="161" w:after="0" w:line="240" w:lineRule="auto"/>
        <w:ind w:left="719" w:right="0" w:hanging="241"/>
        <w:jc w:val="left"/>
        <w:rPr>
          <w:sz w:val="24"/>
        </w:rPr>
      </w:pPr>
      <w:r>
        <w:rPr>
          <w:color w:val="FF0000"/>
          <w:sz w:val="24"/>
        </w:rPr>
        <w:t>粗骨料粒径宜为5.0mm ~ 31.5mm,并应连续级配，含泥量不应大于</w:t>
      </w:r>
      <w:r>
        <w:rPr>
          <w:color w:val="FF0000"/>
          <w:spacing w:val="-5"/>
          <w:sz w:val="24"/>
        </w:rPr>
        <w:t>1%;</w:t>
      </w:r>
    </w:p>
    <w:p>
      <w:pPr>
        <w:pStyle w:val="ListParagraph"/>
        <w:numPr>
          <w:ilvl w:val="0"/>
          <w:numId w:val="1"/>
        </w:numPr>
        <w:tabs>
          <w:tab w:val="left" w:pos="719"/>
        </w:tabs>
        <w:spacing w:before="160" w:after="0" w:line="364" w:lineRule="auto"/>
        <w:ind w:left="238" w:right="535" w:firstLine="240"/>
        <w:jc w:val="left"/>
        <w:rPr>
          <w:sz w:val="24"/>
        </w:rPr>
      </w:pPr>
      <w:r>
        <w:rPr>
          <w:color w:val="FF0000"/>
          <w:spacing w:val="-4"/>
          <w:sz w:val="24"/>
        </w:rPr>
        <w:t xml:space="preserve">外加剂质量及应用技术，应符合现行国家标准《混凝土外加剂》 </w:t>
      </w:r>
      <w:r>
        <w:rPr>
          <w:color w:val="FF0000"/>
          <w:spacing w:val="-2"/>
          <w:sz w:val="24"/>
        </w:rPr>
        <w:t>GB</w:t>
      </w:r>
      <w:r>
        <w:rPr>
          <w:color w:val="FF0000"/>
          <w:spacing w:val="-43"/>
          <w:sz w:val="24"/>
        </w:rPr>
        <w:t xml:space="preserve"> </w:t>
      </w:r>
      <w:r>
        <w:rPr>
          <w:color w:val="FF0000"/>
          <w:spacing w:val="-2"/>
          <w:sz w:val="24"/>
        </w:rPr>
        <w:t>8076</w:t>
      </w:r>
      <w:r>
        <w:rPr>
          <w:color w:val="FF0000"/>
          <w:spacing w:val="-11"/>
          <w:sz w:val="24"/>
        </w:rPr>
        <w:t xml:space="preserve"> 和《混凝</w:t>
      </w:r>
      <w:r>
        <w:rPr>
          <w:color w:val="FF0000"/>
          <w:sz w:val="24"/>
        </w:rPr>
        <w:t>土外加剂应用技术规范》GB 50119 的有关规定。</w:t>
      </w:r>
    </w:p>
    <w:p>
      <w:pPr>
        <w:pStyle w:val="ListParagraph"/>
        <w:numPr>
          <w:ilvl w:val="0"/>
          <w:numId w:val="21"/>
        </w:numPr>
        <w:tabs>
          <w:tab w:val="left" w:pos="1079"/>
        </w:tabs>
        <w:spacing w:before="1" w:after="0" w:line="240" w:lineRule="auto"/>
        <w:ind w:left="1079" w:right="0" w:hanging="601"/>
        <w:jc w:val="left"/>
        <w:rPr>
          <w:sz w:val="24"/>
        </w:rPr>
      </w:pPr>
      <w:r>
        <w:rPr>
          <w:color w:val="FF0000"/>
          <w:spacing w:val="-2"/>
          <w:sz w:val="24"/>
        </w:rPr>
        <w:t>温控指标要求规范：</w:t>
      </w:r>
    </w:p>
    <w:p>
      <w:pPr>
        <w:pStyle w:val="ListParagraph"/>
        <w:numPr>
          <w:ilvl w:val="1"/>
          <w:numId w:val="21"/>
        </w:numPr>
        <w:tabs>
          <w:tab w:val="left" w:pos="719"/>
        </w:tabs>
        <w:spacing w:before="161" w:after="0" w:line="364" w:lineRule="auto"/>
        <w:ind w:left="238" w:right="535" w:firstLine="240"/>
        <w:jc w:val="left"/>
        <w:rPr>
          <w:sz w:val="24"/>
        </w:rPr>
      </w:pPr>
      <w:r>
        <w:rPr>
          <w:color w:val="FF0000"/>
          <w:spacing w:val="-2"/>
          <w:sz w:val="24"/>
        </w:rPr>
        <w:t xml:space="preserve">混凝土入模温度宜控制在 </w:t>
      </w:r>
      <w:r>
        <w:rPr>
          <w:color w:val="FF0000"/>
          <w:sz w:val="24"/>
        </w:rPr>
        <w:t>5°C</w:t>
      </w:r>
      <w:r>
        <w:rPr>
          <w:color w:val="FF0000"/>
          <w:spacing w:val="-22"/>
          <w:sz w:val="24"/>
        </w:rPr>
        <w:t xml:space="preserve"> </w:t>
      </w:r>
      <w:r>
        <w:rPr>
          <w:color w:val="FF0000"/>
          <w:sz w:val="24"/>
        </w:rPr>
        <w:t>~</w:t>
      </w:r>
      <w:r>
        <w:rPr>
          <w:color w:val="FF0000"/>
          <w:spacing w:val="-22"/>
          <w:sz w:val="24"/>
        </w:rPr>
        <w:t xml:space="preserve"> </w:t>
      </w:r>
      <w:r>
        <w:rPr>
          <w:color w:val="FF0000"/>
          <w:sz w:val="24"/>
        </w:rPr>
        <w:t>30°C</w:t>
      </w:r>
      <w:r>
        <w:rPr>
          <w:color w:val="FF0000"/>
          <w:spacing w:val="-5"/>
          <w:sz w:val="24"/>
        </w:rPr>
        <w:t xml:space="preserve"> ，混凝土浇筑体在入温度基础上的温升值</w:t>
      </w:r>
      <w:r>
        <w:rPr>
          <w:color w:val="FF0000"/>
          <w:spacing w:val="-2"/>
          <w:sz w:val="24"/>
        </w:rPr>
        <w:t>不宜大于50°C;</w:t>
      </w:r>
    </w:p>
    <w:p>
      <w:pPr>
        <w:pStyle w:val="ListParagraph"/>
        <w:numPr>
          <w:ilvl w:val="1"/>
          <w:numId w:val="21"/>
        </w:numPr>
        <w:tabs>
          <w:tab w:val="left" w:pos="719"/>
        </w:tabs>
        <w:spacing w:before="1" w:after="0" w:line="364" w:lineRule="auto"/>
        <w:ind w:left="478" w:right="1927" w:firstLine="0"/>
        <w:jc w:val="left"/>
        <w:rPr>
          <w:sz w:val="24"/>
        </w:rPr>
      </w:pPr>
      <w:r>
        <w:rPr>
          <w:color w:val="FF0000"/>
          <w:spacing w:val="-2"/>
          <w:sz w:val="24"/>
        </w:rPr>
        <w:t>混凝土浇筑体里表温差（不含混凝土收缩当量温度）不宜大于</w:t>
      </w:r>
      <w:r>
        <w:rPr>
          <w:color w:val="FF0000"/>
          <w:spacing w:val="-2"/>
          <w:sz w:val="24"/>
        </w:rPr>
        <w:t>25°C;</w:t>
      </w:r>
      <w:r>
        <w:rPr>
          <w:color w:val="FF0000"/>
          <w:spacing w:val="-2"/>
          <w:sz w:val="24"/>
        </w:rPr>
        <w:t xml:space="preserve"> c.混凝土浇筑体降温速率不宜大于2.0°C/d;</w:t>
      </w:r>
    </w:p>
    <w:p>
      <w:pPr>
        <w:pStyle w:val="BodyText"/>
        <w:ind w:left="478"/>
      </w:pPr>
      <w:r>
        <w:rPr>
          <w:color w:val="FF0000"/>
        </w:rPr>
        <w:t>d.拆除保温覆盖时混凝土浇筑体表面与大气温差不应大于25°C</w:t>
      </w:r>
      <w:r>
        <w:rPr>
          <w:color w:val="FF0000"/>
          <w:spacing w:val="-10"/>
        </w:rPr>
        <w:t>。</w:t>
      </w:r>
    </w:p>
    <w:p>
      <w:pPr>
        <w:pStyle w:val="ListParagraph"/>
        <w:numPr>
          <w:ilvl w:val="0"/>
          <w:numId w:val="21"/>
        </w:numPr>
        <w:tabs>
          <w:tab w:val="left" w:pos="1079"/>
        </w:tabs>
        <w:spacing w:before="161" w:after="0" w:line="240" w:lineRule="auto"/>
        <w:ind w:left="1079" w:right="0" w:hanging="601"/>
        <w:jc w:val="left"/>
        <w:rPr>
          <w:sz w:val="24"/>
        </w:rPr>
      </w:pPr>
      <w:r>
        <w:rPr>
          <w:color w:val="FF0000"/>
          <w:spacing w:val="-2"/>
          <w:sz w:val="24"/>
        </w:rPr>
        <w:t>养护周期长、条件高</w:t>
      </w:r>
    </w:p>
    <w:p>
      <w:pPr>
        <w:pStyle w:val="BodyText"/>
        <w:spacing w:before="160" w:line="364" w:lineRule="auto"/>
        <w:ind w:right="607" w:firstLine="240"/>
      </w:pPr>
      <w:r>
        <w:rPr>
          <w:color w:val="FF0000"/>
          <w:spacing w:val="-2"/>
        </w:rPr>
        <w:t>因设计有抗渗要求，筏板基础大体积混凝土养护时间≥28d，养护方式：保湿保温养</w:t>
      </w:r>
      <w:r>
        <w:rPr>
          <w:color w:val="FF0000"/>
          <w:spacing w:val="-6"/>
        </w:rPr>
        <w:t>护。</w:t>
      </w:r>
    </w:p>
    <w:p>
      <w:pPr>
        <w:spacing w:after="0" w:line="364" w:lineRule="auto"/>
        <w:sectPr>
          <w:footerReference w:type="default" r:id="rId6"/>
          <w:pgSz w:w="11910" w:h="16840"/>
          <w:pgMar w:top="1440" w:right="880" w:bottom="1540" w:left="1180" w:header="0" w:footer="1358"/>
          <w:pgNumType w:start="2"/>
          <w:cols w:space="708"/>
        </w:sectPr>
      </w:pPr>
    </w:p>
    <w:p>
      <w:pPr>
        <w:pStyle w:val="Heading1"/>
        <w:spacing w:line="457" w:lineRule="exact"/>
        <w:ind w:left="798"/>
      </w:pPr>
      <w:bookmarkStart w:id="4" w:name="_TOC_250016"/>
      <w:bookmarkEnd w:id="4"/>
      <w:r>
        <w:rPr>
          <w:spacing w:val="-2"/>
        </w:rPr>
        <w:t>三、施工部署</w:t>
      </w:r>
    </w:p>
    <w:p>
      <w:pPr>
        <w:pStyle w:val="Heading2"/>
        <w:spacing w:before="69"/>
      </w:pPr>
      <w:bookmarkStart w:id="5" w:name="_TOC_250015"/>
      <w:r>
        <w:rPr>
          <w:spacing w:val="-6"/>
        </w:rPr>
        <w:t>1</w:t>
      </w:r>
      <w:bookmarkEnd w:id="5"/>
      <w:r>
        <w:rPr>
          <w:spacing w:val="-7"/>
        </w:rPr>
        <w:t>、施工准备</w:t>
      </w:r>
    </w:p>
    <w:p>
      <w:pPr>
        <w:pStyle w:val="ListParagraph"/>
        <w:numPr>
          <w:ilvl w:val="0"/>
          <w:numId w:val="20"/>
        </w:numPr>
        <w:tabs>
          <w:tab w:val="left" w:pos="1079"/>
        </w:tabs>
        <w:spacing w:before="106" w:after="0" w:line="240" w:lineRule="auto"/>
        <w:ind w:left="1079" w:right="0" w:hanging="361"/>
        <w:jc w:val="left"/>
        <w:rPr>
          <w:sz w:val="24"/>
        </w:rPr>
      </w:pPr>
      <w:r>
        <w:rPr>
          <w:spacing w:val="-1"/>
          <w:sz w:val="24"/>
        </w:rPr>
        <w:t>熟悉图纸，划分浇筑区域，计算浇筑量</w:t>
      </w:r>
    </w:p>
    <w:p>
      <w:pPr>
        <w:pStyle w:val="BodyText"/>
        <w:spacing w:before="161" w:line="364" w:lineRule="auto"/>
        <w:ind w:right="536" w:firstLine="480"/>
      </w:pPr>
      <w:r>
        <w:rPr>
          <w:color w:val="FF0000"/>
          <w:spacing w:val="-5"/>
        </w:rPr>
        <w:t xml:space="preserve">基坑支护桩距离筏板边仅 </w:t>
      </w:r>
      <w:r>
        <w:rPr>
          <w:color w:val="FF0000"/>
        </w:rPr>
        <w:t>200mm，考虑到后期筏板基础将作为深基坑换撑使用，现</w:t>
      </w:r>
      <w:r>
        <w:rPr>
          <w:color w:val="FF0000"/>
          <w:spacing w:val="-2"/>
        </w:rPr>
        <w:t>利用支护桩作为筏板基础侧模，底板砼浇筑时直接施工至支护桩边。</w:t>
      </w:r>
    </w:p>
    <w:p>
      <w:pPr>
        <w:pStyle w:val="BodyText"/>
        <w:spacing w:line="364" w:lineRule="auto"/>
        <w:ind w:right="535" w:firstLine="480"/>
      </w:pPr>
      <w:r>
        <w:rPr>
          <w:spacing w:val="-6"/>
        </w:rPr>
        <w:t xml:space="preserve">设计整个基础筏板东西方向有一条宽度 </w:t>
      </w:r>
      <w:r>
        <w:rPr>
          <w:spacing w:val="-2"/>
        </w:rPr>
        <w:t>800mm</w:t>
      </w:r>
      <w:r>
        <w:rPr>
          <w:spacing w:val="-15"/>
        </w:rPr>
        <w:t xml:space="preserve"> 后浇带，具体位置位于 </w:t>
      </w:r>
      <w:r>
        <w:rPr>
          <w:spacing w:val="-2"/>
        </w:rPr>
        <w:t>F</w:t>
      </w:r>
      <w:r>
        <w:rPr>
          <w:spacing w:val="-12"/>
        </w:rPr>
        <w:t xml:space="preserve"> 轴处。现将</w:t>
      </w:r>
      <w:r>
        <w:rPr>
          <w:spacing w:val="-3"/>
        </w:rPr>
        <w:t xml:space="preserve">基础筏板大体积混凝土划分为 </w:t>
      </w:r>
      <w:r>
        <w:t>1#、2#浇筑区域，如下图所示：</w:t>
      </w:r>
    </w:p>
    <w:p>
      <w:pPr>
        <w:pStyle w:val="BodyText"/>
        <w:spacing w:before="9"/>
        <w:ind w:left="0"/>
        <w:rPr>
          <w:sz w:val="7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1939925</wp:posOffset>
            </wp:positionH>
            <wp:positionV relativeFrom="paragraph">
              <wp:posOffset>78290</wp:posOffset>
            </wp:positionV>
            <wp:extent cx="4046219" cy="5280660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6219" cy="5280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sz w:val="17"/>
        </w:rPr>
      </w:pPr>
    </w:p>
    <w:p>
      <w:pPr>
        <w:spacing w:before="0"/>
        <w:ind w:left="958" w:right="0" w:firstLine="0"/>
        <w:jc w:val="left"/>
        <w:rPr>
          <w:rFonts w:ascii="Microsoft JhengHei" w:eastAsia="Microsoft JhengHei"/>
          <w:b/>
          <w:sz w:val="24"/>
        </w:rPr>
      </w:pPr>
      <w:r>
        <w:rPr>
          <w:rFonts w:ascii="Microsoft JhengHei" w:eastAsia="Microsoft JhengHei"/>
          <w:b/>
          <w:spacing w:val="-2"/>
          <w:sz w:val="24"/>
        </w:rPr>
        <w:t>浇筑砼汇总如下：</w:t>
      </w:r>
    </w:p>
    <w:p>
      <w:pPr>
        <w:pStyle w:val="BodyText"/>
        <w:spacing w:before="106"/>
        <w:ind w:left="718"/>
      </w:pPr>
      <w:r>
        <w:t>1#</w:t>
      </w:r>
      <w:r>
        <w:rPr>
          <w:spacing w:val="-16"/>
        </w:rPr>
        <w:t xml:space="preserve">区域：浇筑面积 </w:t>
      </w:r>
      <w:r>
        <w:t>931.33</w:t>
      </w:r>
      <w:r>
        <w:rPr>
          <w:spacing w:val="-20"/>
        </w:rPr>
        <w:t xml:space="preserve">㎡； </w:t>
      </w:r>
      <w:r>
        <w:rPr>
          <w:color w:val="FF0000"/>
        </w:rPr>
        <w:t>浇筑量 1237.4m³</w:t>
      </w:r>
      <w:r>
        <w:t>（C30 P8</w:t>
      </w:r>
      <w:r>
        <w:rPr>
          <w:spacing w:val="-8"/>
        </w:rPr>
        <w:t xml:space="preserve"> 施工至外墙水平施工缝</w:t>
      </w:r>
      <w:r>
        <w:rPr>
          <w:spacing w:val="-183"/>
        </w:rPr>
        <w:t>）</w:t>
      </w:r>
      <w:r>
        <w:rPr>
          <w:spacing w:val="-5"/>
        </w:rPr>
        <w:t>；</w:t>
      </w:r>
    </w:p>
    <w:p>
      <w:pPr>
        <w:pStyle w:val="BodyText"/>
        <w:spacing w:before="160"/>
        <w:ind w:left="718"/>
      </w:pPr>
      <w:r>
        <w:t>2#</w:t>
      </w:r>
      <w:r>
        <w:rPr>
          <w:spacing w:val="-4"/>
        </w:rPr>
        <w:t xml:space="preserve">区域：浇筑面积 </w:t>
      </w:r>
      <w:r>
        <w:t>968.24㎡；</w:t>
      </w:r>
      <w:r>
        <w:rPr>
          <w:color w:val="FF0000"/>
          <w:spacing w:val="-6"/>
        </w:rPr>
        <w:t xml:space="preserve">浇筑量 </w:t>
      </w:r>
      <w:r>
        <w:rPr>
          <w:color w:val="FF0000"/>
        </w:rPr>
        <w:t>1287.4m³</w:t>
      </w:r>
      <w:r>
        <w:t>（</w:t>
      </w:r>
      <w:r>
        <w:rPr>
          <w:spacing w:val="-20"/>
        </w:rPr>
        <w:t xml:space="preserve">其中 </w:t>
      </w:r>
      <w:r>
        <w:rPr>
          <w:color w:val="FF0000"/>
        </w:rPr>
        <w:t>C35</w:t>
      </w:r>
      <w:r>
        <w:rPr>
          <w:color w:val="FF0000"/>
          <w:spacing w:val="-21"/>
        </w:rPr>
        <w:t xml:space="preserve"> </w:t>
      </w:r>
      <w:r>
        <w:rPr>
          <w:color w:val="FF0000"/>
        </w:rPr>
        <w:t>P8：147.4m³</w:t>
      </w:r>
      <w:r>
        <w:t>；C30</w:t>
      </w:r>
      <w:r>
        <w:rPr>
          <w:spacing w:val="-21"/>
        </w:rPr>
        <w:t xml:space="preserve"> </w:t>
      </w:r>
      <w:r>
        <w:rPr>
          <w:spacing w:val="-5"/>
        </w:rPr>
        <w:t>P8：</w:t>
      </w:r>
    </w:p>
    <w:p>
      <w:pPr>
        <w:spacing w:after="0"/>
        <w:sectPr>
          <w:footerReference w:type="default" r:id="rId8"/>
          <w:pgSz w:w="11910" w:h="16840"/>
          <w:pgMar w:top="1500" w:right="880" w:bottom="1540" w:left="1180" w:header="0" w:footer="1358"/>
          <w:pgNumType w:start="3"/>
          <w:cols w:space="708"/>
        </w:sectPr>
      </w:pPr>
    </w:p>
    <w:p>
      <w:pPr>
        <w:pStyle w:val="BodyText"/>
        <w:spacing w:before="42"/>
        <w:ind w:left="0" w:right="6127"/>
        <w:jc w:val="right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2812415</wp:posOffset>
            </wp:positionH>
            <wp:positionV relativeFrom="page">
              <wp:posOffset>9694798</wp:posOffset>
            </wp:positionV>
            <wp:extent cx="328929" cy="296545"/>
            <wp:effectExtent l="0" t="0" r="0" b="0"/>
            <wp:wrapNone/>
            <wp:docPr id="7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929" cy="296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1140m³施工至外墙水平施工缝</w:t>
      </w:r>
      <w:r>
        <w:rPr>
          <w:spacing w:val="-125"/>
        </w:rPr>
        <w:t>）</w:t>
      </w:r>
      <w:r>
        <w:rPr>
          <w:spacing w:val="-5"/>
        </w:rPr>
        <w:t>；</w:t>
      </w:r>
    </w:p>
    <w:p>
      <w:pPr>
        <w:pStyle w:val="ListParagraph"/>
        <w:numPr>
          <w:ilvl w:val="0"/>
          <w:numId w:val="20"/>
        </w:numPr>
        <w:tabs>
          <w:tab w:val="left" w:pos="361"/>
        </w:tabs>
        <w:spacing w:before="160" w:after="0" w:line="240" w:lineRule="auto"/>
        <w:ind w:left="361" w:right="6187" w:hanging="361"/>
        <w:jc w:val="right"/>
        <w:rPr>
          <w:sz w:val="24"/>
        </w:rPr>
      </w:pPr>
      <w:r>
        <w:rPr>
          <w:spacing w:val="-1"/>
          <w:sz w:val="24"/>
        </w:rPr>
        <w:t>确定商品混凝土供货单位</w:t>
      </w:r>
    </w:p>
    <w:p>
      <w:pPr>
        <w:pStyle w:val="BodyText"/>
        <w:spacing w:before="161" w:line="364" w:lineRule="auto"/>
        <w:ind w:right="535" w:firstLine="480"/>
        <w:jc w:val="both"/>
      </w:pPr>
      <w:r>
        <w:rPr>
          <w:spacing w:val="-2"/>
        </w:rPr>
        <w:t>商品混凝土由南京中联商品混凝土有限公司供应，为了保证混凝土的连续供应，与</w:t>
      </w:r>
      <w:r>
        <w:rPr>
          <w:spacing w:val="-2"/>
        </w:rPr>
        <w:t>混凝土公司协商制定保障混凝土浇筑时供应连续性的措施，要求搅拌站配备足够的混凝</w:t>
      </w:r>
      <w:r>
        <w:rPr>
          <w:spacing w:val="-2"/>
        </w:rPr>
        <w:t>土运输车外，沿途派专人及时反馈路况信息。</w:t>
      </w:r>
    </w:p>
    <w:p>
      <w:pPr>
        <w:pStyle w:val="ListParagraph"/>
        <w:numPr>
          <w:ilvl w:val="0"/>
          <w:numId w:val="20"/>
        </w:numPr>
        <w:tabs>
          <w:tab w:val="left" w:pos="1019"/>
        </w:tabs>
        <w:spacing w:before="2" w:after="0" w:line="240" w:lineRule="auto"/>
        <w:ind w:left="1019" w:right="0" w:hanging="361"/>
        <w:jc w:val="left"/>
        <w:rPr>
          <w:sz w:val="24"/>
        </w:rPr>
      </w:pPr>
      <w:r>
        <w:rPr>
          <w:spacing w:val="-2"/>
          <w:sz w:val="24"/>
        </w:rPr>
        <w:t>机具车辆准备及检查</w:t>
      </w:r>
    </w:p>
    <w:p>
      <w:pPr>
        <w:pStyle w:val="BodyText"/>
        <w:spacing w:before="160" w:line="364" w:lineRule="auto"/>
        <w:ind w:right="535" w:firstLine="480"/>
        <w:jc w:val="both"/>
      </w:pPr>
      <w:r>
        <w:rPr>
          <w:spacing w:val="-7"/>
        </w:rPr>
        <w:t xml:space="preserve">整个施工现场投入 </w:t>
      </w:r>
      <w:r>
        <w:rPr>
          <w:spacing w:val="-4"/>
        </w:rPr>
        <w:t>2</w:t>
      </w:r>
      <w:r>
        <w:rPr>
          <w:spacing w:val="-14"/>
        </w:rPr>
        <w:t xml:space="preserve"> 台臂长 </w:t>
      </w:r>
      <w:r>
        <w:rPr>
          <w:spacing w:val="-4"/>
        </w:rPr>
        <w:t>46m</w:t>
      </w:r>
      <w:r>
        <w:rPr>
          <w:spacing w:val="-11"/>
        </w:rPr>
        <w:t xml:space="preserve"> 的混凝土输送汽车泵，配备砼工 </w:t>
      </w:r>
      <w:r>
        <w:rPr>
          <w:spacing w:val="-4"/>
        </w:rPr>
        <w:t>24</w:t>
      </w:r>
      <w:r>
        <w:rPr>
          <w:spacing w:val="-9"/>
        </w:rPr>
        <w:t xml:space="preserve"> 人。运输车辆</w:t>
      </w:r>
      <w:r>
        <w:rPr>
          <w:spacing w:val="-9"/>
        </w:rPr>
        <w:t xml:space="preserve">保证每小时 </w:t>
      </w:r>
      <w:r>
        <w:rPr>
          <w:spacing w:val="-6"/>
        </w:rPr>
        <w:t>17</w:t>
      </w:r>
      <w:r>
        <w:rPr>
          <w:spacing w:val="-11"/>
        </w:rPr>
        <w:t xml:space="preserve"> 车次，</w:t>
      </w:r>
      <w:r>
        <w:rPr>
          <w:spacing w:val="-6"/>
        </w:rPr>
        <w:t>4</w:t>
      </w:r>
      <w:r>
        <w:rPr>
          <w:spacing w:val="-10"/>
        </w:rPr>
        <w:t xml:space="preserve"> 台插入式振捣棒，</w:t>
      </w:r>
      <w:r>
        <w:rPr>
          <w:spacing w:val="-6"/>
        </w:rPr>
        <w:t>2</w:t>
      </w:r>
      <w:r>
        <w:rPr>
          <w:spacing w:val="-10"/>
        </w:rPr>
        <w:t xml:space="preserve"> 台收面磨光机，其他机具设备根据施工需要</w:t>
      </w:r>
      <w:r>
        <w:rPr>
          <w:spacing w:val="-2"/>
        </w:rPr>
        <w:t>准备充足，并考虑发生故障时的修理时间，应有备用的汽车泵和振捣器。所用的机具场</w:t>
      </w:r>
      <w:r>
        <w:rPr>
          <w:spacing w:val="-2"/>
        </w:rPr>
        <w:t>地应在浇筑前进行检查和试运转，同时配有专职机修工，随时检修。</w:t>
      </w:r>
    </w:p>
    <w:p>
      <w:pPr>
        <w:pStyle w:val="ListParagraph"/>
        <w:numPr>
          <w:ilvl w:val="0"/>
          <w:numId w:val="20"/>
        </w:numPr>
        <w:tabs>
          <w:tab w:val="left" w:pos="1079"/>
        </w:tabs>
        <w:spacing w:before="3" w:after="0" w:line="240" w:lineRule="auto"/>
        <w:ind w:left="1079" w:right="0" w:hanging="361"/>
        <w:jc w:val="left"/>
        <w:rPr>
          <w:sz w:val="24"/>
        </w:rPr>
      </w:pPr>
      <w:r>
        <w:rPr>
          <w:spacing w:val="-1"/>
          <w:sz w:val="24"/>
        </w:rPr>
        <w:t>保证水电及原材料的供应</w:t>
      </w:r>
    </w:p>
    <w:p>
      <w:pPr>
        <w:pStyle w:val="ListParagraph"/>
        <w:numPr>
          <w:ilvl w:val="0"/>
          <w:numId w:val="19"/>
        </w:numPr>
        <w:tabs>
          <w:tab w:val="left" w:pos="1319"/>
        </w:tabs>
        <w:spacing w:before="160" w:after="0" w:line="240" w:lineRule="auto"/>
        <w:ind w:left="1319" w:right="0" w:hanging="601"/>
        <w:jc w:val="left"/>
        <w:rPr>
          <w:sz w:val="24"/>
        </w:rPr>
      </w:pPr>
      <w:r>
        <w:rPr>
          <w:spacing w:val="-1"/>
          <w:sz w:val="24"/>
        </w:rPr>
        <w:t>浇筑砼期间，要保证施工用电不中断。</w:t>
      </w:r>
    </w:p>
    <w:p>
      <w:pPr>
        <w:pStyle w:val="ListParagraph"/>
        <w:numPr>
          <w:ilvl w:val="0"/>
          <w:numId w:val="19"/>
        </w:numPr>
        <w:tabs>
          <w:tab w:val="left" w:pos="1323"/>
        </w:tabs>
        <w:spacing w:before="161" w:after="0" w:line="364" w:lineRule="auto"/>
        <w:ind w:left="718" w:right="415" w:firstLine="0"/>
        <w:jc w:val="left"/>
        <w:rPr>
          <w:sz w:val="24"/>
        </w:rPr>
      </w:pPr>
      <w:r>
        <w:rPr>
          <w:spacing w:val="-4"/>
          <w:sz w:val="24"/>
        </w:rPr>
        <w:t xml:space="preserve">砼浇筑前 </w:t>
      </w:r>
      <w:r>
        <w:rPr>
          <w:sz w:val="24"/>
        </w:rPr>
        <w:t>24h</w:t>
      </w:r>
      <w:r>
        <w:rPr>
          <w:spacing w:val="-5"/>
          <w:sz w:val="24"/>
        </w:rPr>
        <w:t xml:space="preserve"> 应及时通知砼搅拌站，并填写商品砼供应委托单，注明浇筑时</w:t>
      </w:r>
      <w:r>
        <w:rPr>
          <w:spacing w:val="-6"/>
          <w:sz w:val="24"/>
        </w:rPr>
        <w:t>间、浇筑部位、浇筑数量及浇筑方式，同时应写清楚砼坍落度、外加剂等特殊要求。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5)掌握天气季节、气温变化</w:t>
      </w:r>
    </w:p>
    <w:p>
      <w:pPr>
        <w:pStyle w:val="BodyText"/>
        <w:spacing w:line="364" w:lineRule="auto"/>
        <w:ind w:right="535" w:firstLine="480"/>
      </w:pPr>
      <w:r>
        <w:rPr>
          <w:spacing w:val="-2"/>
        </w:rPr>
        <w:t>加强气象预测预报，在砼施工阶段掌握天气的变化，及时调整确保砼施工质量控制</w:t>
      </w:r>
      <w:r>
        <w:rPr>
          <w:spacing w:val="-4"/>
        </w:rPr>
        <w:t>措施。</w:t>
      </w:r>
    </w:p>
    <w:p>
      <w:pPr>
        <w:pStyle w:val="ListParagraph"/>
        <w:numPr>
          <w:ilvl w:val="0"/>
          <w:numId w:val="18"/>
        </w:numPr>
        <w:tabs>
          <w:tab w:val="left" w:pos="1078"/>
        </w:tabs>
        <w:spacing w:before="2" w:after="0" w:line="240" w:lineRule="auto"/>
        <w:ind w:left="1078" w:right="0" w:hanging="360"/>
        <w:jc w:val="left"/>
        <w:rPr>
          <w:sz w:val="24"/>
        </w:rPr>
      </w:pPr>
      <w:r>
        <w:rPr>
          <w:spacing w:val="-1"/>
          <w:sz w:val="24"/>
        </w:rPr>
        <w:t>检查模板、钢筋、预埋管和预埋件</w:t>
      </w:r>
    </w:p>
    <w:p>
      <w:pPr>
        <w:pStyle w:val="BodyText"/>
        <w:spacing w:before="160" w:line="364" w:lineRule="auto"/>
        <w:ind w:right="415" w:firstLine="480"/>
      </w:pPr>
      <w:r>
        <w:rPr>
          <w:spacing w:val="-6"/>
        </w:rPr>
        <w:t>在砼浇筑前，应检查和控制模板、钢筋、保护层、预埋件、预埋管等的尺寸，规格、</w:t>
      </w:r>
      <w:r>
        <w:rPr>
          <w:spacing w:val="-2"/>
        </w:rPr>
        <w:t>数量和位置，其偏差值应符合设计和相关规范的规定，在“三检”合格后，请专业监理</w:t>
      </w:r>
      <w:r>
        <w:rPr>
          <w:spacing w:val="-2"/>
        </w:rPr>
        <w:t>工程师及时进行隐蔽验收。</w:t>
      </w:r>
    </w:p>
    <w:p>
      <w:pPr>
        <w:pStyle w:val="ListParagraph"/>
        <w:numPr>
          <w:ilvl w:val="0"/>
          <w:numId w:val="18"/>
        </w:numPr>
        <w:tabs>
          <w:tab w:val="left" w:pos="959"/>
        </w:tabs>
        <w:spacing w:before="2" w:after="0" w:line="240" w:lineRule="auto"/>
        <w:ind w:left="959" w:right="0" w:hanging="241"/>
        <w:jc w:val="left"/>
        <w:rPr>
          <w:sz w:val="24"/>
        </w:rPr>
      </w:pPr>
      <w:r>
        <w:rPr>
          <w:spacing w:val="-1"/>
          <w:sz w:val="24"/>
        </w:rPr>
        <w:t>准备好坍落度桶和测温仪，按规定检查混凝土坍落度和入模温度，并做好记录。</w:t>
      </w:r>
    </w:p>
    <w:p>
      <w:pPr>
        <w:pStyle w:val="Heading2"/>
        <w:spacing w:before="81"/>
      </w:pPr>
      <w:bookmarkStart w:id="6" w:name="_TOC_250014"/>
      <w:r>
        <w:rPr>
          <w:spacing w:val="-4"/>
        </w:rPr>
        <w:t>2</w:t>
      </w:r>
      <w:bookmarkEnd w:id="6"/>
      <w:r>
        <w:rPr>
          <w:spacing w:val="-5"/>
        </w:rPr>
        <w:t>、施工计划安排</w:t>
      </w:r>
    </w:p>
    <w:p>
      <w:pPr>
        <w:pStyle w:val="BodyText"/>
        <w:spacing w:before="106" w:line="364" w:lineRule="auto"/>
        <w:ind w:right="535" w:firstLine="480"/>
        <w:jc w:val="both"/>
      </w:pPr>
      <w:r>
        <w:rPr>
          <w:spacing w:val="-2"/>
        </w:rPr>
        <w:t>筏板混凝土的分区一次性浇筑量较大，尽量选在天气状况良好的情况下浇筑，对混</w:t>
      </w:r>
      <w:r>
        <w:rPr>
          <w:spacing w:val="-2"/>
        </w:rPr>
        <w:t>凝土的运输较有利。</w:t>
      </w:r>
      <w:r>
        <w:rPr>
          <w:color w:val="FF0000"/>
          <w:spacing w:val="-4"/>
        </w:rPr>
        <w:t xml:space="preserve">浇筑混凝土的预计时间计划在 </w:t>
      </w:r>
      <w:r>
        <w:rPr>
          <w:color w:val="FF0000"/>
          <w:spacing w:val="-2"/>
        </w:rPr>
        <w:t>2019</w:t>
      </w:r>
      <w:r>
        <w:rPr>
          <w:color w:val="FF0000"/>
          <w:spacing w:val="-20"/>
        </w:rPr>
        <w:t xml:space="preserve"> 年 </w:t>
      </w:r>
      <w:r>
        <w:rPr>
          <w:color w:val="FF0000"/>
          <w:spacing w:val="-2"/>
        </w:rPr>
        <w:t>8</w:t>
      </w:r>
      <w:r>
        <w:rPr>
          <w:color w:val="FF0000"/>
          <w:spacing w:val="-7"/>
        </w:rPr>
        <w:t xml:space="preserve"> 月份，将根据实际浇筑时</w:t>
      </w:r>
      <w:r>
        <w:rPr>
          <w:color w:val="FF0000"/>
          <w:spacing w:val="-2"/>
        </w:rPr>
        <w:t>间提前对材料、机具、人员等进行落实，保证混凝土浇筑的顺利和有序性。</w:t>
      </w:r>
    </w:p>
    <w:p>
      <w:pPr>
        <w:pStyle w:val="Heading2"/>
        <w:spacing w:line="364" w:lineRule="exact"/>
      </w:pPr>
      <w:bookmarkStart w:id="7" w:name="_TOC_250013"/>
      <w:r>
        <w:rPr>
          <w:spacing w:val="-4"/>
        </w:rPr>
        <w:t>3</w:t>
      </w:r>
      <w:bookmarkEnd w:id="7"/>
      <w:r>
        <w:rPr>
          <w:spacing w:val="-5"/>
        </w:rPr>
        <w:t>、混凝土浇筑的人员组织</w:t>
      </w:r>
    </w:p>
    <w:p>
      <w:pPr>
        <w:pStyle w:val="BodyText"/>
        <w:spacing w:before="106" w:line="364" w:lineRule="auto"/>
        <w:ind w:right="535" w:firstLine="480"/>
      </w:pPr>
      <w:r>
        <w:rPr>
          <w:spacing w:val="-2"/>
        </w:rPr>
        <w:t>筏板大体积混凝土的浇筑必须各方面协调统一方可顺利施工。由现场经理担任总调</w:t>
      </w:r>
      <w:r>
        <w:rPr>
          <w:spacing w:val="-3"/>
        </w:rPr>
        <w:t>度长，混凝土浇筑前由总调度长先进行各方面协调、联络和布置，施工时由总调度长进</w:t>
      </w:r>
    </w:p>
    <w:p>
      <w:pPr>
        <w:spacing w:after="0" w:line="364" w:lineRule="auto"/>
        <w:sectPr>
          <w:footerReference w:type="default" r:id="rId9"/>
          <w:pgSz w:w="11910" w:h="16840"/>
          <w:pgMar w:top="1440" w:right="880" w:bottom="1540" w:left="1180" w:header="0" w:footer="1358"/>
          <w:pgNumType w:start="4"/>
          <w:cols w:space="708"/>
        </w:sectPr>
      </w:pPr>
    </w:p>
    <w:p>
      <w:pPr>
        <w:pStyle w:val="BodyText"/>
        <w:spacing w:before="42" w:line="364" w:lineRule="auto"/>
        <w:ind w:right="535"/>
        <w:jc w:val="both"/>
      </w:pPr>
      <w:r>
        <w:rPr>
          <w:spacing w:val="-2"/>
        </w:rPr>
        <w:t>行总指挥处理各种关系。混凝土浇筑时现场将派专人指挥管理车辆的出入，保证施工的</w:t>
      </w:r>
      <w:r>
        <w:rPr>
          <w:spacing w:val="-2"/>
        </w:rPr>
        <w:t>有序进行。各砼搅拌站专人负责与现场联络并及时汇报搅拌站的情况，同时根据现场情况，协调砼的搅拌和运输速度。在劳动力的配备上充分考虑搅拌、运输、浇筑、换班各</w:t>
      </w:r>
      <w:r>
        <w:rPr>
          <w:spacing w:val="-1"/>
        </w:rPr>
        <w:t xml:space="preserve">个环节因素的影响，每昼夜按两大班安排(每大班 </w:t>
      </w:r>
      <w:r>
        <w:t>12</w:t>
      </w:r>
      <w:r>
        <w:rPr>
          <w:spacing w:val="-5"/>
        </w:rPr>
        <w:t xml:space="preserve"> 小时)。</w:t>
      </w:r>
    </w:p>
    <w:p>
      <w:pPr>
        <w:pStyle w:val="ListParagraph"/>
        <w:numPr>
          <w:ilvl w:val="0"/>
          <w:numId w:val="22"/>
        </w:numPr>
        <w:tabs>
          <w:tab w:val="left" w:pos="1319"/>
        </w:tabs>
        <w:spacing w:before="2" w:after="0" w:line="364" w:lineRule="auto"/>
        <w:ind w:left="898" w:right="7567" w:hanging="180"/>
        <w:jc w:val="left"/>
        <w:rPr>
          <w:sz w:val="24"/>
        </w:rPr>
      </w:pPr>
      <w:r>
        <w:rPr>
          <w:spacing w:val="-4"/>
          <w:sz w:val="24"/>
        </w:rPr>
        <w:t>管理层：</w:t>
      </w:r>
      <w:r>
        <w:rPr>
          <w:spacing w:val="-2"/>
          <w:sz w:val="24"/>
        </w:rPr>
        <w:t>总调度长：</w:t>
      </w:r>
    </w:p>
    <w:p>
      <w:pPr>
        <w:pStyle w:val="BodyText"/>
        <w:ind w:left="718"/>
      </w:pPr>
      <w:r>
        <w:rPr>
          <w:spacing w:val="-2"/>
        </w:rPr>
        <w:t>负责现场的协调工作</w:t>
      </w:r>
    </w:p>
    <w:p>
      <w:pPr>
        <w:pStyle w:val="BodyText"/>
        <w:spacing w:before="161" w:line="364" w:lineRule="auto"/>
        <w:ind w:left="718" w:right="5527"/>
      </w:pPr>
      <w:r>
        <w:rPr>
          <w:spacing w:val="-2"/>
        </w:rPr>
        <w:t>负责解决砼施工过程中的技术问题</w:t>
      </w:r>
      <w:r>
        <w:rPr>
          <w:spacing w:val="-2"/>
        </w:rPr>
        <w:t>负责砼供应及外联工作</w:t>
      </w:r>
    </w:p>
    <w:p>
      <w:pPr>
        <w:pStyle w:val="BodyText"/>
        <w:spacing w:line="364" w:lineRule="auto"/>
        <w:ind w:left="718" w:right="5527"/>
      </w:pPr>
      <w:r>
        <w:rPr>
          <w:spacing w:val="-2"/>
        </w:rPr>
        <w:t>负责现场保温材料等的供应和实施</w:t>
      </w:r>
      <w:r>
        <w:rPr>
          <w:spacing w:val="-2"/>
        </w:rPr>
        <w:t>负责现场砼浇筑指挥工作</w:t>
      </w:r>
    </w:p>
    <w:p>
      <w:pPr>
        <w:pStyle w:val="BodyText"/>
        <w:spacing w:line="364" w:lineRule="auto"/>
        <w:ind w:left="718" w:right="6727"/>
      </w:pPr>
      <w:r>
        <w:rPr>
          <w:spacing w:val="-2"/>
        </w:rPr>
        <w:t>负责塌落度、测温工作</w:t>
      </w:r>
      <w:r>
        <w:rPr>
          <w:spacing w:val="-2"/>
        </w:rPr>
        <w:t>负责交通协调</w:t>
      </w:r>
    </w:p>
    <w:p>
      <w:pPr>
        <w:pStyle w:val="ListParagraph"/>
        <w:numPr>
          <w:ilvl w:val="0"/>
          <w:numId w:val="22"/>
        </w:numPr>
        <w:tabs>
          <w:tab w:val="left" w:pos="1319"/>
        </w:tabs>
        <w:spacing w:before="2" w:after="0" w:line="240" w:lineRule="auto"/>
        <w:ind w:left="1319" w:right="0" w:hanging="601"/>
        <w:jc w:val="left"/>
        <w:rPr>
          <w:sz w:val="24"/>
        </w:rPr>
      </w:pPr>
      <w:r>
        <w:rPr>
          <w:sz w:val="24"/>
        </w:rPr>
        <w:t>操作层（按两大班配</w:t>
      </w:r>
      <w:r>
        <w:rPr>
          <w:spacing w:val="-10"/>
          <w:sz w:val="24"/>
        </w:rPr>
        <w:t>）</w:t>
      </w:r>
    </w:p>
    <w:p>
      <w:pPr>
        <w:pStyle w:val="BodyText"/>
        <w:spacing w:before="160" w:line="364" w:lineRule="auto"/>
        <w:ind w:left="718" w:right="2947"/>
      </w:pPr>
      <w:r>
        <w:rPr>
          <w:spacing w:val="-2"/>
        </w:rPr>
        <w:t>振动操作组（包括下料、平整、振捣）：2</w:t>
      </w:r>
      <w:r>
        <w:rPr>
          <w:spacing w:val="-21"/>
        </w:rPr>
        <w:t xml:space="preserve"> 组，每组 </w:t>
      </w:r>
      <w:r>
        <w:rPr>
          <w:spacing w:val="-2"/>
        </w:rPr>
        <w:t>8</w:t>
      </w:r>
      <w:r>
        <w:rPr>
          <w:spacing w:val="-20"/>
        </w:rPr>
        <w:t xml:space="preserve"> 人；</w:t>
      </w:r>
      <w:r>
        <w:t>砼表面压光组：2</w:t>
      </w:r>
      <w:r>
        <w:rPr>
          <w:spacing w:val="-5"/>
        </w:rPr>
        <w:t xml:space="preserve"> 组，每组 </w:t>
      </w:r>
      <w:r>
        <w:t>6</w:t>
      </w:r>
      <w:r>
        <w:rPr>
          <w:spacing w:val="-8"/>
        </w:rPr>
        <w:t xml:space="preserve"> 人；</w:t>
      </w:r>
    </w:p>
    <w:p>
      <w:pPr>
        <w:pStyle w:val="BodyText"/>
        <w:spacing w:line="364" w:lineRule="auto"/>
        <w:ind w:left="718" w:right="6247"/>
        <w:jc w:val="both"/>
      </w:pPr>
      <w:r>
        <w:rPr>
          <w:spacing w:val="-4"/>
        </w:rPr>
        <w:t>养护组：1</w:t>
      </w:r>
      <w:r>
        <w:rPr>
          <w:spacing w:val="-12"/>
        </w:rPr>
        <w:t xml:space="preserve"> 组，每组 </w:t>
      </w:r>
      <w:r>
        <w:rPr>
          <w:spacing w:val="-4"/>
        </w:rPr>
        <w:t>3</w:t>
      </w:r>
      <w:r>
        <w:rPr>
          <w:spacing w:val="-12"/>
        </w:rPr>
        <w:t xml:space="preserve"> 人；</w:t>
      </w:r>
      <w:r>
        <w:rPr>
          <w:spacing w:val="-4"/>
        </w:rPr>
        <w:t>钢筋组：2</w:t>
      </w:r>
      <w:r>
        <w:rPr>
          <w:spacing w:val="-12"/>
        </w:rPr>
        <w:t xml:space="preserve"> 组，每组 </w:t>
      </w:r>
      <w:r>
        <w:rPr>
          <w:spacing w:val="-4"/>
        </w:rPr>
        <w:t>2</w:t>
      </w:r>
      <w:r>
        <w:rPr>
          <w:spacing w:val="-12"/>
        </w:rPr>
        <w:t xml:space="preserve"> 人；</w:t>
      </w:r>
      <w:r>
        <w:rPr>
          <w:spacing w:val="-4"/>
        </w:rPr>
        <w:t>木工组：2</w:t>
      </w:r>
      <w:r>
        <w:rPr>
          <w:spacing w:val="-12"/>
        </w:rPr>
        <w:t xml:space="preserve"> 组，每组 </w:t>
      </w:r>
      <w:r>
        <w:rPr>
          <w:spacing w:val="-4"/>
        </w:rPr>
        <w:t>2</w:t>
      </w:r>
      <w:r>
        <w:rPr>
          <w:spacing w:val="-12"/>
        </w:rPr>
        <w:t xml:space="preserve"> 人；</w:t>
      </w:r>
      <w:r>
        <w:t>临电：1</w:t>
      </w:r>
      <w:r>
        <w:rPr>
          <w:spacing w:val="-6"/>
        </w:rPr>
        <w:t xml:space="preserve"> 组，每组 </w:t>
      </w:r>
      <w:r>
        <w:t>2</w:t>
      </w:r>
      <w:r>
        <w:rPr>
          <w:spacing w:val="-5"/>
        </w:rPr>
        <w:t xml:space="preserve"> 人。</w:t>
      </w:r>
    </w:p>
    <w:p>
      <w:pPr>
        <w:pStyle w:val="BodyText"/>
        <w:spacing w:before="3"/>
        <w:ind w:left="718"/>
      </w:pPr>
      <w:r>
        <w:t>4</w:t>
      </w:r>
      <w:r>
        <w:rPr>
          <w:spacing w:val="-2"/>
        </w:rPr>
        <w:t>、泵车的布置</w:t>
      </w:r>
    </w:p>
    <w:p>
      <w:pPr>
        <w:pStyle w:val="BodyText"/>
        <w:spacing w:before="160"/>
        <w:ind w:left="718"/>
      </w:pPr>
      <w:r>
        <w:rPr>
          <w:spacing w:val="-1"/>
        </w:rPr>
        <w:t>基础筏板砼浇筑时，两台汽车泵布置在基坑东西两侧位置，如下图所示：</w:t>
      </w:r>
    </w:p>
    <w:p>
      <w:pPr>
        <w:spacing w:after="0"/>
        <w:sectPr>
          <w:footerReference w:type="default" r:id="rId10"/>
          <w:pgSz w:w="11910" w:h="16840"/>
          <w:pgMar w:top="1440" w:right="880" w:bottom="1540" w:left="1180" w:header="0" w:footer="1358"/>
          <w:pgNumType w:start="5"/>
          <w:cols w:space="708"/>
        </w:sectPr>
      </w:pPr>
    </w:p>
    <w:p>
      <w:pPr>
        <w:pStyle w:val="BodyText"/>
        <w:spacing w:before="0"/>
        <w:ind w:left="658"/>
        <w:rPr>
          <w:sz w:val="20"/>
        </w:rPr>
      </w:pPr>
      <w:r>
        <w:rPr>
          <w:sz w:val="20"/>
        </w:rPr>
        <w:drawing>
          <wp:inline distT="0" distB="0" distL="0" distR="0">
            <wp:extent cx="5779498" cy="4957953"/>
            <wp:effectExtent l="0" t="0" r="0" b="0"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9498" cy="4957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Heading1"/>
        <w:spacing w:before="146"/>
      </w:pPr>
      <w:bookmarkStart w:id="8" w:name="_TOC_250012"/>
      <w:bookmarkEnd w:id="8"/>
      <w:r>
        <w:rPr>
          <w:spacing w:val="-1"/>
        </w:rPr>
        <w:t>四、组织管理及施工顺序</w:t>
      </w:r>
    </w:p>
    <w:p>
      <w:pPr>
        <w:pStyle w:val="Heading2"/>
        <w:spacing w:before="69"/>
      </w:pPr>
      <w:bookmarkStart w:id="9" w:name="_TOC_250011"/>
      <w:r>
        <w:rPr>
          <w:spacing w:val="-4"/>
        </w:rPr>
        <w:t>1</w:t>
      </w:r>
      <w:bookmarkEnd w:id="9"/>
      <w:r>
        <w:rPr>
          <w:spacing w:val="-5"/>
        </w:rPr>
        <w:t>、施工组织构架</w:t>
      </w:r>
    </w:p>
    <w:p>
      <w:pPr>
        <w:pStyle w:val="BodyText"/>
        <w:spacing w:before="106" w:line="364" w:lineRule="auto"/>
        <w:ind w:right="535" w:firstLine="480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26.5pt;height:165pt;margin-top:47.99pt;margin-left:76.2pt;mso-position-horizontal-relative:page;position:absolute;z-index:25166131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8"/>
                    <w:gridCol w:w="1296"/>
                    <w:gridCol w:w="1785"/>
                    <w:gridCol w:w="4431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spacing w:before="128"/>
                          <w:ind w:left="249" w:right="239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序号</w:t>
                        </w: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TableParagraph"/>
                          <w:spacing w:before="128"/>
                          <w:ind w:left="40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姓名</w:t>
                        </w:r>
                      </w:p>
                    </w:tc>
                    <w:tc>
                      <w:tcPr>
                        <w:tcW w:w="1785" w:type="dxa"/>
                      </w:tcPr>
                      <w:p>
                        <w:pPr>
                          <w:pStyle w:val="TableParagraph"/>
                          <w:spacing w:before="128"/>
                          <w:ind w:left="637" w:right="628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职务</w:t>
                        </w:r>
                      </w:p>
                    </w:tc>
                    <w:tc>
                      <w:tcPr>
                        <w:tcW w:w="4431" w:type="dxa"/>
                      </w:tcPr>
                      <w:p>
                        <w:pPr>
                          <w:pStyle w:val="TableParagraph"/>
                          <w:spacing w:before="128"/>
                          <w:ind w:left="1542" w:right="1533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负 责 内 容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512" w:type="dxa"/>
                        <w:gridSpan w:val="3"/>
                        <w:vMerge w:val="restart"/>
                        <w:tcBorders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spacing w:before="128"/>
                          <w:ind w:left="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7512" w:type="dxa"/>
                        <w:gridSpan w:val="3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spacing w:before="128"/>
                          <w:ind w:left="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7512" w:type="dxa"/>
                        <w:gridSpan w:val="3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spacing w:before="128"/>
                          <w:ind w:left="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7512" w:type="dxa"/>
                        <w:gridSpan w:val="3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spacing w:before="128"/>
                          <w:ind w:left="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7512" w:type="dxa"/>
                        <w:gridSpan w:val="3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spacing w:before="128"/>
                          <w:ind w:left="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7512" w:type="dxa"/>
                        <w:gridSpan w:val="3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</v:shape>
        </w:pict>
      </w:r>
      <w:r>
        <w:rPr>
          <w:spacing w:val="-2"/>
        </w:rPr>
        <w:t>项目部成立以项目经理为组长的领导小组，负责筏板大体积混凝土的浇筑质量，人</w:t>
      </w:r>
      <w:r>
        <w:rPr>
          <w:spacing w:val="-2"/>
        </w:rPr>
        <w:t>员分工如下∶</w:t>
      </w:r>
    </w:p>
    <w:p>
      <w:pPr>
        <w:spacing w:after="0" w:line="364" w:lineRule="auto"/>
        <w:sectPr>
          <w:footerReference w:type="default" r:id="rId12"/>
          <w:pgSz w:w="11910" w:h="16840"/>
          <w:pgMar w:top="1400" w:right="880" w:bottom="1540" w:left="1180" w:header="0" w:footer="1358"/>
          <w:pgNumType w:start="6"/>
          <w:cols w:space="708"/>
        </w:sectPr>
      </w:pPr>
    </w:p>
    <w:tbl>
      <w:tblPr>
        <w:tblStyle w:val="TableNormal1"/>
        <w:tblW w:w="0" w:type="auto"/>
        <w:jc w:val="left"/>
        <w:tblInd w:w="3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8"/>
      </w:tblGrid>
      <w:tr>
        <w:tblPrEx>
          <w:tblW w:w="0" w:type="auto"/>
          <w:jc w:val="left"/>
          <w:tblInd w:w="35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4"/>
          <w:jc w:val="left"/>
        </w:trPr>
        <w:tc>
          <w:tcPr>
            <w:tcW w:w="1008" w:type="dxa"/>
          </w:tcPr>
          <w:p>
            <w:pPr>
              <w:pStyle w:val="TableParagraph"/>
              <w:spacing w:before="135"/>
              <w:ind w:left="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>
        <w:tblPrEx>
          <w:tblW w:w="0" w:type="auto"/>
          <w:jc w:val="left"/>
          <w:tblInd w:w="3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5"/>
          <w:jc w:val="left"/>
        </w:trPr>
        <w:tc>
          <w:tcPr>
            <w:tcW w:w="1008" w:type="dxa"/>
          </w:tcPr>
          <w:p>
            <w:pPr>
              <w:pStyle w:val="TableParagraph"/>
              <w:spacing w:before="131"/>
              <w:ind w:left="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>
        <w:tblPrEx>
          <w:tblW w:w="0" w:type="auto"/>
          <w:jc w:val="left"/>
          <w:tblInd w:w="3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0"/>
          <w:jc w:val="left"/>
        </w:trPr>
        <w:tc>
          <w:tcPr>
            <w:tcW w:w="1008" w:type="dxa"/>
          </w:tcPr>
          <w:p>
            <w:pPr>
              <w:pStyle w:val="TableParagraph"/>
              <w:spacing w:before="128"/>
              <w:ind w:left="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</w:tbl>
    <w:p>
      <w:pPr>
        <w:pStyle w:val="BodyText"/>
        <w:spacing w:before="0"/>
        <w:ind w:left="0"/>
        <w:rPr>
          <w:sz w:val="20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2812415</wp:posOffset>
            </wp:positionH>
            <wp:positionV relativeFrom="page">
              <wp:posOffset>9694798</wp:posOffset>
            </wp:positionV>
            <wp:extent cx="328929" cy="296545"/>
            <wp:effectExtent l="0" t="0" r="0" b="0"/>
            <wp:wrapNone/>
            <wp:docPr id="1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929" cy="296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ind w:left="0"/>
        <w:rPr>
          <w:sz w:val="19"/>
        </w:rPr>
      </w:pPr>
    </w:p>
    <w:p>
      <w:pPr>
        <w:pStyle w:val="Heading2"/>
        <w:spacing w:line="429" w:lineRule="exact"/>
      </w:pPr>
      <w:bookmarkStart w:id="10" w:name="_TOC_250010"/>
      <w:r>
        <w:rPr>
          <w:spacing w:val="-6"/>
        </w:rPr>
        <w:t>2</w:t>
      </w:r>
      <w:bookmarkEnd w:id="10"/>
      <w:r>
        <w:rPr>
          <w:spacing w:val="-7"/>
        </w:rPr>
        <w:t>、施工顺序</w:t>
      </w:r>
    </w:p>
    <w:p>
      <w:pPr>
        <w:pStyle w:val="BodyText"/>
        <w:spacing w:before="106"/>
        <w:ind w:left="718"/>
      </w:pPr>
      <w:r>
        <w:rPr>
          <w:spacing w:val="-15"/>
        </w:rPr>
        <w:t xml:space="preserve">先浇筑 </w:t>
      </w:r>
      <w:r>
        <w:t>1#</w:t>
      </w:r>
      <w:r>
        <w:rPr>
          <w:spacing w:val="-9"/>
        </w:rPr>
        <w:t xml:space="preserve">区域，再浇筑 </w:t>
      </w:r>
      <w:r>
        <w:t>2#</w:t>
      </w:r>
      <w:r>
        <w:rPr>
          <w:spacing w:val="-5"/>
        </w:rPr>
        <w:t xml:space="preserve">区域，主体完成后不小于 </w:t>
      </w:r>
      <w:r>
        <w:t>42d</w:t>
      </w:r>
      <w:r>
        <w:rPr>
          <w:spacing w:val="-9"/>
        </w:rPr>
        <w:t xml:space="preserve"> 再进行后浇带砼浇筑。</w:t>
      </w:r>
    </w:p>
    <w:p>
      <w:pPr>
        <w:pStyle w:val="BodyText"/>
        <w:spacing w:before="0"/>
        <w:ind w:left="0"/>
      </w:pPr>
    </w:p>
    <w:p>
      <w:pPr>
        <w:pStyle w:val="BodyText"/>
        <w:spacing w:before="12"/>
        <w:ind w:left="0"/>
        <w:rPr>
          <w:sz w:val="21"/>
        </w:rPr>
      </w:pPr>
    </w:p>
    <w:p>
      <w:pPr>
        <w:pStyle w:val="Heading1"/>
      </w:pPr>
      <w:bookmarkStart w:id="11" w:name="_TOC_250009"/>
      <w:bookmarkEnd w:id="11"/>
      <w:r>
        <w:rPr>
          <w:spacing w:val="-1"/>
        </w:rPr>
        <w:t>五、原材料及配合比设计</w:t>
      </w:r>
    </w:p>
    <w:p>
      <w:pPr>
        <w:pStyle w:val="Heading2"/>
        <w:spacing w:before="69"/>
      </w:pPr>
      <w:bookmarkStart w:id="12" w:name="_TOC_250008"/>
      <w:r>
        <w:rPr>
          <w:spacing w:val="-8"/>
        </w:rPr>
        <w:t>1</w:t>
      </w:r>
      <w:bookmarkEnd w:id="12"/>
      <w:r>
        <w:rPr>
          <w:spacing w:val="-9"/>
        </w:rPr>
        <w:t>、原材料</w:t>
      </w:r>
    </w:p>
    <w:p>
      <w:pPr>
        <w:pStyle w:val="ListParagraph"/>
        <w:numPr>
          <w:ilvl w:val="0"/>
          <w:numId w:val="16"/>
        </w:numPr>
        <w:tabs>
          <w:tab w:val="left" w:pos="1079"/>
        </w:tabs>
        <w:spacing w:before="106" w:after="0" w:line="240" w:lineRule="auto"/>
        <w:ind w:left="1079" w:right="0" w:hanging="361"/>
        <w:jc w:val="left"/>
        <w:rPr>
          <w:sz w:val="24"/>
        </w:rPr>
      </w:pPr>
      <w:r>
        <w:rPr>
          <w:spacing w:val="-1"/>
          <w:sz w:val="24"/>
        </w:rPr>
        <w:t>配制大体积混凝土所用水泥的选择及其质量，符合下列规定:</w:t>
      </w:r>
    </w:p>
    <w:p>
      <w:pPr>
        <w:pStyle w:val="ListParagraph"/>
        <w:numPr>
          <w:ilvl w:val="1"/>
          <w:numId w:val="16"/>
        </w:numPr>
        <w:tabs>
          <w:tab w:val="left" w:pos="1319"/>
        </w:tabs>
        <w:spacing w:before="161" w:after="0" w:line="240" w:lineRule="auto"/>
        <w:ind w:left="1319" w:right="0" w:hanging="601"/>
        <w:jc w:val="left"/>
        <w:rPr>
          <w:sz w:val="24"/>
        </w:rPr>
      </w:pPr>
      <w:r>
        <w:rPr>
          <w:color w:val="FF0000"/>
          <w:sz w:val="24"/>
        </w:rPr>
        <w:t>所用水泥符合现行国家标准《通用硅酸盐水泥》GB175</w:t>
      </w:r>
      <w:r>
        <w:rPr>
          <w:color w:val="FF0000"/>
          <w:spacing w:val="-10"/>
          <w:sz w:val="24"/>
        </w:rPr>
        <w:t xml:space="preserve"> 的有关规定；</w:t>
      </w:r>
    </w:p>
    <w:p>
      <w:pPr>
        <w:pStyle w:val="ListParagraph"/>
        <w:numPr>
          <w:ilvl w:val="1"/>
          <w:numId w:val="16"/>
        </w:numPr>
        <w:tabs>
          <w:tab w:val="left" w:pos="1326"/>
        </w:tabs>
        <w:spacing w:before="160" w:after="0" w:line="364" w:lineRule="auto"/>
        <w:ind w:left="238" w:right="536" w:firstLine="480"/>
        <w:jc w:val="left"/>
        <w:rPr>
          <w:sz w:val="24"/>
        </w:rPr>
      </w:pPr>
      <w:r>
        <w:rPr>
          <w:color w:val="FF0000"/>
          <w:spacing w:val="-2"/>
          <w:sz w:val="24"/>
        </w:rPr>
        <w:t xml:space="preserve">选用中、低热硅酸盐水泥，大体积混凝土施工所用水泥其 </w:t>
      </w:r>
      <w:r>
        <w:rPr>
          <w:color w:val="FF0000"/>
          <w:sz w:val="24"/>
        </w:rPr>
        <w:t>3d 的水化热不宜</w:t>
      </w:r>
      <w:r>
        <w:rPr>
          <w:color w:val="FF0000"/>
          <w:spacing w:val="-10"/>
          <w:sz w:val="24"/>
        </w:rPr>
        <w:t xml:space="preserve">大于 </w:t>
      </w:r>
      <w:r>
        <w:rPr>
          <w:color w:val="FF0000"/>
          <w:sz w:val="24"/>
        </w:rPr>
        <w:t>250kJ/kg ，7d</w:t>
      </w:r>
      <w:r>
        <w:rPr>
          <w:color w:val="FF0000"/>
          <w:spacing w:val="-9"/>
          <w:sz w:val="24"/>
        </w:rPr>
        <w:t xml:space="preserve"> 的水化热不宜大 </w:t>
      </w:r>
      <w:r>
        <w:rPr>
          <w:color w:val="FF0000"/>
          <w:sz w:val="24"/>
        </w:rPr>
        <w:t>280kJ/kg；</w:t>
      </w:r>
    </w:p>
    <w:p>
      <w:pPr>
        <w:pStyle w:val="ListParagraph"/>
        <w:numPr>
          <w:ilvl w:val="1"/>
          <w:numId w:val="16"/>
        </w:numPr>
        <w:tabs>
          <w:tab w:val="left" w:pos="1319"/>
        </w:tabs>
        <w:spacing w:before="2" w:after="0" w:line="240" w:lineRule="auto"/>
        <w:ind w:left="1319" w:right="0" w:hanging="601"/>
        <w:jc w:val="left"/>
        <w:rPr>
          <w:sz w:val="24"/>
        </w:rPr>
      </w:pPr>
      <w:r>
        <w:rPr>
          <w:color w:val="FF0000"/>
          <w:spacing w:val="-4"/>
          <w:sz w:val="24"/>
        </w:rPr>
        <w:t xml:space="preserve">所用水泥在搅拌站的入机温度不宜大于 </w:t>
      </w:r>
      <w:r>
        <w:rPr>
          <w:color w:val="FF0000"/>
          <w:sz w:val="24"/>
        </w:rPr>
        <w:t>60℃</w:t>
      </w:r>
      <w:r>
        <w:rPr>
          <w:color w:val="FF0000"/>
          <w:spacing w:val="-10"/>
          <w:sz w:val="24"/>
        </w:rPr>
        <w:t>。</w:t>
      </w:r>
    </w:p>
    <w:p>
      <w:pPr>
        <w:pStyle w:val="ListParagraph"/>
        <w:numPr>
          <w:ilvl w:val="0"/>
          <w:numId w:val="16"/>
        </w:numPr>
        <w:tabs>
          <w:tab w:val="left" w:pos="1079"/>
        </w:tabs>
        <w:spacing w:before="160" w:after="0" w:line="364" w:lineRule="auto"/>
        <w:ind w:left="238" w:right="415" w:firstLine="480"/>
        <w:jc w:val="right"/>
        <w:rPr>
          <w:sz w:val="24"/>
        </w:rPr>
      </w:pPr>
      <w:r>
        <w:rPr>
          <w:spacing w:val="-2"/>
          <w:sz w:val="24"/>
        </w:rPr>
        <w:t>水泥进场时须对水泥品种、强度等级、包装或散装仓号、出厂日期等进行检查，</w:t>
      </w:r>
      <w:r>
        <w:rPr>
          <w:spacing w:val="-2"/>
          <w:sz w:val="24"/>
        </w:rPr>
        <w:t>并对其强度、安定性、凝结时间、水化热等性能指标及其他必要的性能指标进行复检。</w:t>
      </w:r>
      <w:r>
        <w:rPr>
          <w:spacing w:val="-2"/>
          <w:sz w:val="24"/>
        </w:rPr>
        <w:t xml:space="preserve"> 3）骨料的选择，除符合国家现行标准《普通混凝土用砂、石质量及检验方法标准》</w:t>
      </w:r>
    </w:p>
    <w:p>
      <w:pPr>
        <w:pStyle w:val="BodyText"/>
        <w:spacing w:before="2"/>
      </w:pPr>
      <w:r>
        <w:t>JGJ52</w:t>
      </w:r>
      <w:r>
        <w:rPr>
          <w:spacing w:val="-9"/>
        </w:rPr>
        <w:t xml:space="preserve"> 的有关规定外，尚须符合下列规定:</w:t>
      </w:r>
    </w:p>
    <w:p>
      <w:pPr>
        <w:pStyle w:val="ListParagraph"/>
        <w:numPr>
          <w:ilvl w:val="0"/>
          <w:numId w:val="15"/>
        </w:numPr>
        <w:tabs>
          <w:tab w:val="left" w:pos="1319"/>
        </w:tabs>
        <w:spacing w:before="160" w:after="0" w:line="240" w:lineRule="auto"/>
        <w:ind w:left="1319" w:right="0" w:hanging="601"/>
        <w:jc w:val="left"/>
        <w:rPr>
          <w:sz w:val="24"/>
        </w:rPr>
      </w:pPr>
      <w:r>
        <w:rPr>
          <w:spacing w:val="-4"/>
          <w:sz w:val="24"/>
        </w:rPr>
        <w:t xml:space="preserve">细骨料采用中砂，其细度模数宜大于 </w:t>
      </w:r>
      <w:r>
        <w:rPr>
          <w:sz w:val="24"/>
        </w:rPr>
        <w:t>2.3</w:t>
      </w:r>
      <w:r>
        <w:rPr>
          <w:spacing w:val="-6"/>
          <w:sz w:val="24"/>
        </w:rPr>
        <w:t xml:space="preserve"> ，含泥量不应大于 </w:t>
      </w:r>
      <w:r>
        <w:rPr>
          <w:spacing w:val="-5"/>
          <w:sz w:val="24"/>
        </w:rPr>
        <w:t>3%；</w:t>
      </w:r>
    </w:p>
    <w:p>
      <w:pPr>
        <w:pStyle w:val="ListParagraph"/>
        <w:numPr>
          <w:ilvl w:val="0"/>
          <w:numId w:val="15"/>
        </w:numPr>
        <w:tabs>
          <w:tab w:val="left" w:pos="1319"/>
        </w:tabs>
        <w:spacing w:before="161" w:after="0" w:line="240" w:lineRule="auto"/>
        <w:ind w:left="1319" w:right="0" w:hanging="601"/>
        <w:jc w:val="left"/>
        <w:rPr>
          <w:sz w:val="24"/>
        </w:rPr>
      </w:pPr>
      <w:r>
        <w:rPr>
          <w:spacing w:val="-7"/>
          <w:sz w:val="24"/>
        </w:rPr>
        <w:t xml:space="preserve">粗骨料宜选用粒径 </w:t>
      </w:r>
      <w:r>
        <w:rPr>
          <w:sz w:val="24"/>
        </w:rPr>
        <w:t>5 -31. 5mm</w:t>
      </w:r>
      <w:r>
        <w:rPr>
          <w:spacing w:val="-4"/>
          <w:sz w:val="24"/>
        </w:rPr>
        <w:t xml:space="preserve"> ，并应连续级配，含泥量不应大于 </w:t>
      </w:r>
      <w:r>
        <w:rPr>
          <w:spacing w:val="-5"/>
          <w:sz w:val="24"/>
        </w:rPr>
        <w:t>1%；</w:t>
      </w:r>
    </w:p>
    <w:p>
      <w:pPr>
        <w:pStyle w:val="ListParagraph"/>
        <w:numPr>
          <w:ilvl w:val="0"/>
          <w:numId w:val="15"/>
        </w:numPr>
        <w:tabs>
          <w:tab w:val="left" w:pos="1319"/>
        </w:tabs>
        <w:spacing w:before="160" w:after="0" w:line="240" w:lineRule="auto"/>
        <w:ind w:left="1319" w:right="0" w:hanging="601"/>
        <w:jc w:val="left"/>
        <w:rPr>
          <w:sz w:val="24"/>
        </w:rPr>
      </w:pPr>
      <w:r>
        <w:rPr>
          <w:spacing w:val="-1"/>
          <w:sz w:val="24"/>
        </w:rPr>
        <w:t>应选用非碱活性的粗骨料；</w:t>
      </w:r>
    </w:p>
    <w:p>
      <w:pPr>
        <w:pStyle w:val="ListParagraph"/>
        <w:numPr>
          <w:ilvl w:val="0"/>
          <w:numId w:val="14"/>
        </w:numPr>
        <w:tabs>
          <w:tab w:val="left" w:pos="1080"/>
        </w:tabs>
        <w:spacing w:before="161" w:after="0" w:line="364" w:lineRule="auto"/>
        <w:ind w:left="238" w:right="538" w:firstLine="480"/>
        <w:jc w:val="left"/>
        <w:rPr>
          <w:sz w:val="24"/>
        </w:rPr>
      </w:pPr>
      <w:r>
        <w:rPr>
          <w:spacing w:val="-2"/>
          <w:sz w:val="24"/>
        </w:rPr>
        <w:t xml:space="preserve">粉煤灰和矿渣粉，其质量符合现行国家标准《用于水泥和混凝土中的粉煤灰》 </w:t>
      </w:r>
      <w:r>
        <w:rPr>
          <w:sz w:val="24"/>
        </w:rPr>
        <w:t>GB1596 和《用于水泥和混凝土中的粒化高炉矿渣粉》GB/T18046</w:t>
      </w:r>
      <w:r>
        <w:rPr>
          <w:spacing w:val="-4"/>
          <w:sz w:val="24"/>
        </w:rPr>
        <w:t xml:space="preserve"> 的有关规定。</w:t>
      </w:r>
    </w:p>
    <w:p>
      <w:pPr>
        <w:pStyle w:val="ListParagraph"/>
        <w:numPr>
          <w:ilvl w:val="0"/>
          <w:numId w:val="14"/>
        </w:numPr>
        <w:tabs>
          <w:tab w:val="left" w:pos="1079"/>
        </w:tabs>
        <w:spacing w:before="1" w:after="0" w:line="364" w:lineRule="auto"/>
        <w:ind w:left="238" w:right="535" w:firstLine="480"/>
        <w:jc w:val="left"/>
        <w:rPr>
          <w:sz w:val="24"/>
        </w:rPr>
      </w:pPr>
      <w:r>
        <w:rPr>
          <w:spacing w:val="-13"/>
          <w:sz w:val="24"/>
        </w:rPr>
        <w:t>所用外加剂的质量及应用技术，符合现行国家标准《混凝土外加剂》</w:t>
      </w:r>
      <w:r>
        <w:rPr>
          <w:sz w:val="24"/>
        </w:rPr>
        <w:t>GB8076</w:t>
      </w:r>
      <w:r>
        <w:rPr>
          <w:spacing w:val="-60"/>
          <w:sz w:val="24"/>
        </w:rPr>
        <w:t>、《</w:t>
      </w:r>
      <w:r>
        <w:rPr>
          <w:spacing w:val="-4"/>
          <w:sz w:val="24"/>
        </w:rPr>
        <w:t>混凝土外加剂应用技术规范》</w:t>
      </w:r>
      <w:r>
        <w:rPr>
          <w:sz w:val="24"/>
        </w:rPr>
        <w:t>GB50119</w:t>
      </w:r>
      <w:r>
        <w:rPr>
          <w:spacing w:val="-8"/>
          <w:sz w:val="24"/>
        </w:rPr>
        <w:t xml:space="preserve"> 和有关环境保护标准的规定。</w:t>
      </w:r>
    </w:p>
    <w:p>
      <w:pPr>
        <w:pStyle w:val="Heading2"/>
        <w:spacing w:line="363" w:lineRule="exact"/>
      </w:pPr>
      <w:bookmarkStart w:id="13" w:name="_TOC_250007"/>
      <w:r>
        <w:rPr>
          <w:spacing w:val="-6"/>
        </w:rPr>
        <w:t>2</w:t>
      </w:r>
      <w:bookmarkEnd w:id="13"/>
      <w:r>
        <w:rPr>
          <w:spacing w:val="-7"/>
        </w:rPr>
        <w:t>、配合比设计</w:t>
      </w:r>
    </w:p>
    <w:p>
      <w:pPr>
        <w:pStyle w:val="BodyText"/>
        <w:spacing w:before="106"/>
        <w:ind w:left="718"/>
      </w:pPr>
      <w:r>
        <w:rPr>
          <w:spacing w:val="-1"/>
        </w:rPr>
        <w:t>大体积混凝土配合比设计，除应符合现行行业标准《普通混凝土配合比设计规程》</w:t>
      </w:r>
    </w:p>
    <w:p>
      <w:pPr>
        <w:pStyle w:val="BodyText"/>
        <w:spacing w:before="160"/>
      </w:pPr>
      <w:r>
        <w:t>JGJ55</w:t>
      </w:r>
      <w:r>
        <w:rPr>
          <w:spacing w:val="-9"/>
        </w:rPr>
        <w:t xml:space="preserve"> 的有关规定外，尚应符合下列规定：</w:t>
      </w:r>
    </w:p>
    <w:p>
      <w:pPr>
        <w:pStyle w:val="ListParagraph"/>
        <w:numPr>
          <w:ilvl w:val="0"/>
          <w:numId w:val="13"/>
        </w:numPr>
        <w:tabs>
          <w:tab w:val="left" w:pos="1319"/>
        </w:tabs>
        <w:spacing w:before="161" w:after="0" w:line="240" w:lineRule="auto"/>
        <w:ind w:left="1319" w:right="0" w:hanging="601"/>
        <w:jc w:val="left"/>
        <w:rPr>
          <w:sz w:val="24"/>
        </w:rPr>
      </w:pPr>
      <w:r>
        <w:rPr>
          <w:spacing w:val="-7"/>
          <w:sz w:val="24"/>
        </w:rPr>
        <w:t xml:space="preserve">当采用混凝土 </w:t>
      </w:r>
      <w:r>
        <w:rPr>
          <w:sz w:val="24"/>
        </w:rPr>
        <w:t>60d</w:t>
      </w:r>
      <w:r>
        <w:rPr>
          <w:spacing w:val="-29"/>
          <w:sz w:val="24"/>
        </w:rPr>
        <w:t xml:space="preserve"> 或 </w:t>
      </w:r>
      <w:r>
        <w:rPr>
          <w:sz w:val="24"/>
        </w:rPr>
        <w:t>90d</w:t>
      </w:r>
      <w:r>
        <w:rPr>
          <w:spacing w:val="-8"/>
          <w:sz w:val="24"/>
        </w:rPr>
        <w:t xml:space="preserve"> 强度验收指标时，应将其作为混凝土配合比的设计</w:t>
      </w:r>
    </w:p>
    <w:p>
      <w:pPr>
        <w:spacing w:after="0" w:line="240" w:lineRule="auto"/>
        <w:jc w:val="left"/>
        <w:rPr>
          <w:sz w:val="24"/>
        </w:rPr>
      </w:pPr>
      <w:r>
        <w:rPr>
          <w:sz w:val="24"/>
        </w:rPr>
        <w:br/>
      </w:r>
      <w:r>
        <w:rPr>
          <w:sz w:val="2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https://d.book118.com/455224223314011120</w:t>
        </w:r>
      </w:hyperlink>
    </w:p>
    <w:p>
      <w:pPr>
        <w:spacing w:after="0" w:line="240" w:lineRule="auto"/>
        <w:jc w:val="left"/>
        <w:rPr>
          <w:sz w:val="24"/>
        </w:rPr>
      </w:pPr>
    </w:p>
    <w:sectPr>
      <w:footerReference w:type="default" r:id="rId14"/>
      <w:pgSz w:w="11910" w:h="16840"/>
      <w:pgMar w:top="1380" w:right="880" w:bottom="1540" w:left="1180" w:header="0" w:footer="1358"/>
      <w:pgNumType w:start="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微软雅黑 Light">
    <w:altName w:val="微软雅黑 Light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.5pt;height:12pt;margin-top:763pt;margin-left:516.6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1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  <w:r>
      <w:pict>
        <v:shape id="_x0000_s2050" type="#_x0000_t202" style="width:128pt;height:11pt;margin-top:778.64pt;margin-left:246.8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黑体" w:eastAsia="黑体"/>
                    <w:sz w:val="18"/>
                  </w:rPr>
                </w:pPr>
                <w:r>
                  <w:rPr>
                    <w:rFonts w:ascii="黑体" w:eastAsia="黑体"/>
                    <w:spacing w:val="-1"/>
                    <w:sz w:val="18"/>
                  </w:rPr>
                  <w:t>南京同力建设集团股份有限公司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2812415</wp:posOffset>
          </wp:positionH>
          <wp:positionV relativeFrom="page">
            <wp:posOffset>9707833</wp:posOffset>
          </wp:positionV>
          <wp:extent cx="328929" cy="270475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28929" cy="270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.5pt;height:12pt;margin-top:763pt;margin-left:516.6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  <w:r>
      <w:pict>
        <v:shape id="_x0000_s2052" type="#_x0000_t202" style="width:128pt;height:11pt;margin-top:778.64pt;margin-left:246.8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黑体" w:eastAsia="黑体"/>
                    <w:sz w:val="18"/>
                  </w:rPr>
                </w:pPr>
                <w:r>
                  <w:rPr>
                    <w:rFonts w:ascii="黑体" w:eastAsia="黑体"/>
                    <w:spacing w:val="-1"/>
                    <w:sz w:val="18"/>
                  </w:rPr>
                  <w:t>南京同力建设集团股份有限公司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2812415</wp:posOffset>
          </wp:positionH>
          <wp:positionV relativeFrom="page">
            <wp:posOffset>9707833</wp:posOffset>
          </wp:positionV>
          <wp:extent cx="328929" cy="270475"/>
          <wp:effectExtent l="0" t="0" r="0" b="0"/>
          <wp:wrapNone/>
          <wp:docPr id="415021897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5021897" name="image2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28929" cy="270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1.5pt;height:12pt;margin-top:763pt;margin-left:516.6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3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  <w:r>
      <w:pict>
        <v:shape id="_x0000_s2054" type="#_x0000_t202" style="width:128pt;height:11pt;margin-top:778.64pt;margin-left:246.8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黑体" w:eastAsia="黑体"/>
                    <w:sz w:val="18"/>
                  </w:rPr>
                </w:pPr>
                <w:r>
                  <w:rPr>
                    <w:rFonts w:ascii="黑体" w:eastAsia="黑体"/>
                    <w:spacing w:val="-1"/>
                    <w:sz w:val="18"/>
                  </w:rPr>
                  <w:t>南京同力建设集团股份有限公司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1.5pt;height:12pt;margin-top:763pt;margin-left:516.6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4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  <w:r>
      <w:pict>
        <v:shape id="_x0000_s2056" type="#_x0000_t202" style="width:128pt;height:11pt;margin-top:778.64pt;margin-left:246.8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黑体" w:eastAsia="黑体"/>
                    <w:sz w:val="18"/>
                  </w:rPr>
                </w:pPr>
                <w:r>
                  <w:rPr>
                    <w:rFonts w:ascii="黑体" w:eastAsia="黑体"/>
                    <w:spacing w:val="-1"/>
                    <w:sz w:val="18"/>
                  </w:rPr>
                  <w:t>南京同力建设集团股份有限公司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2812415</wp:posOffset>
          </wp:positionH>
          <wp:positionV relativeFrom="page">
            <wp:posOffset>9707833</wp:posOffset>
          </wp:positionV>
          <wp:extent cx="328929" cy="270475"/>
          <wp:effectExtent l="0" t="0" r="0" b="0"/>
          <wp:wrapNone/>
          <wp:docPr id="9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2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28929" cy="270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1.5pt;height:12pt;margin-top:763pt;margin-left:516.6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5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  <w:r>
      <w:pict>
        <v:shape id="_x0000_s2058" type="#_x0000_t202" style="width:128pt;height:11pt;margin-top:778.64pt;margin-left:246.8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黑体" w:eastAsia="黑体"/>
                    <w:sz w:val="18"/>
                  </w:rPr>
                </w:pPr>
                <w:r>
                  <w:rPr>
                    <w:rFonts w:ascii="黑体" w:eastAsia="黑体"/>
                    <w:spacing w:val="-1"/>
                    <w:sz w:val="18"/>
                  </w:rPr>
                  <w:t>南京同力建设集团股份有限公司</w:t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2812415</wp:posOffset>
          </wp:positionH>
          <wp:positionV relativeFrom="page">
            <wp:posOffset>9707833</wp:posOffset>
          </wp:positionV>
          <wp:extent cx="328929" cy="270475"/>
          <wp:effectExtent l="0" t="0" r="0" b="0"/>
          <wp:wrapNone/>
          <wp:docPr id="186056485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056485" name="image2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28929" cy="270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1.5pt;height:12pt;margin-top:763pt;margin-left:516.6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6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  <w:r>
      <w:pict>
        <v:shape id="_x0000_s2060" type="#_x0000_t202" style="width:128pt;height:11pt;margin-top:778.64pt;margin-left:246.8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黑体" w:eastAsia="黑体"/>
                    <w:sz w:val="18"/>
                  </w:rPr>
                </w:pPr>
                <w:r>
                  <w:rPr>
                    <w:rFonts w:ascii="黑体" w:eastAsia="黑体"/>
                    <w:spacing w:val="-1"/>
                    <w:sz w:val="18"/>
                  </w:rPr>
                  <w:t>南京同力建设集团股份有限公司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1.5pt;height:12pt;margin-top:763pt;margin-left:516.6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8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  <w:r>
      <w:pict>
        <v:shape id="_x0000_s2062" type="#_x0000_t202" style="width:128pt;height:11pt;margin-top:778.64pt;margin-left:246.8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黑体" w:eastAsia="黑体"/>
                    <w:sz w:val="18"/>
                  </w:rPr>
                </w:pPr>
                <w:r>
                  <w:rPr>
                    <w:rFonts w:ascii="黑体" w:eastAsia="黑体"/>
                    <w:spacing w:val="-1"/>
                    <w:sz w:val="18"/>
                  </w:rPr>
                  <w:t>南京同力建设集团股份有限公司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76ED892"/>
    <w:multiLevelType w:val="hybridMultilevel"/>
    <w:tmpl w:val="00000000"/>
    <w:lvl w:ilvl="0">
      <w:start w:val="1"/>
      <w:numFmt w:val="decimal"/>
      <w:lvlText w:val="（%1）"/>
      <w:lvlJc w:val="left"/>
      <w:pPr>
        <w:ind w:left="898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94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9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83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78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7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67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62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56" w:hanging="601"/>
      </w:pPr>
      <w:rPr>
        <w:rFonts w:hint="default"/>
        <w:lang w:val="en-US" w:eastAsia="zh-CN" w:bidi="ar-SA"/>
      </w:rPr>
    </w:lvl>
  </w:abstractNum>
  <w:abstractNum w:abstractNumId="1">
    <w:nsid w:val="0B87C2F0"/>
    <w:multiLevelType w:val="hybridMultilevel"/>
    <w:tmpl w:val="00000000"/>
    <w:lvl w:ilvl="0">
      <w:start w:val="1"/>
      <w:numFmt w:val="decimal"/>
      <w:lvlText w:val="（%1）"/>
      <w:lvlJc w:val="left"/>
      <w:pPr>
        <w:ind w:left="1319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72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25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77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30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8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35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88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0" w:hanging="601"/>
      </w:pPr>
      <w:rPr>
        <w:rFonts w:hint="default"/>
        <w:lang w:val="en-US" w:eastAsia="zh-CN" w:bidi="ar-SA"/>
      </w:rPr>
    </w:lvl>
  </w:abstractNum>
  <w:abstractNum w:abstractNumId="2">
    <w:nsid w:val="0EC81A87"/>
    <w:multiLevelType w:val="hybridMultilevel"/>
    <w:tmpl w:val="00000000"/>
    <w:lvl w:ilvl="0">
      <w:start w:val="1"/>
      <w:numFmt w:val="decimal"/>
      <w:lvlText w:val="（%1）"/>
      <w:lvlJc w:val="left"/>
      <w:pPr>
        <w:ind w:left="1319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72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25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77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30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8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35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88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0" w:hanging="601"/>
      </w:pPr>
      <w:rPr>
        <w:rFonts w:hint="default"/>
        <w:lang w:val="en-US" w:eastAsia="zh-CN" w:bidi="ar-SA"/>
      </w:rPr>
    </w:lvl>
  </w:abstractNum>
  <w:abstractNum w:abstractNumId="3">
    <w:nsid w:val="1A472004"/>
    <w:multiLevelType w:val="hybridMultilevel"/>
    <w:tmpl w:val="00000000"/>
    <w:lvl w:ilvl="0">
      <w:start w:val="1"/>
      <w:numFmt w:val="decimal"/>
      <w:lvlText w:val="%1）"/>
      <w:lvlJc w:val="left"/>
      <w:pPr>
        <w:ind w:left="1079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5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3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0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6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3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1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92" w:hanging="361"/>
      </w:pPr>
      <w:rPr>
        <w:rFonts w:hint="default"/>
        <w:lang w:val="en-US" w:eastAsia="zh-CN" w:bidi="ar-SA"/>
      </w:rPr>
    </w:lvl>
  </w:abstractNum>
  <w:abstractNum w:abstractNumId="4">
    <w:nsid w:val="1A6E869D"/>
    <w:multiLevelType w:val="hybridMultilevel"/>
    <w:tmpl w:val="00000000"/>
    <w:lvl w:ilvl="0">
      <w:start w:val="1"/>
      <w:numFmt w:val="decimal"/>
      <w:lvlText w:val="%1."/>
      <w:lvlJc w:val="left"/>
      <w:pPr>
        <w:ind w:left="238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0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6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2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8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0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6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24" w:hanging="420"/>
      </w:pPr>
      <w:rPr>
        <w:rFonts w:hint="default"/>
        <w:lang w:val="en-US" w:eastAsia="zh-CN" w:bidi="ar-SA"/>
      </w:rPr>
    </w:lvl>
  </w:abstractNum>
  <w:abstractNum w:abstractNumId="5">
    <w:nsid w:val="1B450ED6"/>
    <w:multiLevelType w:val="hybridMultilevel"/>
    <w:tmpl w:val="00000000"/>
    <w:lvl w:ilvl="0">
      <w:start w:val="1"/>
      <w:numFmt w:val="decimal"/>
      <w:lvlText w:val="%1）"/>
      <w:lvlJc w:val="left"/>
      <w:pPr>
        <w:ind w:left="1079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5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3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0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6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3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1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92" w:hanging="361"/>
      </w:pPr>
      <w:rPr>
        <w:rFonts w:hint="default"/>
        <w:lang w:val="en-US" w:eastAsia="zh-CN" w:bidi="ar-SA"/>
      </w:rPr>
    </w:lvl>
  </w:abstractNum>
  <w:abstractNum w:abstractNumId="6">
    <w:nsid w:val="24508E63"/>
    <w:multiLevelType w:val="hybridMultilevel"/>
    <w:tmpl w:val="00000000"/>
    <w:lvl w:ilvl="0">
      <w:start w:val="1"/>
      <w:numFmt w:val="decimal"/>
      <w:lvlText w:val="（%1）"/>
      <w:lvlJc w:val="left"/>
      <w:pPr>
        <w:ind w:left="238" w:hanging="60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00" w:hanging="60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61" w:hanging="60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21" w:hanging="60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82" w:hanging="60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43" w:hanging="60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03" w:hanging="60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64" w:hanging="60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24" w:hanging="605"/>
      </w:pPr>
      <w:rPr>
        <w:rFonts w:hint="default"/>
        <w:lang w:val="en-US" w:eastAsia="zh-CN" w:bidi="ar-SA"/>
      </w:rPr>
    </w:lvl>
  </w:abstractNum>
  <w:abstractNum w:abstractNumId="7">
    <w:nsid w:val="265FA682"/>
    <w:multiLevelType w:val="hybridMultilevel"/>
    <w:tmpl w:val="00000000"/>
    <w:lvl w:ilvl="0">
      <w:start w:val="1"/>
      <w:numFmt w:val="decimal"/>
      <w:lvlText w:val="（%1）"/>
      <w:lvlJc w:val="left"/>
      <w:pPr>
        <w:ind w:left="1319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72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25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77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30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8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35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88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0" w:hanging="601"/>
      </w:pPr>
      <w:rPr>
        <w:rFonts w:hint="default"/>
        <w:lang w:val="en-US" w:eastAsia="zh-CN" w:bidi="ar-SA"/>
      </w:rPr>
    </w:lvl>
  </w:abstractNum>
  <w:abstractNum w:abstractNumId="8">
    <w:nsid w:val="273E42D3"/>
    <w:multiLevelType w:val="hybridMultilevel"/>
    <w:tmpl w:val="00000000"/>
    <w:lvl w:ilvl="0">
      <w:start w:val="1"/>
      <w:numFmt w:val="decimal"/>
      <w:lvlText w:val="%1）"/>
      <w:lvlJc w:val="left"/>
      <w:pPr>
        <w:ind w:left="1079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1"/>
      <w:numFmt w:val="decimal"/>
      <w:lvlText w:val="（%2）"/>
      <w:lvlJc w:val="left"/>
      <w:pPr>
        <w:ind w:left="1319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color w:val="FF0000"/>
        <w:w w:val="100"/>
        <w:sz w:val="22"/>
        <w:szCs w:val="2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67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4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62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09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6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04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51" w:hanging="601"/>
      </w:pPr>
      <w:rPr>
        <w:rFonts w:hint="default"/>
        <w:lang w:val="en-US" w:eastAsia="zh-CN" w:bidi="ar-SA"/>
      </w:rPr>
    </w:lvl>
  </w:abstractNum>
  <w:abstractNum w:abstractNumId="9">
    <w:nsid w:val="29E894B7"/>
    <w:multiLevelType w:val="hybridMultilevel"/>
    <w:tmpl w:val="00000000"/>
    <w:lvl w:ilvl="0">
      <w:start w:val="5"/>
      <w:numFmt w:val="decimal"/>
      <w:lvlText w:val="（%1）"/>
      <w:lvlJc w:val="left"/>
      <w:pPr>
        <w:ind w:left="1079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color w:val="FF0000"/>
        <w:w w:val="100"/>
        <w:sz w:val="22"/>
        <w:szCs w:val="22"/>
        <w:lang w:val="en-US" w:eastAsia="zh-CN" w:bidi="ar-SA"/>
      </w:rPr>
    </w:lvl>
    <w:lvl w:ilvl="1">
      <w:start w:val="1"/>
      <w:numFmt w:val="lowerLetter"/>
      <w:lvlText w:val="%2."/>
      <w:lvlJc w:val="left"/>
      <w:pPr>
        <w:ind w:left="238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color w:val="FF0000"/>
        <w:w w:val="100"/>
        <w:sz w:val="22"/>
        <w:szCs w:val="2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54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28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02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76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50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24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98" w:hanging="241"/>
      </w:pPr>
      <w:rPr>
        <w:rFonts w:hint="default"/>
        <w:lang w:val="en-US" w:eastAsia="zh-CN" w:bidi="ar-SA"/>
      </w:rPr>
    </w:lvl>
  </w:abstractNum>
  <w:abstractNum w:abstractNumId="10">
    <w:nsid w:val="495BC347"/>
    <w:multiLevelType w:val="hybridMultilevel"/>
    <w:tmpl w:val="00000000"/>
    <w:lvl w:ilvl="0">
      <w:start w:val="4"/>
      <w:numFmt w:val="decimal"/>
      <w:lvlText w:val="（%1）"/>
      <w:lvlJc w:val="left"/>
      <w:pPr>
        <w:ind w:left="238" w:hanging="60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00" w:hanging="60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61" w:hanging="60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21" w:hanging="60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82" w:hanging="60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43" w:hanging="60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03" w:hanging="60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64" w:hanging="60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24" w:hanging="605"/>
      </w:pPr>
      <w:rPr>
        <w:rFonts w:hint="default"/>
        <w:lang w:val="en-US" w:eastAsia="zh-CN" w:bidi="ar-SA"/>
      </w:rPr>
    </w:lvl>
  </w:abstractNum>
  <w:abstractNum w:abstractNumId="11">
    <w:nsid w:val="4B7C30CC"/>
    <w:multiLevelType w:val="hybridMultilevel"/>
    <w:tmpl w:val="00000000"/>
    <w:lvl w:ilvl="0">
      <w:start w:val="1"/>
      <w:numFmt w:val="decimal"/>
      <w:lvlText w:val="%1）"/>
      <w:lvlJc w:val="left"/>
      <w:pPr>
        <w:ind w:left="1079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5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3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0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6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3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1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92" w:hanging="361"/>
      </w:pPr>
      <w:rPr>
        <w:rFonts w:hint="default"/>
        <w:lang w:val="en-US" w:eastAsia="zh-CN" w:bidi="ar-SA"/>
      </w:rPr>
    </w:lvl>
  </w:abstractNum>
  <w:abstractNum w:abstractNumId="12">
    <w:nsid w:val="50125BFF"/>
    <w:multiLevelType w:val="hybridMultilevel"/>
    <w:tmpl w:val="00000000"/>
    <w:lvl w:ilvl="0">
      <w:start w:val="1"/>
      <w:numFmt w:val="decimal"/>
      <w:lvlText w:val="(%1)"/>
      <w:lvlJc w:val="left"/>
      <w:pPr>
        <w:ind w:left="1138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1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8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5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2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9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6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3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04" w:hanging="420"/>
      </w:pPr>
      <w:rPr>
        <w:rFonts w:hint="default"/>
        <w:lang w:val="en-US" w:eastAsia="zh-CN" w:bidi="ar-SA"/>
      </w:rPr>
    </w:lvl>
  </w:abstractNum>
  <w:abstractNum w:abstractNumId="13">
    <w:nsid w:val="5AC44412"/>
    <w:multiLevelType w:val="hybridMultilevel"/>
    <w:tmpl w:val="00000000"/>
    <w:lvl w:ilvl="0">
      <w:start w:val="4"/>
      <w:numFmt w:val="decimal"/>
      <w:lvlText w:val="%1）"/>
      <w:lvlJc w:val="left"/>
      <w:pPr>
        <w:ind w:left="238" w:hanging="362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00" w:hanging="36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61" w:hanging="36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21" w:hanging="36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82" w:hanging="36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43" w:hanging="36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03" w:hanging="36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64" w:hanging="36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24" w:hanging="362"/>
      </w:pPr>
      <w:rPr>
        <w:rFonts w:hint="default"/>
        <w:lang w:val="en-US" w:eastAsia="zh-CN" w:bidi="ar-SA"/>
      </w:rPr>
    </w:lvl>
  </w:abstractNum>
  <w:abstractNum w:abstractNumId="14">
    <w:nsid w:val="5B3A3F12"/>
    <w:multiLevelType w:val="hybridMultilevel"/>
    <w:tmpl w:val="00000000"/>
    <w:lvl w:ilvl="0">
      <w:start w:val="1"/>
      <w:numFmt w:val="decimal"/>
      <w:lvlText w:val="（%1）"/>
      <w:lvlJc w:val="left"/>
      <w:pPr>
        <w:ind w:left="898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94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9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83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78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7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67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62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56" w:hanging="601"/>
      </w:pPr>
      <w:rPr>
        <w:rFonts w:hint="default"/>
        <w:lang w:val="en-US" w:eastAsia="zh-CN" w:bidi="ar-SA"/>
      </w:rPr>
    </w:lvl>
  </w:abstractNum>
  <w:abstractNum w:abstractNumId="15">
    <w:nsid w:val="64CB6295"/>
    <w:multiLevelType w:val="hybridMultilevel"/>
    <w:tmpl w:val="00000000"/>
    <w:lvl w:ilvl="0">
      <w:start w:val="6"/>
      <w:numFmt w:val="decimal"/>
      <w:lvlText w:val="%1)"/>
      <w:lvlJc w:val="left"/>
      <w:pPr>
        <w:ind w:left="1078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56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33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09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86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63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39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16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92" w:hanging="360"/>
      </w:pPr>
      <w:rPr>
        <w:rFonts w:hint="default"/>
        <w:lang w:val="en-US" w:eastAsia="zh-CN" w:bidi="ar-SA"/>
      </w:rPr>
    </w:lvl>
  </w:abstractNum>
  <w:abstractNum w:abstractNumId="16">
    <w:nsid w:val="65B17807"/>
    <w:multiLevelType w:val="hybridMultilevel"/>
    <w:tmpl w:val="00000000"/>
    <w:lvl w:ilvl="0">
      <w:start w:val="1"/>
      <w:numFmt w:val="decimal"/>
      <w:lvlText w:val="（%1）"/>
      <w:lvlJc w:val="left"/>
      <w:pPr>
        <w:ind w:left="1319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72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25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77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30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8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35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88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0" w:hanging="601"/>
      </w:pPr>
      <w:rPr>
        <w:rFonts w:hint="default"/>
        <w:lang w:val="en-US" w:eastAsia="zh-CN" w:bidi="ar-SA"/>
      </w:rPr>
    </w:lvl>
  </w:abstractNum>
  <w:abstractNum w:abstractNumId="17">
    <w:nsid w:val="6B3C3F09"/>
    <w:multiLevelType w:val="hybridMultilevel"/>
    <w:tmpl w:val="00000000"/>
    <w:lvl w:ilvl="0">
      <w:start w:val="1"/>
      <w:numFmt w:val="decimal"/>
      <w:lvlText w:val="（%1）"/>
      <w:lvlJc w:val="left"/>
      <w:pPr>
        <w:ind w:left="238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5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00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61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21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82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4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03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64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24" w:hanging="601"/>
      </w:pPr>
      <w:rPr>
        <w:rFonts w:hint="default"/>
        <w:lang w:val="en-US" w:eastAsia="zh-CN" w:bidi="ar-SA"/>
      </w:rPr>
    </w:lvl>
  </w:abstractNum>
  <w:abstractNum w:abstractNumId="18">
    <w:nsid w:val="71B85E5C"/>
    <w:multiLevelType w:val="hybridMultilevel"/>
    <w:tmpl w:val="00000000"/>
    <w:lvl w:ilvl="0">
      <w:start w:val="1"/>
      <w:numFmt w:val="decimal"/>
      <w:lvlText w:val="（%1）"/>
      <w:lvlJc w:val="left"/>
      <w:pPr>
        <w:ind w:left="1319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72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25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77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30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8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35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88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0" w:hanging="601"/>
      </w:pPr>
      <w:rPr>
        <w:rFonts w:hint="default"/>
        <w:lang w:val="en-US" w:eastAsia="zh-CN" w:bidi="ar-SA"/>
      </w:rPr>
    </w:lvl>
  </w:abstractNum>
  <w:abstractNum w:abstractNumId="19">
    <w:nsid w:val="73F38256"/>
    <w:multiLevelType w:val="hybridMultilevel"/>
    <w:tmpl w:val="00000000"/>
    <w:lvl w:ilvl="0">
      <w:start w:val="1"/>
      <w:numFmt w:val="decimal"/>
      <w:lvlText w:val="（%1）"/>
      <w:lvlJc w:val="left"/>
      <w:pPr>
        <w:ind w:left="1322" w:hanging="60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72" w:hanging="60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25" w:hanging="60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77" w:hanging="60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30" w:hanging="60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83" w:hanging="60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35" w:hanging="60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88" w:hanging="60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0" w:hanging="605"/>
      </w:pPr>
      <w:rPr>
        <w:rFonts w:hint="default"/>
        <w:lang w:val="en-US" w:eastAsia="zh-CN" w:bidi="ar-SA"/>
      </w:rPr>
    </w:lvl>
  </w:abstractNum>
  <w:abstractNum w:abstractNumId="20">
    <w:nsid w:val="77DBC6A8"/>
    <w:multiLevelType w:val="hybridMultilevel"/>
    <w:tmpl w:val="00000000"/>
    <w:lvl w:ilvl="0">
      <w:start w:val="1"/>
      <w:numFmt w:val="lowerLetter"/>
      <w:lvlText w:val="%1."/>
      <w:lvlJc w:val="left"/>
      <w:pPr>
        <w:ind w:left="238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color w:val="FF000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00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61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21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82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43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03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64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24" w:hanging="241"/>
      </w:pPr>
      <w:rPr>
        <w:rFonts w:hint="default"/>
        <w:lang w:val="en-US" w:eastAsia="zh-CN" w:bidi="ar-SA"/>
      </w:rPr>
    </w:lvl>
  </w:abstractNum>
  <w:abstractNum w:abstractNumId="21">
    <w:nsid w:val="7898677F"/>
    <w:multiLevelType w:val="hybridMultilevel"/>
    <w:tmpl w:val="00000000"/>
    <w:lvl w:ilvl="0">
      <w:start w:val="1"/>
      <w:numFmt w:val="decimal"/>
      <w:lvlText w:val="（%1）"/>
      <w:lvlJc w:val="left"/>
      <w:pPr>
        <w:ind w:left="1319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72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25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77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30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8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35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88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0" w:hanging="601"/>
      </w:pPr>
      <w:rPr>
        <w:rFonts w:hint="default"/>
        <w:lang w:val="en-US" w:eastAsia="zh-CN" w:bidi="ar-SA"/>
      </w:rPr>
    </w:lvl>
  </w:abstractNum>
  <w:num w:numId="1">
    <w:abstractNumId w:val="20"/>
  </w:num>
  <w:num w:numId="2">
    <w:abstractNumId w:val="12"/>
  </w:num>
  <w:num w:numId="3">
    <w:abstractNumId w:val="4"/>
  </w:num>
  <w:num w:numId="4">
    <w:abstractNumId w:val="11"/>
  </w:num>
  <w:num w:numId="5">
    <w:abstractNumId w:val="21"/>
  </w:num>
  <w:num w:numId="6">
    <w:abstractNumId w:val="7"/>
  </w:num>
  <w:num w:numId="7">
    <w:abstractNumId w:val="16"/>
  </w:num>
  <w:num w:numId="8">
    <w:abstractNumId w:val="5"/>
  </w:num>
  <w:num w:numId="9">
    <w:abstractNumId w:val="17"/>
  </w:num>
  <w:num w:numId="10">
    <w:abstractNumId w:val="10"/>
  </w:num>
  <w:num w:numId="11">
    <w:abstractNumId w:val="19"/>
  </w:num>
  <w:num w:numId="12">
    <w:abstractNumId w:val="6"/>
  </w:num>
  <w:num w:numId="13">
    <w:abstractNumId w:val="18"/>
  </w:num>
  <w:num w:numId="14">
    <w:abstractNumId w:val="13"/>
  </w:num>
  <w:num w:numId="15">
    <w:abstractNumId w:val="2"/>
  </w:num>
  <w:num w:numId="16">
    <w:abstractNumId w:val="8"/>
  </w:num>
  <w:num w:numId="17">
    <w:abstractNumId w:val="14"/>
  </w:num>
  <w:num w:numId="18">
    <w:abstractNumId w:val="15"/>
  </w:num>
  <w:num w:numId="19">
    <w:abstractNumId w:val="1"/>
  </w:num>
  <w:num w:numId="20">
    <w:abstractNumId w:val="3"/>
  </w:num>
  <w:num w:numId="21">
    <w:abstractNumId w:val="9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238"/>
      <w:outlineLvl w:val="0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left="718"/>
      <w:outlineLvl w:val="1"/>
    </w:pPr>
    <w:rPr>
      <w:rFonts w:ascii="Microsoft JhengHei" w:eastAsia="Microsoft JhengHei" w:hAnsi="Microsoft JhengHei" w:cs="Microsoft JhengHei"/>
      <w:b/>
      <w:bCs/>
      <w:sz w:val="24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84"/>
      <w:ind w:left="238"/>
    </w:pPr>
    <w:rPr>
      <w:rFonts w:ascii="微软雅黑" w:eastAsia="微软雅黑" w:hAnsi="微软雅黑" w:cs="微软雅黑"/>
      <w:b/>
      <w:bCs/>
      <w:sz w:val="24"/>
      <w:szCs w:val="24"/>
      <w:lang w:val="en-US" w:eastAsia="zh-CN" w:bidi="ar-SA"/>
    </w:rPr>
  </w:style>
  <w:style w:type="paragraph" w:styleId="TOC2">
    <w:name w:val="toc 2"/>
    <w:basedOn w:val="Normal"/>
    <w:uiPriority w:val="1"/>
    <w:qFormat/>
    <w:pPr>
      <w:spacing w:before="160"/>
      <w:ind w:left="658"/>
    </w:pPr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BodyText">
    <w:name w:val="Body Text"/>
    <w:basedOn w:val="Normal"/>
    <w:uiPriority w:val="1"/>
    <w:qFormat/>
    <w:pPr>
      <w:spacing w:before="1"/>
      <w:ind w:left="238"/>
    </w:pPr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before="1"/>
      <w:ind w:left="2613" w:right="2912"/>
    </w:pPr>
    <w:rPr>
      <w:rFonts w:ascii="微软雅黑 Light" w:eastAsia="微软雅黑 Light" w:hAnsi="微软雅黑 Light" w:cs="微软雅黑 Light"/>
      <w:sz w:val="72"/>
      <w:szCs w:val="72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before="160"/>
      <w:ind w:left="1319" w:hanging="601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82"/>
      <w:ind w:left="169"/>
      <w:jc w:val="center"/>
    </w:pPr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image" Target="media/image4.png" /><Relationship Id="rId12" Type="http://schemas.openxmlformats.org/officeDocument/2006/relationships/footer" Target="footer6.xml" /><Relationship Id="rId13" Type="http://schemas.openxmlformats.org/officeDocument/2006/relationships/hyperlink" Target="https://d.book118.com/455224223314011120" TargetMode="External" /><Relationship Id="rId14" Type="http://schemas.openxmlformats.org/officeDocument/2006/relationships/footer" Target="footer7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3.png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2024-03-04T12:24:14Z</dcterms:created>
  <dcterms:modified xsi:type="dcterms:W3CDTF">2024-03-04T12:24:14Z</dcterms:modified>
</cp:coreProperties>
</file>