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5769" w14:paraId="600C22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5769" w14:paraId="0AC800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5769" w14:paraId="7E15D0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5769" w:rsidRPr="00CA5769" w14:paraId="762F04CA" w14:textId="3A2F14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A5769">
        <w:rPr>
          <w:rFonts w:ascii="宋体" w:eastAsia="宋体" w:hAnsi="宋体" w:hint="eastAsia"/>
          <w:b/>
          <w:sz w:val="60"/>
        </w:rPr>
        <w:t>改性沥青项目绩效评估报告</w:t>
      </w:r>
    </w:p>
    <w:p w:rsidR="00CA5769" w:rsidP="00CA5769" w14:paraId="06A5E435" w14:textId="557EA28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A5769">
        <w:rPr>
          <w:rFonts w:ascii="仿宋" w:eastAsia="仿宋" w:hAnsi="仿宋" w:hint="eastAsia"/>
          <w:b/>
          <w:sz w:val="40"/>
        </w:rPr>
        <w:t>目录</w:t>
      </w:r>
    </w:p>
    <w:p w:rsidR="00CA5769" w14:paraId="3C4EE14B" w14:textId="6EC0A3A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5769" w14:paraId="3925C985" w14:textId="229A7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一、改性沥青项目规划进度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5769" w14:paraId="79B0D3E5" w14:textId="248EB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(一)、改性沥青项目进度安排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5769" w14:paraId="0FBDFD91" w14:textId="71567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(二)、改性沥青项目实施保障措施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5769" w14:paraId="06B56372" w14:textId="36FA2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5769" w14:paraId="77B4AFA1" w14:textId="51EC8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(四)、改性沥青项目进度监控与调整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5769" w14:paraId="69C29B90" w14:textId="45C1A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5769" w14:paraId="69D6C8B0" w14:textId="58849D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5769" w14:paraId="6FDDFEEC" w14:textId="76238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5769" w14:paraId="32898EA8" w14:textId="65130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A5769" w14:paraId="6232A4A9" w14:textId="5C309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5769" w14:paraId="4BE3DB3C" w14:textId="49664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5769" w14:paraId="7F5E5F97" w14:textId="5C9708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5769" w14:paraId="6286190B" w14:textId="152BE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(一)、改性沥青项目工程设计总体要求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5769" w14:paraId="4D7B9822" w14:textId="51886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5769" w14:paraId="198821BA" w14:textId="11E2B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5769" w14:paraId="16829A17" w14:textId="55C25D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5769" w14:paraId="2B5E1CB4" w14:textId="2F91E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5769" w14:paraId="547FEFA5" w14:textId="4152E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(二)、改性沥青项目技术工艺简要分析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A5769" w14:paraId="4B196701" w14:textId="79049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5769" w14:paraId="289177F1" w14:textId="0E849DA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(四)、改性沥青项目技术流程简述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A5769" w14:paraId="6FB32593" w14:textId="2334D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_Toc153805399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A5769" w14:paraId="46B56E1D" w14:textId="348344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5769" w14:paraId="394E3629" w14:textId="0AF8C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5769" w14:paraId="0880A4C1" w14:textId="50EC7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5769" w14:paraId="4A3D3C21" w14:textId="6A0FE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5769" w14:paraId="2A38AAC9" w14:textId="6F6E6F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5769" w14:paraId="5AFCB0F7" w14:textId="0E940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5769" w14:paraId="2B1DECAB" w14:textId="6A27B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5769" w14:paraId="360D160B" w14:textId="22276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A5769" w14:paraId="2F136722" w14:textId="4F39E2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5769" w14:paraId="1668539A" w14:textId="6DCE3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_Toc153805409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5769" w14:paraId="3B5C0307" w14:textId="5A409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5769" w14:paraId="53ECF357" w14:textId="06C8A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5769" w14:paraId="44403B9A" w14:textId="13785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5769" w14:paraId="6F3B6B78" w14:textId="73D49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5769" w14:paraId="5596C358" w14:textId="752D38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5769" w14:paraId="13D0DE6A" w14:textId="2921E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5769" w14:paraId="4EF13B02" w14:textId="3003E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A5769" w14:paraId="1771A5E7" w14:textId="69DAC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A5769" w14:paraId="7DF65127" w14:textId="753E6A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A5769" w14:paraId="6D9434E2" w14:textId="677FC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A5769" w14:paraId="69BDBBB5" w14:textId="6240E62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A5769" w14:paraId="2ED70777" w14:textId="496C5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A5769" w14:paraId="0A462B9D" w14:textId="4450B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A5769" w14:paraId="4103CF2C" w14:textId="63E82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A5769" w14:paraId="4A2F9A1C" w14:textId="20DB6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A5769" w14:paraId="1F37F6D2" w14:textId="1C3FFC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5769" w14:paraId="4104972D" w14:textId="35D57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5769" w14:paraId="68287EB9" w14:textId="52E79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5769" w14:paraId="74927631" w14:textId="3B8EC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5769" w14:paraId="31CD20BA" w14:textId="5405B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5769" w14:paraId="256D3AD7" w14:textId="11293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5769" w14:paraId="6A771794" w14:textId="42A10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5769" w14:paraId="75D081EC" w14:textId="7704FE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5769" w14:paraId="5B152FEC" w14:textId="0D7C7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5769" w14:paraId="56DC4DDF" w14:textId="43759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5769" w14:paraId="5CA43562" w14:textId="367DB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5769" w14:paraId="22A0D47C" w14:textId="1BE97C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十二、改性沥青项目监控与评估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5769" w14:paraId="0F045165" w14:textId="68491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(一)、改性沥青项目监控计划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5769" w14:paraId="33B359F2" w14:textId="4BD05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5769" w14:paraId="028E72FB" w14:textId="0B584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5769" w:rsidP="00CA5769" w14:paraId="26936CE1" w14:textId="2DDDC76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CA5769" w:rsidP="00CA5769" w14:paraId="1E46D854" w14:textId="6DCB2D3D">
      <w:pPr>
        <w:pStyle w:val="Heading1"/>
        <w:jc w:val="center"/>
        <w:rPr>
          <w:rFonts w:hint="eastAsia"/>
        </w:rPr>
      </w:pPr>
      <w:bookmarkStart w:id="0" w:name="_Toc153805378"/>
      <w:r w:rsidRPr="00CA5769">
        <w:rPr>
          <w:rFonts w:hint="eastAsia"/>
        </w:rPr>
        <w:t>序言</w:t>
      </w:r>
      <w:bookmarkEnd w:id="0"/>
    </w:p>
    <w:p w:rsidR="00CA5769" w:rsidP="00CA5769" w14:paraId="6833B37D" w14:textId="2279BA86">
      <w:pPr>
        <w:ind w:firstLine="560" w:firstLineChars="200"/>
        <w:rPr>
          <w:rFonts w:ascii="仿宋" w:eastAsia="仿宋" w:hAnsi="仿宋" w:hint="eastAsia"/>
          <w:sz w:val="28"/>
        </w:rPr>
      </w:pPr>
      <w:r w:rsidRPr="00CA5769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CA5769" w:rsidP="00CA5769" w14:paraId="0A8A96F5" w14:textId="01CDDAC6">
      <w:pPr>
        <w:pStyle w:val="Heading1"/>
        <w:rPr>
          <w:rFonts w:hint="eastAsia"/>
        </w:rPr>
      </w:pPr>
      <w:bookmarkStart w:id="1" w:name="_Toc153805379"/>
      <w:r w:rsidRPr="00CA5769">
        <w:rPr>
          <w:rFonts w:hint="eastAsia"/>
        </w:rPr>
        <w:t>一、改性沥青项目规划进度</w:t>
      </w:r>
      <w:bookmarkEnd w:id="1"/>
    </w:p>
    <w:p w:rsidR="00CA5769" w:rsidP="00CA5769" w14:paraId="4B923275" w14:textId="42A69FE6">
      <w:pPr>
        <w:pStyle w:val="Heading2"/>
      </w:pPr>
      <w:bookmarkStart w:id="2" w:name="_Toc153805380"/>
      <w:r w:rsidRPr="00CA5769">
        <w:t>(一)、改性沥青项目进度安排</w:t>
      </w:r>
      <w:bookmarkEnd w:id="2"/>
    </w:p>
    <w:p w:rsidR="00CA5769" w:rsidRPr="00CA5769" w:rsidP="00CA5769" w14:paraId="6CB198EC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为确保改性沥青项目按计划有序推进，</w:t>
      </w:r>
      <w:r w:rsidRPr="00CA5769">
        <w:rPr>
          <w:rFonts w:ascii="仿宋" w:eastAsia="仿宋" w:hAnsi="仿宋"/>
          <w:sz w:val="28"/>
        </w:rPr>
        <w:t>xxx（集团）有限公司精心设计了详细的改性沥青项目实施计划，分为多个关键阶段：</w:t>
      </w:r>
    </w:p>
    <w:p w:rsidR="00CA5769" w:rsidRPr="00CA5769" w:rsidP="00CA5769" w14:paraId="053075D6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 xml:space="preserve"> 阶段一：前期准备</w:t>
      </w:r>
    </w:p>
    <w:p w:rsidR="00CA5769" w:rsidRPr="00CA5769" w:rsidP="00CA5769" w14:paraId="6A6B9BC7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在改性沥青项目启动初期，我们将进行综合的前期准备工作，包括改性沥青项目可行性研究、土地评估和法规遵循。这一阶段的成功将为改性沥青项目的后续进展奠定坚实基础。</w:t>
      </w:r>
    </w:p>
    <w:p w:rsidR="00CA5769" w:rsidRPr="00CA5769" w:rsidP="00CA5769" w14:paraId="799AB8BF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 xml:space="preserve"> 阶段二：工程勘察与设计</w:t>
      </w:r>
    </w:p>
    <w:p w:rsidR="00CA5769" w:rsidRPr="00CA5769" w:rsidP="00CA5769" w14:paraId="0266E198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深入的工程勘察和科学的设计是改性沥青项目成功的关键。我们将确保改性沥青项目方案的合理性，为后续的施工提供准确的指导。</w:t>
      </w:r>
    </w:p>
    <w:p w:rsidR="00CA5769" w:rsidRPr="00CA5769" w:rsidP="00CA5769" w14:paraId="6E0DDBBD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 xml:space="preserve"> 阶段三：土建工程施工</w:t>
      </w:r>
    </w:p>
    <w:p w:rsidR="00CA5769" w:rsidRPr="00CA5769" w:rsidP="00CA5769" w14:paraId="70F6B9B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A5769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CA5769" w:rsidRPr="00CA5769" w:rsidP="00CA5769" w14:paraId="4CDECA6C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 xml:space="preserve"> 阶段四：设备采购</w:t>
      </w:r>
    </w:p>
    <w:p w:rsidR="00CA5769" w:rsidRPr="00CA5769" w:rsidP="00CA5769" w14:paraId="5EF2B28F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为满足改性沥青项目需求，我们将执行设备采购计划。对供应商的选择和设备性能的检验将是关键的保障环节。</w:t>
      </w:r>
    </w:p>
    <w:p w:rsidR="00CA5769" w:rsidRPr="00CA5769" w:rsidP="00CA5769" w14:paraId="1A2E29DC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 xml:space="preserve"> 阶段五：设备安装调试</w:t>
      </w:r>
    </w:p>
    <w:p w:rsidR="00CA5769" w:rsidRPr="00CA5769" w:rsidP="00CA5769" w14:paraId="24948ED0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设备的精确安装和有效调试是确保改性沥青项目正常运行的关键。我们将注重每个环节的细节和协同工作，以确保设备的高效运转。</w:t>
      </w:r>
    </w:p>
    <w:p w:rsidR="00CA5769" w:rsidRPr="00CA5769" w:rsidP="00CA5769" w14:paraId="56523E21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 xml:space="preserve"> 阶段六：投产</w:t>
      </w:r>
    </w:p>
    <w:p w:rsidR="00CA5769" w:rsidP="00CA5769" w14:paraId="7BA7AB6D" w14:textId="2C265AD2">
      <w:pPr>
        <w:ind w:firstLine="560" w:firstLineChars="200"/>
        <w:rPr>
          <w:rFonts w:ascii="仿宋" w:eastAsia="仿宋" w:hAnsi="仿宋" w:hint="eastAsia"/>
          <w:sz w:val="28"/>
        </w:rPr>
      </w:pPr>
      <w:r w:rsidRPr="00CA5769">
        <w:rPr>
          <w:rFonts w:ascii="仿宋" w:eastAsia="仿宋" w:hAnsi="仿宋" w:hint="eastAsia"/>
          <w:sz w:val="28"/>
        </w:rPr>
        <w:t>改性沥青项目将进入投产阶段，我们将进行系统的测试和投产准备，以确保改性沥青项目能够顺利过渡到正常运行阶段。</w:t>
      </w:r>
    </w:p>
    <w:p w:rsidR="00CA5769" w:rsidP="00CA5769" w14:paraId="2C81F335" w14:textId="105C0D13">
      <w:pPr>
        <w:pStyle w:val="Heading2"/>
      </w:pPr>
      <w:bookmarkStart w:id="3" w:name="_Toc153805381"/>
      <w:r w:rsidRPr="00CA5769">
        <w:t>(二)、改性沥青项目实施保障措施</w:t>
      </w:r>
      <w:bookmarkEnd w:id="3"/>
    </w:p>
    <w:p w:rsidR="00CA5769" w:rsidRPr="00CA5769" w:rsidP="00CA5769" w14:paraId="116ED27F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为保障改性沥青项目的有序实施，我们将执行以下保障措施：</w:t>
      </w:r>
    </w:p>
    <w:p w:rsidR="00CA5769" w:rsidRPr="00CA5769" w:rsidP="00CA5769" w14:paraId="59F8CF87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1. 资源全力支持： 在技术、人员、机械、材料等方面提供全面支持，确保改性沥青项目得以按时推进。</w:t>
      </w:r>
    </w:p>
    <w:p w:rsidR="00CA5769" w:rsidRPr="00CA5769" w:rsidP="00CA5769" w14:paraId="2452E68B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CA5769" w:rsidRPr="00CA5769" w:rsidP="00CA5769" w14:paraId="47B2B090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3. 前瞻性技术准备： 预测可能的技术挑战，提前准备解决方案，以确保改性沥青项目在施工过程中不受技术因素制约。</w:t>
      </w:r>
    </w:p>
    <w:p w:rsidR="00CA5769" w:rsidRPr="00CA5769" w:rsidP="00CA5769" w14:paraId="1A10B0BF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CA5769" w:rsidP="00CA5769" w14:paraId="42F4C30B" w14:textId="38A858F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A5769">
        <w:rPr>
          <w:rFonts w:ascii="仿宋" w:eastAsia="仿宋" w:hAnsi="仿宋"/>
          <w:sz w:val="28"/>
        </w:rPr>
        <w:t>5.详细计划执行： 制定周密的施工计划，包括周、月施工任</w:t>
      </w:r>
      <w:r w:rsidRPr="00CA5769">
        <w:rPr>
          <w:rFonts w:ascii="仿宋" w:eastAsia="仿宋" w:hAnsi="仿宋" w:hint="eastAsia"/>
          <w:sz w:val="28"/>
        </w:rPr>
        <w:t>务书，以确保每个阶段的施工有序进行。</w:t>
      </w:r>
    </w:p>
    <w:p w:rsidR="00CA5769" w:rsidP="00CA5769" w14:paraId="2F49EEC4" w14:textId="4259A8F9">
      <w:pPr>
        <w:pStyle w:val="Heading2"/>
      </w:pPr>
      <w:bookmarkStart w:id="4" w:name="_Toc153805382"/>
      <w:r w:rsidRPr="00CA5769">
        <w:t>(三)、质量与安全控制</w:t>
      </w:r>
      <w:bookmarkEnd w:id="4"/>
    </w:p>
    <w:p w:rsidR="00CA5769" w:rsidRPr="00CA5769" w:rsidP="00CA5769" w14:paraId="36F57ECA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1. 质量保障： 我们将建立完善的质量管理体系，严格按照相关标准和规范执行施工任务。定期进行质量检查，及时发现和解决问题，以保证改性沥青项目各项工程质量达到预期标准。</w:t>
      </w:r>
    </w:p>
    <w:p w:rsidR="00CA5769" w:rsidP="00CA5769" w14:paraId="10679A5F" w14:textId="030DEAEC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2. 安全管理： 安全是改性沥青项目推进的首要任务。我们将制定严格的安全操作规程，确保所有工作人员具备必要的安全培训，并实施定期的安全演练。同时，设立安全监测系统，及时响应和处理潜在的安全风险。</w:t>
      </w:r>
    </w:p>
    <w:p w:rsidR="00CA5769" w:rsidP="00CA5769" w14:paraId="5D670B52" w14:textId="552A2420">
      <w:pPr>
        <w:pStyle w:val="Heading2"/>
      </w:pPr>
      <w:bookmarkStart w:id="5" w:name="_Toc153805383"/>
      <w:r w:rsidRPr="00CA5769">
        <w:t>(四)、改性沥青项目进度监控与调整</w:t>
      </w:r>
      <w:bookmarkEnd w:id="5"/>
    </w:p>
    <w:p w:rsidR="00CA5769" w:rsidRPr="00CA5769" w:rsidP="00CA5769" w14:paraId="5CDA2E85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1. 实时监控： 引入先进的改性沥青项目管理工具，对改性沥青项目进度进行实时监控。通过数据分析，识别潜在问题，及时采取措施加以解决。</w:t>
      </w:r>
    </w:p>
    <w:p w:rsidR="00CA5769" w:rsidRPr="00CA5769" w:rsidP="00CA5769" w14:paraId="20573D0F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2. 定期评估： 设定定期评估周期，对改性沥青项目的各项指标进行全面评估。根据评估结果，调整和优化改性沥青项目计划，确保改性沥青项目整体进度符合预期。</w:t>
      </w:r>
    </w:p>
    <w:p w:rsidR="00CA5769" w:rsidP="00CA5769" w14:paraId="6819E018" w14:textId="4DCE3613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3. 风险应对： 建立健全的风险管理机制，及时响应改性沥青项目中可能出现的问题。制定相应的风险应对策略，确保改性沥青项目能够在各种复杂情况下保持正常推进。</w:t>
      </w:r>
    </w:p>
    <w:p w:rsidR="00CA5769" w:rsidP="00CA5769" w14:paraId="6417CECC" w14:textId="00654626">
      <w:pPr>
        <w:pStyle w:val="Heading2"/>
      </w:pPr>
      <w:bookmarkStart w:id="6" w:name="_Toc153805384"/>
      <w:r w:rsidRPr="00CA5769">
        <w:t>(五)、沟通与决策流程</w:t>
      </w:r>
      <w:bookmarkEnd w:id="6"/>
    </w:p>
    <w:p w:rsidR="00CA5769" w:rsidRPr="00CA5769" w:rsidP="00CA5769" w14:paraId="25BEEEE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A5769">
        <w:rPr>
          <w:rFonts w:ascii="仿宋" w:eastAsia="仿宋" w:hAnsi="仿宋"/>
          <w:sz w:val="28"/>
        </w:rPr>
        <w:t>1. 内部沟通： 建立高效的内部沟通机制，确保各部门之间信息</w:t>
      </w:r>
    </w:p>
    <w:p w:rsidR="00CA5769" w:rsidRPr="00CA5769" w:rsidP="00CA5769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畅通。召开定期会议，交流改性沥青项目进展和存在的问题，以促进团队协同作战。</w:t>
      </w:r>
    </w:p>
    <w:p w:rsidR="00CA5769" w:rsidRPr="00CA5769" w:rsidP="00CA5769" w14:paraId="4853F86D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2. 外部沟通： 与改性沥青项目利益相关方建立定期沟通的桥梁。及时向投资方、政府监管部门等报告改性沥青项目进展，建立透明的合作关系。</w:t>
      </w:r>
    </w:p>
    <w:p w:rsidR="00CA5769" w:rsidP="00CA5769" w14:paraId="79B9E58B" w14:textId="586E57C5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3. 决策流程： 设定明确的决策流程，确保改性沥青项目关键决策能够得到高效、迅速的执行。建立决策档案，保留每一次决策的过程和结果。</w:t>
      </w:r>
    </w:p>
    <w:p w:rsidR="00CA5769" w:rsidP="00CA5769" w14:paraId="13AE7FFB" w14:textId="28706CFE">
      <w:pPr>
        <w:pStyle w:val="Heading1"/>
        <w:rPr>
          <w:rFonts w:hint="eastAsia"/>
        </w:rPr>
      </w:pPr>
      <w:bookmarkStart w:id="7" w:name="_Toc153805385"/>
      <w:r w:rsidRPr="00CA5769">
        <w:rPr>
          <w:rFonts w:hint="eastAsia"/>
        </w:rPr>
        <w:t>二、环保分析</w:t>
      </w:r>
      <w:bookmarkEnd w:id="7"/>
    </w:p>
    <w:p w:rsidR="00CA5769" w:rsidP="00CA5769" w14:paraId="5D1F514B" w14:textId="157EA3DC">
      <w:pPr>
        <w:pStyle w:val="Heading2"/>
      </w:pPr>
      <w:bookmarkStart w:id="8" w:name="_Toc153805386"/>
      <w:r w:rsidRPr="00CA5769">
        <w:t>(一)、建设期环境影响</w:t>
      </w:r>
      <w:bookmarkEnd w:id="8"/>
    </w:p>
    <w:p w:rsidR="00CA5769" w:rsidRPr="00CA5769" w:rsidP="00CA5769" w14:paraId="72CF35C6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在建设期，改性沥青项目将产生一定数量的污染物排放，主要涉及气体和颗粒物排放。为确保大气环境的合理性，进行了详尽的排放分析：</w:t>
      </w:r>
    </w:p>
    <w:p w:rsidR="00CA5769" w:rsidRPr="00CA5769" w:rsidP="00CA5769" w14:paraId="24E3107C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气体排放分析：</w:t>
      </w:r>
      <w:r w:rsidRPr="00CA5769">
        <w:rPr>
          <w:rFonts w:ascii="仿宋" w:eastAsia="仿宋" w:hAnsi="仿宋"/>
          <w:sz w:val="28"/>
        </w:rPr>
        <w:t xml:space="preserve"> 对改性沥青项目涉及的气体排放进行详细测算，包括二氧化硫（SO2）、氮氧化物（NOx）、挥发性有机物（VOCs）等。采用先进的净化技术和设备以最大程度减少对大气的不良影响。</w:t>
      </w:r>
    </w:p>
    <w:p w:rsidR="00CA5769" w:rsidRPr="00CA5769" w:rsidP="00CA5769" w14:paraId="65781DB9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 w:hint="eastAsia"/>
          <w:sz w:val="28"/>
        </w:rPr>
        <w:t>颗粒物排放分析：</w:t>
      </w:r>
      <w:r w:rsidRPr="00CA5769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CA5769" w:rsidRPr="00CA5769" w:rsidP="00CA5769" w14:paraId="7F26F28C" w14:textId="77777777">
      <w:pPr>
        <w:ind w:firstLine="560" w:firstLineChars="200"/>
        <w:rPr>
          <w:rFonts w:ascii="仿宋" w:eastAsia="仿宋" w:hAnsi="仿宋"/>
          <w:sz w:val="28"/>
        </w:rPr>
      </w:pPr>
      <w:r w:rsidRPr="00CA5769">
        <w:rPr>
          <w:rFonts w:ascii="仿宋" w:eastAsia="仿宋" w:hAnsi="仿宋"/>
          <w:sz w:val="28"/>
        </w:rPr>
        <w:t>2.1.2 水体质量评估</w:t>
      </w:r>
      <w:r w:rsidRPr="00CA5769">
        <w:rPr>
          <w:rFonts w:ascii="仿宋" w:eastAsia="仿宋" w:hAnsi="仿宋"/>
          <w:sz w:val="28"/>
        </w:rPr>
        <w:br/>
      </w:r>
      <w:r w:rsidRPr="00CA576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https://d.book118.com/455302121040011043</w:t>
        </w:r>
      </w:hyperlink>
    </w:p>
    <w:p w:rsidR="00CA5769" w:rsidRPr="00CA5769" w:rsidP="00CA576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paraId="19A973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5769" w14:paraId="1CCEF3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paraId="14B7FCC7" w14:textId="6A455C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5769" w14:paraId="13D04A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paraId="3F490D7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6A455C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6A455C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6A455C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6A455C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6A455C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6A455C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P="0024114A" w14:textId="6A455C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A576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paraId="68B8C3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RPr="00CA5769" w:rsidP="00CA5769" w14:paraId="38A42D70" w14:textId="7096FAED">
    <w:pPr>
      <w:pStyle w:val="Header"/>
      <w:rPr>
        <w:rFonts w:ascii="仿宋" w:eastAsia="仿宋" w:hAnsi="仿宋"/>
      </w:rPr>
    </w:pPr>
    <w:r w:rsidRPr="00CA5769">
      <w:rPr>
        <w:rFonts w:ascii="仿宋" w:eastAsia="仿宋" w:hAnsi="仿宋" w:hint="eastAsia"/>
      </w:rPr>
      <w:t>改性沥青项目绩效评估报告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paraId="71DE34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RPr="00CA5769" w:rsidP="00CA5769" w14:textId="7096FAED">
    <w:pPr>
      <w:pStyle w:val="Header"/>
      <w:rPr>
        <w:rFonts w:ascii="仿宋" w:eastAsia="仿宋" w:hAnsi="仿宋"/>
      </w:rPr>
    </w:pPr>
    <w:r w:rsidRPr="00CA5769">
      <w:rPr>
        <w:rFonts w:ascii="仿宋" w:eastAsia="仿宋" w:hAnsi="仿宋" w:hint="eastAsia"/>
      </w:rPr>
      <w:t>改性沥青项目绩效评估报告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RPr="00CA5769" w:rsidP="00CA5769" w14:textId="7096FAED">
    <w:pPr>
      <w:pStyle w:val="Header"/>
      <w:rPr>
        <w:rFonts w:ascii="仿宋" w:eastAsia="仿宋" w:hAnsi="仿宋"/>
      </w:rPr>
    </w:pPr>
    <w:r w:rsidRPr="00CA5769">
      <w:rPr>
        <w:rFonts w:ascii="仿宋" w:eastAsia="仿宋" w:hAnsi="仿宋" w:hint="eastAsia"/>
      </w:rPr>
      <w:t>改性沥青项目绩效评估报告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RPr="00CA5769" w:rsidP="00CA5769" w14:textId="7096FAED">
    <w:pPr>
      <w:pStyle w:val="Header"/>
      <w:rPr>
        <w:rFonts w:ascii="仿宋" w:eastAsia="仿宋" w:hAnsi="仿宋"/>
      </w:rPr>
    </w:pPr>
    <w:r w:rsidRPr="00CA5769">
      <w:rPr>
        <w:rFonts w:ascii="仿宋" w:eastAsia="仿宋" w:hAnsi="仿宋" w:hint="eastAsia"/>
      </w:rPr>
      <w:t>改性沥青项目绩效评估报告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RPr="00CA5769" w:rsidP="00CA5769" w14:textId="7096FAED">
    <w:pPr>
      <w:pStyle w:val="Header"/>
      <w:rPr>
        <w:rFonts w:ascii="仿宋" w:eastAsia="仿宋" w:hAnsi="仿宋"/>
      </w:rPr>
    </w:pPr>
    <w:r w:rsidRPr="00CA5769">
      <w:rPr>
        <w:rFonts w:ascii="仿宋" w:eastAsia="仿宋" w:hAnsi="仿宋" w:hint="eastAsia"/>
      </w:rPr>
      <w:t>改性沥青项目绩效评估报告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RPr="00CA5769" w:rsidP="00CA5769" w14:textId="7096FAED">
    <w:pPr>
      <w:pStyle w:val="Header"/>
      <w:rPr>
        <w:rFonts w:ascii="仿宋" w:eastAsia="仿宋" w:hAnsi="仿宋"/>
      </w:rPr>
    </w:pPr>
    <w:r w:rsidRPr="00CA5769">
      <w:rPr>
        <w:rFonts w:ascii="仿宋" w:eastAsia="仿宋" w:hAnsi="仿宋" w:hint="eastAsia"/>
      </w:rPr>
      <w:t>改性沥青项目绩效评估报告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RPr="00CA5769" w:rsidP="00CA5769" w14:textId="7096FAED">
    <w:pPr>
      <w:pStyle w:val="Header"/>
      <w:rPr>
        <w:rFonts w:ascii="仿宋" w:eastAsia="仿宋" w:hAnsi="仿宋"/>
      </w:rPr>
    </w:pPr>
    <w:r w:rsidRPr="00CA5769">
      <w:rPr>
        <w:rFonts w:ascii="仿宋" w:eastAsia="仿宋" w:hAnsi="仿宋" w:hint="eastAsia"/>
      </w:rPr>
      <w:t>改性沥青项目绩效评估报告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:rsidRPr="00CA5769" w:rsidP="00CA5769" w14:textId="7096FAED">
    <w:pPr>
      <w:pStyle w:val="Header"/>
      <w:rPr>
        <w:rFonts w:ascii="仿宋" w:eastAsia="仿宋" w:hAnsi="仿宋"/>
      </w:rPr>
    </w:pPr>
    <w:r w:rsidRPr="00CA5769">
      <w:rPr>
        <w:rFonts w:ascii="仿宋" w:eastAsia="仿宋" w:hAnsi="仿宋" w:hint="eastAsia"/>
      </w:rPr>
      <w:t>改性沥青项目绩效评估报告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7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69"/>
    <w:rsid w:val="0024114A"/>
    <w:rsid w:val="00CA5769"/>
    <w:rsid w:val="00DE030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BF4D6C"/>
  <w15:chartTrackingRefBased/>
  <w15:docId w15:val="{96D064F8-89C7-4642-8211-3BE5AF380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A57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A57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A57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A57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A57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A57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A57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A57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5769"/>
  </w:style>
  <w:style w:type="paragraph" w:styleId="TOC1">
    <w:name w:val="toc 1"/>
    <w:basedOn w:val="Normal"/>
    <w:next w:val="Normal"/>
    <w:autoRedefine/>
    <w:uiPriority w:val="39"/>
    <w:unhideWhenUsed/>
    <w:rsid w:val="00CA5769"/>
  </w:style>
  <w:style w:type="paragraph" w:styleId="TOC2">
    <w:name w:val="toc 2"/>
    <w:basedOn w:val="Normal"/>
    <w:next w:val="Normal"/>
    <w:autoRedefine/>
    <w:uiPriority w:val="39"/>
    <w:unhideWhenUsed/>
    <w:rsid w:val="00CA57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55302121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3041</Words>
  <Characters>17334</Characters>
  <Application>Microsoft Office Word</Application>
  <DocSecurity>0</DocSecurity>
  <Lines>144</Lines>
  <Paragraphs>40</Paragraphs>
  <ScaleCrop>false</ScaleCrop>
  <Company/>
  <LinksUpToDate>false</LinksUpToDate>
  <CharactersWithSpaces>20335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2023-12-18T07:22:00Z</dcterms:created>
  <dcterms:modified xsi:type="dcterms:W3CDTF">2023-12-18T07:22:00Z</dcterms:modified>
</cp:coreProperties>
</file>