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ind w:firstLine="360" w:firstLineChars="100"/>
        <w:jc w:val="center"/>
        <w:outlineLvl w:val="0"/>
        <w:rPr>
          <w:rFonts w:ascii="幼圆" w:eastAsia="幼圆" w:hAnsi="幼圆" w:cs="幼圆" w:hint="default"/>
          <w:b/>
          <w:bCs/>
          <w:sz w:val="36"/>
          <w:szCs w:val="36"/>
          <w:highlight w:val="none"/>
        </w:rPr>
      </w:pPr>
      <w:bookmarkStart w:id="0" w:name="_Toc32129"/>
      <w:r>
        <w:rPr>
          <w:rFonts w:ascii="幼圆" w:eastAsia="幼圆" w:hAnsi="幼圆" w:cs="幼圆" w:hint="eastAsia"/>
          <w:b/>
          <w:bCs/>
          <w:sz w:val="36"/>
          <w:szCs w:val="36"/>
          <w:highlight w:val="none"/>
          <w:lang w:eastAsia="zh-CN"/>
        </w:rPr>
        <w:t>合肥长虹美菱</w:t>
      </w:r>
      <w:r>
        <w:rPr>
          <w:rFonts w:ascii="幼圆" w:eastAsia="幼圆" w:hAnsi="幼圆" w:cs="幼圆" w:hint="eastAsia"/>
          <w:b/>
          <w:bCs/>
          <w:sz w:val="36"/>
          <w:szCs w:val="36"/>
          <w:highlight w:val="none"/>
        </w:rPr>
        <w:t>公司偿债与盈利能力</w:t>
      </w:r>
      <w:bookmarkEnd w:id="0"/>
      <w:r>
        <w:rPr>
          <w:rFonts w:ascii="幼圆" w:eastAsia="幼圆" w:hAnsi="幼圆" w:cs="幼圆" w:hint="eastAsia"/>
          <w:b/>
          <w:bCs/>
          <w:sz w:val="36"/>
          <w:szCs w:val="36"/>
          <w:highlight w:val="none"/>
          <w:lang w:val="en-US" w:eastAsia="zh-CN"/>
        </w:rPr>
        <w:t>存在的问题分析</w:t>
      </w:r>
    </w:p>
    <w:p>
      <w:pPr>
        <w:spacing w:before="0" w:beforeLines="0" w:after="0" w:afterLines="0" w:line="240" w:lineRule="auto"/>
        <w:ind w:left="0" w:right="0" w:firstLine="0" w:leftChars="0" w:rightChars="0" w:firstLineChars="0"/>
        <w:jc w:val="center"/>
        <w:rPr>
          <w:highlight w:val="none"/>
        </w:rPr>
      </w:pPr>
      <w:bookmarkStart w:id="1" w:name="_Toc71023513"/>
      <w:r>
        <w:rPr>
          <w:rFonts w:ascii="宋体" w:eastAsia="宋体" w:hAnsi="宋体"/>
          <w:sz w:val="21"/>
          <w:highlight w:val="none"/>
        </w:rPr>
        <w:t>目录</w:t>
      </w:r>
    </w:p>
    <w:p>
      <w:pPr>
        <w:pStyle w:val="WPSOffice1"/>
        <w:tabs>
          <w:tab w:val="right" w:leader="dot" w:pos="8306"/>
        </w:tabs>
        <w:rPr>
          <w:b/>
          <w:highlight w:val="none"/>
        </w:rPr>
      </w:pPr>
      <w:r>
        <w:rPr>
          <w:rFonts w:ascii="幼圆" w:eastAsia="幼圆" w:hAnsi="幼圆" w:cs="幼圆" w:hint="eastAsia"/>
          <w:szCs w:val="21"/>
          <w:highlight w:val="none"/>
        </w:rPr>
        <w:fldChar w:fldCharType="begin"/>
      </w:r>
      <w:r>
        <w:rPr>
          <w:rFonts w:ascii="幼圆" w:eastAsia="幼圆" w:hAnsi="幼圆" w:cs="幼圆" w:hint="eastAsia"/>
          <w:szCs w:val="21"/>
          <w:highlight w:val="none"/>
        </w:rPr>
        <w:instrText xml:space="preserve">TOC \o "1-2" \h \u </w:instrText>
      </w:r>
      <w:r>
        <w:rPr>
          <w:rFonts w:ascii="幼圆" w:eastAsia="幼圆" w:hAnsi="幼圆" w:cs="幼圆" w:hint="eastAsia"/>
          <w:szCs w:val="21"/>
          <w:highlight w:val="none"/>
        </w:rPr>
        <w:fldChar w:fldCharType="separate"/>
      </w:r>
      <w:hyperlink w:anchor="_Toc32129" w:history="1">
        <w:r>
          <w:rPr>
            <w:rFonts w:ascii="幼圆" w:eastAsia="幼圆" w:hAnsi="幼圆" w:cs="幼圆" w:hint="eastAsia"/>
            <w:b/>
            <w:bCs/>
            <w:szCs w:val="36"/>
            <w:highlight w:val="none"/>
            <w:lang w:eastAsia="zh-CN"/>
          </w:rPr>
          <w:t>合肥长虹美菱</w:t>
        </w:r>
        <w:r>
          <w:rPr>
            <w:rFonts w:ascii="幼圆" w:eastAsia="幼圆" w:hAnsi="幼圆" w:cs="幼圆" w:hint="eastAsia"/>
            <w:b/>
            <w:bCs/>
            <w:szCs w:val="36"/>
            <w:highlight w:val="none"/>
          </w:rPr>
          <w:t>偿债与盈利能力分析</w:t>
        </w:r>
        <w:r>
          <w:rPr>
            <w:b/>
            <w:highlight w:val="none"/>
          </w:rPr>
          <w:tab/>
        </w:r>
        <w:r>
          <w:rPr>
            <w:b/>
            <w:highlight w:val="none"/>
          </w:rPr>
          <w:fldChar w:fldCharType="begin"/>
        </w:r>
        <w:r>
          <w:rPr>
            <w:b/>
            <w:highlight w:val="none"/>
          </w:rPr>
          <w:instrText xml:space="preserve"> PAGEREF _Toc32129 \h </w:instrText>
        </w:r>
        <w:r>
          <w:rPr>
            <w:b/>
            <w:highlight w:val="none"/>
          </w:rPr>
          <w:fldChar w:fldCharType="separate"/>
        </w:r>
        <w:r>
          <w:rPr>
            <w:b/>
            <w:highlight w:val="none"/>
          </w:rPr>
          <w:t>1</w:t>
        </w:r>
        <w:r>
          <w:rPr>
            <w:b/>
            <w:highlight w:val="none"/>
          </w:rPr>
          <w:fldChar w:fldCharType="end"/>
        </w:r>
      </w:hyperlink>
    </w:p>
    <w:p>
      <w:pPr>
        <w:pStyle w:val="WPSOffice1"/>
        <w:tabs>
          <w:tab w:val="right" w:leader="dot" w:pos="8306"/>
        </w:tabs>
        <w:rPr>
          <w:b/>
          <w:highlight w:val="none"/>
        </w:rPr>
      </w:pPr>
      <w:hyperlink w:anchor="_Toc15032" w:history="1">
        <w:r>
          <w:rPr>
            <w:rFonts w:ascii="幼圆" w:eastAsia="幼圆" w:hAnsi="幼圆" w:cs="幼圆" w:hint="eastAsia"/>
            <w:b/>
            <w:szCs w:val="30"/>
            <w:highlight w:val="none"/>
          </w:rPr>
          <w:t>引言</w:t>
        </w:r>
        <w:r>
          <w:rPr>
            <w:b/>
            <w:highlight w:val="none"/>
          </w:rPr>
          <w:tab/>
        </w:r>
        <w:r>
          <w:rPr>
            <w:b/>
            <w:highlight w:val="none"/>
          </w:rPr>
          <w:fldChar w:fldCharType="begin"/>
        </w:r>
        <w:r>
          <w:rPr>
            <w:b/>
            <w:highlight w:val="none"/>
          </w:rPr>
          <w:instrText xml:space="preserve"> PAGEREF _Toc15032 \h </w:instrText>
        </w:r>
        <w:r>
          <w:rPr>
            <w:b/>
            <w:highlight w:val="none"/>
          </w:rPr>
          <w:fldChar w:fldCharType="separate"/>
        </w:r>
        <w:r>
          <w:rPr>
            <w:b/>
            <w:highlight w:val="none"/>
          </w:rPr>
          <w:t>1</w:t>
        </w:r>
        <w:r>
          <w:rPr>
            <w:b/>
            <w:highlight w:val="none"/>
          </w:rPr>
          <w:fldChar w:fldCharType="end"/>
        </w:r>
      </w:hyperlink>
    </w:p>
    <w:p>
      <w:pPr>
        <w:pStyle w:val="WPSOffice1"/>
        <w:tabs>
          <w:tab w:val="right" w:leader="dot" w:pos="8306"/>
        </w:tabs>
        <w:rPr>
          <w:b/>
          <w:highlight w:val="none"/>
        </w:rPr>
      </w:pPr>
      <w:hyperlink w:anchor="_Toc15584" w:history="1">
        <w:r>
          <w:rPr>
            <w:rFonts w:ascii="幼圆" w:eastAsia="幼圆" w:hAnsi="幼圆" w:cs="幼圆" w:hint="eastAsia"/>
            <w:b/>
            <w:szCs w:val="30"/>
            <w:highlight w:val="none"/>
          </w:rPr>
          <w:t>一、</w:t>
        </w:r>
        <w:r>
          <w:rPr>
            <w:rFonts w:ascii="幼圆" w:eastAsia="幼圆" w:hAnsi="幼圆" w:cs="幼圆" w:hint="eastAsia"/>
            <w:b/>
            <w:szCs w:val="30"/>
            <w:highlight w:val="none"/>
            <w:lang w:eastAsia="zh-CN"/>
          </w:rPr>
          <w:t>合肥长虹美菱</w:t>
        </w:r>
        <w:r>
          <w:rPr>
            <w:rFonts w:ascii="幼圆" w:eastAsia="幼圆" w:hAnsi="幼圆" w:cs="幼圆" w:hint="eastAsia"/>
            <w:b/>
            <w:szCs w:val="30"/>
            <w:highlight w:val="none"/>
          </w:rPr>
          <w:t>简介</w:t>
        </w:r>
        <w:r>
          <w:rPr>
            <w:b/>
            <w:highlight w:val="none"/>
          </w:rPr>
          <w:tab/>
        </w:r>
        <w:r>
          <w:rPr>
            <w:b/>
            <w:highlight w:val="none"/>
          </w:rPr>
          <w:fldChar w:fldCharType="begin"/>
        </w:r>
        <w:r>
          <w:rPr>
            <w:b/>
            <w:highlight w:val="none"/>
          </w:rPr>
          <w:instrText xml:space="preserve"> PAGEREF _Toc15584 \h </w:instrText>
        </w:r>
        <w:r>
          <w:rPr>
            <w:b/>
            <w:highlight w:val="none"/>
          </w:rPr>
          <w:fldChar w:fldCharType="separate"/>
        </w:r>
        <w:r>
          <w:rPr>
            <w:b/>
            <w:highlight w:val="none"/>
          </w:rPr>
          <w:t>2</w:t>
        </w:r>
        <w:r>
          <w:rPr>
            <w:b/>
            <w:highlight w:val="none"/>
          </w:rPr>
          <w:fldChar w:fldCharType="end"/>
        </w:r>
      </w:hyperlink>
    </w:p>
    <w:p>
      <w:pPr>
        <w:pStyle w:val="WPSOffice2"/>
        <w:tabs>
          <w:tab w:val="right" w:leader="dot" w:pos="8306"/>
        </w:tabs>
        <w:rPr>
          <w:highlight w:val="none"/>
        </w:rPr>
      </w:pPr>
      <w:hyperlink w:anchor="_Toc5234" w:history="1">
        <w:r>
          <w:rPr>
            <w:rFonts w:ascii="幼圆" w:eastAsia="幼圆" w:hAnsi="幼圆" w:cs="幼圆" w:hint="default"/>
            <w:szCs w:val="28"/>
            <w:highlight w:val="none"/>
            <w:shd w:val="clear" w:color="auto" w:fill="FFFFFF"/>
          </w:rPr>
          <w:t xml:space="preserve">（一） </w:t>
        </w:r>
        <w:r>
          <w:rPr>
            <w:rFonts w:ascii="幼圆" w:eastAsia="幼圆" w:hAnsi="幼圆" w:cs="幼圆" w:hint="eastAsia"/>
            <w:szCs w:val="28"/>
            <w:highlight w:val="none"/>
            <w:shd w:val="clear" w:color="auto" w:fill="FFFFFF"/>
          </w:rPr>
          <w:t>初期产生阶段</w:t>
        </w:r>
        <w:r>
          <w:rPr>
            <w:highlight w:val="none"/>
          </w:rPr>
          <w:tab/>
        </w:r>
        <w:r>
          <w:rPr>
            <w:highlight w:val="none"/>
          </w:rPr>
          <w:fldChar w:fldCharType="begin"/>
        </w:r>
        <w:r>
          <w:rPr>
            <w:highlight w:val="none"/>
          </w:rPr>
          <w:instrText xml:space="preserve"> PAGEREF _Toc5234 \h </w:instrText>
        </w:r>
        <w:r>
          <w:rPr>
            <w:highlight w:val="none"/>
          </w:rPr>
          <w:fldChar w:fldCharType="separate"/>
        </w:r>
        <w:r>
          <w:rPr>
            <w:highlight w:val="none"/>
          </w:rPr>
          <w:t>2</w:t>
        </w:r>
        <w:r>
          <w:rPr>
            <w:highlight w:val="none"/>
          </w:rPr>
          <w:fldChar w:fldCharType="end"/>
        </w:r>
      </w:hyperlink>
    </w:p>
    <w:p>
      <w:pPr>
        <w:pStyle w:val="WPSOffice2"/>
        <w:tabs>
          <w:tab w:val="right" w:leader="dot" w:pos="8306"/>
        </w:tabs>
        <w:rPr>
          <w:highlight w:val="none"/>
        </w:rPr>
      </w:pPr>
      <w:hyperlink w:anchor="_Toc4427" w:history="1">
        <w:r>
          <w:rPr>
            <w:rFonts w:ascii="幼圆" w:eastAsia="幼圆" w:hAnsi="幼圆" w:cs="幼圆" w:hint="default"/>
            <w:szCs w:val="28"/>
            <w:highlight w:val="none"/>
            <w:shd w:val="clear" w:color="auto" w:fill="FFFFFF"/>
          </w:rPr>
          <w:t xml:space="preserve">（二） </w:t>
        </w:r>
        <w:r>
          <w:rPr>
            <w:rFonts w:ascii="幼圆" w:eastAsia="幼圆" w:hAnsi="幼圆" w:cs="幼圆" w:hint="eastAsia"/>
            <w:szCs w:val="28"/>
            <w:highlight w:val="none"/>
            <w:shd w:val="clear" w:color="auto" w:fill="FFFFFF"/>
          </w:rPr>
          <w:t>发展创新阶段</w:t>
        </w:r>
        <w:r>
          <w:rPr>
            <w:highlight w:val="none"/>
          </w:rPr>
          <w:tab/>
        </w:r>
        <w:r>
          <w:rPr>
            <w:highlight w:val="none"/>
          </w:rPr>
          <w:fldChar w:fldCharType="begin"/>
        </w:r>
        <w:r>
          <w:rPr>
            <w:highlight w:val="none"/>
          </w:rPr>
          <w:instrText xml:space="preserve"> PAGEREF _Toc4427 \h </w:instrText>
        </w:r>
        <w:r>
          <w:rPr>
            <w:highlight w:val="none"/>
          </w:rPr>
          <w:fldChar w:fldCharType="separate"/>
        </w:r>
        <w:r>
          <w:rPr>
            <w:highlight w:val="none"/>
          </w:rPr>
          <w:t>2</w:t>
        </w:r>
        <w:r>
          <w:rPr>
            <w:highlight w:val="none"/>
          </w:rPr>
          <w:fldChar w:fldCharType="end"/>
        </w:r>
      </w:hyperlink>
    </w:p>
    <w:p>
      <w:pPr>
        <w:pStyle w:val="WPSOffice1"/>
        <w:tabs>
          <w:tab w:val="right" w:leader="dot" w:pos="8306"/>
        </w:tabs>
        <w:rPr>
          <w:b/>
          <w:highlight w:val="none"/>
        </w:rPr>
      </w:pPr>
      <w:hyperlink w:anchor="_Toc30472" w:history="1">
        <w:r>
          <w:rPr>
            <w:rFonts w:ascii="幼圆" w:eastAsia="幼圆" w:hAnsi="幼圆" w:cs="幼圆" w:hint="eastAsia"/>
            <w:b/>
            <w:szCs w:val="30"/>
            <w:highlight w:val="none"/>
          </w:rPr>
          <w:t>二、</w:t>
        </w:r>
        <w:r>
          <w:rPr>
            <w:rFonts w:ascii="幼圆" w:eastAsia="幼圆" w:hAnsi="幼圆" w:cs="幼圆" w:hint="eastAsia"/>
            <w:b/>
            <w:szCs w:val="30"/>
            <w:highlight w:val="none"/>
            <w:lang w:eastAsia="zh-CN"/>
          </w:rPr>
          <w:t>合肥长虹美菱</w:t>
        </w:r>
        <w:r>
          <w:rPr>
            <w:rFonts w:ascii="幼圆" w:eastAsia="幼圆" w:hAnsi="幼圆" w:cs="幼圆" w:hint="eastAsia"/>
            <w:b/>
            <w:szCs w:val="30"/>
            <w:highlight w:val="none"/>
          </w:rPr>
          <w:t>偿债能力分析</w:t>
        </w:r>
        <w:r>
          <w:rPr>
            <w:b/>
            <w:highlight w:val="none"/>
          </w:rPr>
          <w:tab/>
        </w:r>
        <w:r>
          <w:rPr>
            <w:b/>
            <w:highlight w:val="none"/>
          </w:rPr>
          <w:fldChar w:fldCharType="begin"/>
        </w:r>
        <w:r>
          <w:rPr>
            <w:b/>
            <w:highlight w:val="none"/>
          </w:rPr>
          <w:instrText xml:space="preserve"> PAGEREF _Toc30472 \h </w:instrText>
        </w:r>
        <w:r>
          <w:rPr>
            <w:b/>
            <w:highlight w:val="none"/>
          </w:rPr>
          <w:fldChar w:fldCharType="separate"/>
        </w:r>
        <w:r>
          <w:rPr>
            <w:b/>
            <w:highlight w:val="none"/>
          </w:rPr>
          <w:t>3</w:t>
        </w:r>
        <w:r>
          <w:rPr>
            <w:b/>
            <w:highlight w:val="none"/>
          </w:rPr>
          <w:fldChar w:fldCharType="end"/>
        </w:r>
      </w:hyperlink>
    </w:p>
    <w:p>
      <w:pPr>
        <w:pStyle w:val="WPSOffice2"/>
        <w:tabs>
          <w:tab w:val="right" w:leader="dot" w:pos="8306"/>
        </w:tabs>
        <w:rPr>
          <w:highlight w:val="none"/>
        </w:rPr>
      </w:pPr>
      <w:hyperlink w:anchor="_Toc15399" w:history="1">
        <w:r>
          <w:rPr>
            <w:rFonts w:ascii="幼圆" w:eastAsia="幼圆" w:hAnsi="幼圆" w:cs="幼圆" w:hint="eastAsia"/>
            <w:bCs/>
            <w:szCs w:val="28"/>
            <w:highlight w:val="none"/>
          </w:rPr>
          <w:t>（一） 短期偿债能力分析</w:t>
        </w:r>
        <w:r>
          <w:rPr>
            <w:highlight w:val="none"/>
          </w:rPr>
          <w:tab/>
        </w:r>
        <w:r>
          <w:rPr>
            <w:highlight w:val="none"/>
          </w:rPr>
          <w:fldChar w:fldCharType="begin"/>
        </w:r>
        <w:r>
          <w:rPr>
            <w:highlight w:val="none"/>
          </w:rPr>
          <w:instrText xml:space="preserve"> PAGEREF _Toc15399 \h </w:instrText>
        </w:r>
        <w:r>
          <w:rPr>
            <w:highlight w:val="none"/>
          </w:rPr>
          <w:fldChar w:fldCharType="separate"/>
        </w:r>
        <w:r>
          <w:rPr>
            <w:highlight w:val="none"/>
          </w:rPr>
          <w:t>4</w:t>
        </w:r>
        <w:r>
          <w:rPr>
            <w:highlight w:val="none"/>
          </w:rPr>
          <w:fldChar w:fldCharType="end"/>
        </w:r>
      </w:hyperlink>
    </w:p>
    <w:p>
      <w:pPr>
        <w:pStyle w:val="WPSOffice2"/>
        <w:tabs>
          <w:tab w:val="right" w:leader="dot" w:pos="8306"/>
        </w:tabs>
        <w:rPr>
          <w:highlight w:val="none"/>
        </w:rPr>
      </w:pPr>
      <w:hyperlink w:anchor="_Toc5725" w:history="1">
        <w:r>
          <w:rPr>
            <w:rFonts w:ascii="幼圆" w:eastAsia="幼圆" w:hAnsi="幼圆" w:cs="幼圆" w:hint="eastAsia"/>
            <w:bCs/>
            <w:szCs w:val="28"/>
            <w:highlight w:val="none"/>
          </w:rPr>
          <w:t>（二） 长期偿债能力分析</w:t>
        </w:r>
        <w:r>
          <w:rPr>
            <w:highlight w:val="none"/>
          </w:rPr>
          <w:tab/>
        </w:r>
        <w:r>
          <w:rPr>
            <w:highlight w:val="none"/>
          </w:rPr>
          <w:fldChar w:fldCharType="begin"/>
        </w:r>
        <w:r>
          <w:rPr>
            <w:highlight w:val="none"/>
          </w:rPr>
          <w:instrText xml:space="preserve"> PAGEREF _Toc5725 \h </w:instrText>
        </w:r>
        <w:r>
          <w:rPr>
            <w:highlight w:val="none"/>
          </w:rPr>
          <w:fldChar w:fldCharType="separate"/>
        </w:r>
        <w:r>
          <w:rPr>
            <w:highlight w:val="none"/>
          </w:rPr>
          <w:t>6</w:t>
        </w:r>
        <w:r>
          <w:rPr>
            <w:highlight w:val="none"/>
          </w:rPr>
          <w:fldChar w:fldCharType="end"/>
        </w:r>
      </w:hyperlink>
    </w:p>
    <w:p>
      <w:pPr>
        <w:pStyle w:val="WPSOffice1"/>
        <w:tabs>
          <w:tab w:val="right" w:leader="dot" w:pos="8306"/>
        </w:tabs>
        <w:rPr>
          <w:b/>
          <w:highlight w:val="none"/>
        </w:rPr>
      </w:pPr>
      <w:hyperlink w:anchor="_Toc18130" w:history="1">
        <w:r>
          <w:rPr>
            <w:rFonts w:ascii="幼圆" w:eastAsia="幼圆" w:hAnsi="幼圆" w:cs="幼圆" w:hint="eastAsia"/>
            <w:b/>
            <w:bCs/>
            <w:highlight w:val="none"/>
          </w:rPr>
          <w:t>利息保障倍数=息税前利润/利息费用</w:t>
        </w:r>
        <w:r>
          <w:rPr>
            <w:b/>
            <w:highlight w:val="none"/>
          </w:rPr>
          <w:tab/>
        </w:r>
        <w:r>
          <w:rPr>
            <w:b/>
            <w:highlight w:val="none"/>
          </w:rPr>
          <w:fldChar w:fldCharType="begin"/>
        </w:r>
        <w:r>
          <w:rPr>
            <w:b/>
            <w:highlight w:val="none"/>
          </w:rPr>
          <w:instrText xml:space="preserve"> PAGEREF _Toc18130 \h </w:instrText>
        </w:r>
        <w:r>
          <w:rPr>
            <w:b/>
            <w:highlight w:val="none"/>
          </w:rPr>
          <w:fldChar w:fldCharType="separate"/>
        </w:r>
        <w:r>
          <w:rPr>
            <w:b/>
            <w:highlight w:val="none"/>
          </w:rPr>
          <w:t>9</w:t>
        </w:r>
        <w:r>
          <w:rPr>
            <w:b/>
            <w:highlight w:val="none"/>
          </w:rPr>
          <w:fldChar w:fldCharType="end"/>
        </w:r>
      </w:hyperlink>
    </w:p>
    <w:p>
      <w:pPr>
        <w:pStyle w:val="WPSOffice1"/>
        <w:tabs>
          <w:tab w:val="right" w:leader="dot" w:pos="8306"/>
        </w:tabs>
        <w:rPr>
          <w:b/>
          <w:highlight w:val="none"/>
        </w:rPr>
      </w:pPr>
      <w:hyperlink w:anchor="_Toc20236" w:history="1">
        <w:r>
          <w:rPr>
            <w:rFonts w:ascii="幼圆" w:eastAsia="幼圆" w:hAnsi="幼圆" w:cs="幼圆" w:hint="eastAsia"/>
            <w:b/>
            <w:szCs w:val="30"/>
            <w:highlight w:val="none"/>
          </w:rPr>
          <w:t xml:space="preserve">三、 </w:t>
        </w:r>
        <w:r>
          <w:rPr>
            <w:rFonts w:ascii="幼圆" w:eastAsia="幼圆" w:hAnsi="幼圆" w:cs="幼圆" w:hint="eastAsia"/>
            <w:b/>
            <w:szCs w:val="30"/>
            <w:highlight w:val="none"/>
            <w:lang w:eastAsia="zh-CN"/>
          </w:rPr>
          <w:t>合肥长虹美菱</w:t>
        </w:r>
        <w:r>
          <w:rPr>
            <w:rFonts w:ascii="幼圆" w:eastAsia="幼圆" w:hAnsi="幼圆" w:cs="幼圆" w:hint="eastAsia"/>
            <w:b/>
            <w:szCs w:val="30"/>
            <w:highlight w:val="none"/>
          </w:rPr>
          <w:t>盈利能力分析</w:t>
        </w:r>
        <w:r>
          <w:rPr>
            <w:b/>
            <w:highlight w:val="none"/>
          </w:rPr>
          <w:tab/>
        </w:r>
        <w:r>
          <w:rPr>
            <w:b/>
            <w:highlight w:val="none"/>
          </w:rPr>
          <w:fldChar w:fldCharType="begin"/>
        </w:r>
        <w:r>
          <w:rPr>
            <w:b/>
            <w:highlight w:val="none"/>
          </w:rPr>
          <w:instrText xml:space="preserve"> PAGEREF _Toc20236 \h </w:instrText>
        </w:r>
        <w:r>
          <w:rPr>
            <w:b/>
            <w:highlight w:val="none"/>
          </w:rPr>
          <w:fldChar w:fldCharType="separate"/>
        </w:r>
        <w:r>
          <w:rPr>
            <w:b/>
            <w:highlight w:val="none"/>
          </w:rPr>
          <w:t>11</w:t>
        </w:r>
        <w:r>
          <w:rPr>
            <w:b/>
            <w:highlight w:val="none"/>
          </w:rPr>
          <w:fldChar w:fldCharType="end"/>
        </w:r>
      </w:hyperlink>
    </w:p>
    <w:p>
      <w:pPr>
        <w:pStyle w:val="WPSOffice2"/>
        <w:tabs>
          <w:tab w:val="right" w:leader="dot" w:pos="8306"/>
        </w:tabs>
        <w:rPr>
          <w:highlight w:val="none"/>
        </w:rPr>
      </w:pPr>
      <w:hyperlink w:anchor="_Toc2816" w:history="1">
        <w:r>
          <w:rPr>
            <w:rFonts w:ascii="幼圆" w:eastAsia="幼圆" w:hAnsi="幼圆" w:cs="幼圆" w:hint="default"/>
            <w:bCs/>
            <w:szCs w:val="28"/>
            <w:highlight w:val="none"/>
          </w:rPr>
          <w:t xml:space="preserve">(一) </w:t>
        </w:r>
        <w:r>
          <w:rPr>
            <w:rFonts w:ascii="幼圆" w:eastAsia="幼圆" w:hAnsi="幼圆" w:cs="幼圆" w:hint="eastAsia"/>
            <w:bCs/>
            <w:szCs w:val="28"/>
            <w:highlight w:val="none"/>
          </w:rPr>
          <w:t>总资产报酬率</w:t>
        </w:r>
        <w:r>
          <w:rPr>
            <w:highlight w:val="none"/>
          </w:rPr>
          <w:tab/>
        </w:r>
        <w:r>
          <w:rPr>
            <w:highlight w:val="none"/>
          </w:rPr>
          <w:fldChar w:fldCharType="begin"/>
        </w:r>
        <w:r>
          <w:rPr>
            <w:highlight w:val="none"/>
          </w:rPr>
          <w:instrText xml:space="preserve"> PAGEREF _Toc2816 \h </w:instrText>
        </w:r>
        <w:r>
          <w:rPr>
            <w:highlight w:val="none"/>
          </w:rPr>
          <w:fldChar w:fldCharType="separate"/>
        </w:r>
        <w:r>
          <w:rPr>
            <w:highlight w:val="none"/>
          </w:rPr>
          <w:t>11</w:t>
        </w:r>
        <w:r>
          <w:rPr>
            <w:highlight w:val="none"/>
          </w:rPr>
          <w:fldChar w:fldCharType="end"/>
        </w:r>
      </w:hyperlink>
    </w:p>
    <w:p>
      <w:pPr>
        <w:pStyle w:val="WPSOffice2"/>
        <w:tabs>
          <w:tab w:val="right" w:leader="dot" w:pos="8306"/>
        </w:tabs>
        <w:rPr>
          <w:highlight w:val="none"/>
        </w:rPr>
      </w:pPr>
      <w:hyperlink w:anchor="_Toc13548" w:history="1">
        <w:r>
          <w:rPr>
            <w:rFonts w:ascii="幼圆" w:eastAsia="幼圆" w:hAnsi="幼圆" w:cs="幼圆" w:hint="default"/>
            <w:bCs/>
            <w:szCs w:val="28"/>
            <w:highlight w:val="none"/>
          </w:rPr>
          <w:t xml:space="preserve">(二) </w:t>
        </w:r>
        <w:r>
          <w:rPr>
            <w:rFonts w:ascii="幼圆" w:eastAsia="幼圆" w:hAnsi="幼圆" w:cs="幼圆" w:hint="eastAsia"/>
            <w:bCs/>
            <w:szCs w:val="28"/>
            <w:highlight w:val="none"/>
          </w:rPr>
          <w:t>股东权益报酬率</w:t>
        </w:r>
        <w:r>
          <w:rPr>
            <w:highlight w:val="none"/>
          </w:rPr>
          <w:tab/>
        </w:r>
        <w:r>
          <w:rPr>
            <w:highlight w:val="none"/>
          </w:rPr>
          <w:fldChar w:fldCharType="begin"/>
        </w:r>
        <w:r>
          <w:rPr>
            <w:highlight w:val="none"/>
          </w:rPr>
          <w:instrText xml:space="preserve"> PAGEREF _Toc13548 \h </w:instrText>
        </w:r>
        <w:r>
          <w:rPr>
            <w:highlight w:val="none"/>
          </w:rPr>
          <w:fldChar w:fldCharType="separate"/>
        </w:r>
        <w:r>
          <w:rPr>
            <w:highlight w:val="none"/>
          </w:rPr>
          <w:t>12</w:t>
        </w:r>
        <w:r>
          <w:rPr>
            <w:highlight w:val="none"/>
          </w:rPr>
          <w:fldChar w:fldCharType="end"/>
        </w:r>
      </w:hyperlink>
    </w:p>
    <w:p>
      <w:pPr>
        <w:pStyle w:val="WPSOffice2"/>
        <w:tabs>
          <w:tab w:val="right" w:leader="dot" w:pos="8306"/>
        </w:tabs>
        <w:rPr>
          <w:highlight w:val="none"/>
        </w:rPr>
      </w:pPr>
      <w:hyperlink w:anchor="_Toc19140" w:history="1">
        <w:r>
          <w:rPr>
            <w:rFonts w:ascii="幼圆" w:eastAsia="幼圆" w:hAnsi="幼圆" w:cs="幼圆" w:hint="default"/>
            <w:bCs/>
            <w:szCs w:val="28"/>
            <w:highlight w:val="none"/>
          </w:rPr>
          <w:t xml:space="preserve">(三) </w:t>
        </w:r>
        <w:r>
          <w:rPr>
            <w:rFonts w:ascii="幼圆" w:eastAsia="幼圆" w:hAnsi="幼圆" w:cs="幼圆" w:hint="eastAsia"/>
            <w:bCs/>
            <w:szCs w:val="28"/>
            <w:highlight w:val="none"/>
          </w:rPr>
          <w:t>销售毛利率与销售净利率</w:t>
        </w:r>
        <w:r>
          <w:rPr>
            <w:highlight w:val="none"/>
          </w:rPr>
          <w:tab/>
        </w:r>
        <w:r>
          <w:rPr>
            <w:highlight w:val="none"/>
          </w:rPr>
          <w:fldChar w:fldCharType="begin"/>
        </w:r>
        <w:r>
          <w:rPr>
            <w:highlight w:val="none"/>
          </w:rPr>
          <w:instrText xml:space="preserve"> PAGEREF _Toc19140 \h </w:instrText>
        </w:r>
        <w:r>
          <w:rPr>
            <w:highlight w:val="none"/>
          </w:rPr>
          <w:fldChar w:fldCharType="separate"/>
        </w:r>
        <w:r>
          <w:rPr>
            <w:highlight w:val="none"/>
          </w:rPr>
          <w:t>13</w:t>
        </w:r>
        <w:r>
          <w:rPr>
            <w:highlight w:val="none"/>
          </w:rPr>
          <w:fldChar w:fldCharType="end"/>
        </w:r>
      </w:hyperlink>
    </w:p>
    <w:p>
      <w:pPr>
        <w:pStyle w:val="WPSOffice2"/>
        <w:tabs>
          <w:tab w:val="right" w:leader="dot" w:pos="8306"/>
        </w:tabs>
        <w:rPr>
          <w:highlight w:val="none"/>
        </w:rPr>
      </w:pPr>
      <w:hyperlink w:anchor="_Toc1943" w:history="1">
        <w:r>
          <w:rPr>
            <w:rFonts w:ascii="幼圆" w:eastAsia="幼圆" w:hAnsi="幼圆" w:cs="幼圆" w:hint="default"/>
            <w:bCs/>
            <w:szCs w:val="28"/>
            <w:highlight w:val="none"/>
          </w:rPr>
          <w:t xml:space="preserve">(四) </w:t>
        </w:r>
        <w:r>
          <w:rPr>
            <w:rFonts w:ascii="幼圆" w:eastAsia="幼圆" w:hAnsi="幼圆" w:cs="幼圆" w:hint="eastAsia"/>
            <w:bCs/>
            <w:szCs w:val="28"/>
            <w:highlight w:val="none"/>
          </w:rPr>
          <w:t>成本费用净利率</w:t>
        </w:r>
        <w:r>
          <w:rPr>
            <w:highlight w:val="none"/>
          </w:rPr>
          <w:tab/>
        </w:r>
        <w:r>
          <w:rPr>
            <w:highlight w:val="none"/>
          </w:rPr>
          <w:fldChar w:fldCharType="begin"/>
        </w:r>
        <w:r>
          <w:rPr>
            <w:highlight w:val="none"/>
          </w:rPr>
          <w:instrText xml:space="preserve"> PAGEREF _Toc1943 \h </w:instrText>
        </w:r>
        <w:r>
          <w:rPr>
            <w:highlight w:val="none"/>
          </w:rPr>
          <w:fldChar w:fldCharType="separate"/>
        </w:r>
        <w:r>
          <w:rPr>
            <w:highlight w:val="none"/>
          </w:rPr>
          <w:t>15</w:t>
        </w:r>
        <w:r>
          <w:rPr>
            <w:highlight w:val="none"/>
          </w:rPr>
          <w:fldChar w:fldCharType="end"/>
        </w:r>
      </w:hyperlink>
    </w:p>
    <w:p>
      <w:pPr>
        <w:pStyle w:val="WPSOffice1"/>
        <w:tabs>
          <w:tab w:val="right" w:leader="dot" w:pos="8306"/>
        </w:tabs>
        <w:rPr>
          <w:b/>
          <w:highlight w:val="none"/>
        </w:rPr>
      </w:pPr>
      <w:hyperlink w:anchor="_Toc30805" w:history="1">
        <w:r>
          <w:rPr>
            <w:rFonts w:ascii="幼圆" w:eastAsia="幼圆" w:hAnsi="幼圆" w:cs="幼圆" w:hint="eastAsia"/>
            <w:b/>
            <w:szCs w:val="30"/>
            <w:highlight w:val="none"/>
          </w:rPr>
          <w:t>四、</w:t>
        </w:r>
        <w:r>
          <w:rPr>
            <w:rFonts w:ascii="幼圆" w:eastAsia="幼圆" w:hAnsi="幼圆" w:cs="幼圆" w:hint="eastAsia"/>
            <w:b/>
            <w:szCs w:val="30"/>
            <w:highlight w:val="none"/>
            <w:lang w:eastAsia="zh-CN"/>
          </w:rPr>
          <w:t>合肥长虹美菱</w:t>
        </w:r>
        <w:r>
          <w:rPr>
            <w:rFonts w:ascii="幼圆" w:eastAsia="幼圆" w:hAnsi="幼圆" w:cs="幼圆" w:hint="eastAsia"/>
            <w:b/>
            <w:szCs w:val="30"/>
            <w:highlight w:val="none"/>
          </w:rPr>
          <w:t>偿债与盈利能力存在的问题</w:t>
        </w:r>
        <w:r>
          <w:rPr>
            <w:b/>
            <w:highlight w:val="none"/>
          </w:rPr>
          <w:tab/>
        </w:r>
        <w:r>
          <w:rPr>
            <w:b/>
            <w:highlight w:val="none"/>
          </w:rPr>
          <w:fldChar w:fldCharType="begin"/>
        </w:r>
        <w:r>
          <w:rPr>
            <w:b/>
            <w:highlight w:val="none"/>
          </w:rPr>
          <w:instrText xml:space="preserve"> PAGEREF _Toc30805 \h </w:instrText>
        </w:r>
        <w:r>
          <w:rPr>
            <w:b/>
            <w:highlight w:val="none"/>
          </w:rPr>
          <w:fldChar w:fldCharType="separate"/>
        </w:r>
        <w:r>
          <w:rPr>
            <w:b/>
            <w:highlight w:val="none"/>
          </w:rPr>
          <w:t>16</w:t>
        </w:r>
        <w:r>
          <w:rPr>
            <w:b/>
            <w:highlight w:val="none"/>
          </w:rPr>
          <w:fldChar w:fldCharType="end"/>
        </w:r>
      </w:hyperlink>
    </w:p>
    <w:p>
      <w:pPr>
        <w:pStyle w:val="WPSOffice2"/>
        <w:tabs>
          <w:tab w:val="right" w:leader="dot" w:pos="8306"/>
        </w:tabs>
        <w:rPr>
          <w:highlight w:val="none"/>
        </w:rPr>
      </w:pPr>
      <w:hyperlink w:anchor="_Toc25369" w:history="1">
        <w:r>
          <w:rPr>
            <w:rFonts w:ascii="幼圆" w:eastAsia="幼圆" w:hAnsi="幼圆" w:cs="幼圆" w:hint="default"/>
            <w:bCs/>
            <w:szCs w:val="28"/>
            <w:highlight w:val="none"/>
          </w:rPr>
          <w:t xml:space="preserve">（一） </w:t>
        </w:r>
        <w:r>
          <w:rPr>
            <w:rFonts w:ascii="幼圆" w:eastAsia="幼圆" w:hAnsi="幼圆" w:cs="幼圆" w:hint="eastAsia"/>
            <w:bCs/>
            <w:szCs w:val="28"/>
            <w:highlight w:val="none"/>
          </w:rPr>
          <w:t>短期偿债能力问题</w:t>
        </w:r>
        <w:r>
          <w:rPr>
            <w:highlight w:val="none"/>
          </w:rPr>
          <w:tab/>
        </w:r>
        <w:r>
          <w:rPr>
            <w:highlight w:val="none"/>
          </w:rPr>
          <w:fldChar w:fldCharType="begin"/>
        </w:r>
        <w:r>
          <w:rPr>
            <w:highlight w:val="none"/>
          </w:rPr>
          <w:instrText xml:space="preserve"> PAGEREF _Toc25369 \h </w:instrText>
        </w:r>
        <w:r>
          <w:rPr>
            <w:highlight w:val="none"/>
          </w:rPr>
          <w:fldChar w:fldCharType="separate"/>
        </w:r>
        <w:r>
          <w:rPr>
            <w:highlight w:val="none"/>
          </w:rPr>
          <w:t>16</w:t>
        </w:r>
        <w:r>
          <w:rPr>
            <w:highlight w:val="none"/>
          </w:rPr>
          <w:fldChar w:fldCharType="end"/>
        </w:r>
      </w:hyperlink>
    </w:p>
    <w:p>
      <w:pPr>
        <w:pStyle w:val="WPSOffice2"/>
        <w:tabs>
          <w:tab w:val="right" w:leader="dot" w:pos="8306"/>
        </w:tabs>
        <w:rPr>
          <w:highlight w:val="none"/>
        </w:rPr>
      </w:pPr>
      <w:hyperlink w:anchor="_Toc32294" w:history="1">
        <w:r>
          <w:rPr>
            <w:rFonts w:ascii="幼圆" w:eastAsia="幼圆" w:hAnsi="幼圆" w:cs="幼圆" w:hint="default"/>
            <w:bCs/>
            <w:szCs w:val="28"/>
            <w:highlight w:val="none"/>
          </w:rPr>
          <w:t xml:space="preserve">（二） </w:t>
        </w:r>
        <w:r>
          <w:rPr>
            <w:rFonts w:ascii="幼圆" w:eastAsia="幼圆" w:hAnsi="幼圆" w:cs="幼圆" w:hint="eastAsia"/>
            <w:bCs/>
            <w:szCs w:val="28"/>
            <w:highlight w:val="none"/>
          </w:rPr>
          <w:t>长期偿债能力问题</w:t>
        </w:r>
        <w:r>
          <w:rPr>
            <w:highlight w:val="none"/>
          </w:rPr>
          <w:tab/>
        </w:r>
        <w:r>
          <w:rPr>
            <w:highlight w:val="none"/>
          </w:rPr>
          <w:fldChar w:fldCharType="begin"/>
        </w:r>
        <w:r>
          <w:rPr>
            <w:highlight w:val="none"/>
          </w:rPr>
          <w:instrText xml:space="preserve"> PAGEREF _Toc32294 \h </w:instrText>
        </w:r>
        <w:r>
          <w:rPr>
            <w:highlight w:val="none"/>
          </w:rPr>
          <w:fldChar w:fldCharType="separate"/>
        </w:r>
        <w:r>
          <w:rPr>
            <w:highlight w:val="none"/>
          </w:rPr>
          <w:t>16</w:t>
        </w:r>
        <w:r>
          <w:rPr>
            <w:highlight w:val="none"/>
          </w:rPr>
          <w:fldChar w:fldCharType="end"/>
        </w:r>
      </w:hyperlink>
    </w:p>
    <w:p>
      <w:pPr>
        <w:pStyle w:val="WPSOffice2"/>
        <w:tabs>
          <w:tab w:val="right" w:leader="dot" w:pos="8306"/>
        </w:tabs>
        <w:rPr>
          <w:highlight w:val="none"/>
        </w:rPr>
      </w:pPr>
      <w:hyperlink w:anchor="_Toc4713" w:history="1">
        <w:r>
          <w:rPr>
            <w:rFonts w:ascii="幼圆" w:eastAsia="幼圆" w:hAnsi="幼圆" w:cs="幼圆" w:hint="default"/>
            <w:bCs/>
            <w:szCs w:val="28"/>
            <w:highlight w:val="none"/>
          </w:rPr>
          <w:t xml:space="preserve">（三） </w:t>
        </w:r>
        <w:r>
          <w:rPr>
            <w:rFonts w:ascii="幼圆" w:eastAsia="幼圆" w:hAnsi="幼圆" w:cs="幼圆" w:hint="eastAsia"/>
            <w:bCs/>
            <w:szCs w:val="28"/>
            <w:highlight w:val="none"/>
          </w:rPr>
          <w:t>盈利能力问题</w:t>
        </w:r>
        <w:r>
          <w:rPr>
            <w:highlight w:val="none"/>
          </w:rPr>
          <w:tab/>
        </w:r>
        <w:r>
          <w:rPr>
            <w:highlight w:val="none"/>
          </w:rPr>
          <w:fldChar w:fldCharType="begin"/>
        </w:r>
        <w:r>
          <w:rPr>
            <w:highlight w:val="none"/>
          </w:rPr>
          <w:instrText xml:space="preserve"> PAGEREF _Toc4713 \h </w:instrText>
        </w:r>
        <w:r>
          <w:rPr>
            <w:highlight w:val="none"/>
          </w:rPr>
          <w:fldChar w:fldCharType="separate"/>
        </w:r>
        <w:r>
          <w:rPr>
            <w:highlight w:val="none"/>
          </w:rPr>
          <w:t>17</w:t>
        </w:r>
        <w:r>
          <w:rPr>
            <w:highlight w:val="none"/>
          </w:rPr>
          <w:fldChar w:fldCharType="end"/>
        </w:r>
      </w:hyperlink>
    </w:p>
    <w:p>
      <w:pPr>
        <w:pStyle w:val="WPSOffice1"/>
        <w:tabs>
          <w:tab w:val="right" w:leader="dot" w:pos="8306"/>
        </w:tabs>
        <w:rPr>
          <w:b/>
          <w:highlight w:val="none"/>
        </w:rPr>
      </w:pPr>
      <w:hyperlink w:anchor="_Toc32527" w:history="1">
        <w:r>
          <w:rPr>
            <w:rFonts w:ascii="幼圆" w:eastAsia="幼圆" w:hAnsi="幼圆" w:cs="幼圆" w:hint="eastAsia"/>
            <w:b/>
            <w:szCs w:val="30"/>
            <w:highlight w:val="none"/>
          </w:rPr>
          <w:t>五、</w:t>
        </w:r>
        <w:r>
          <w:rPr>
            <w:rFonts w:ascii="幼圆" w:eastAsia="幼圆" w:hAnsi="幼圆" w:cs="幼圆" w:hint="eastAsia"/>
            <w:b/>
            <w:szCs w:val="30"/>
            <w:highlight w:val="none"/>
            <w:lang w:eastAsia="zh-CN"/>
          </w:rPr>
          <w:t>合肥长虹美菱</w:t>
        </w:r>
        <w:r>
          <w:rPr>
            <w:rFonts w:ascii="幼圆" w:eastAsia="幼圆" w:hAnsi="幼圆" w:cs="幼圆" w:hint="eastAsia"/>
            <w:b/>
            <w:szCs w:val="30"/>
            <w:highlight w:val="none"/>
          </w:rPr>
          <w:t>提高偿债与盈利能力的策略</w:t>
        </w:r>
        <w:r>
          <w:rPr>
            <w:b/>
            <w:highlight w:val="none"/>
          </w:rPr>
          <w:tab/>
        </w:r>
        <w:r>
          <w:rPr>
            <w:b/>
            <w:highlight w:val="none"/>
          </w:rPr>
          <w:fldChar w:fldCharType="begin"/>
        </w:r>
        <w:r>
          <w:rPr>
            <w:b/>
            <w:highlight w:val="none"/>
          </w:rPr>
          <w:instrText xml:space="preserve"> PAGEREF _Toc32527 \h </w:instrText>
        </w:r>
        <w:r>
          <w:rPr>
            <w:b/>
            <w:highlight w:val="none"/>
          </w:rPr>
          <w:fldChar w:fldCharType="separate"/>
        </w:r>
        <w:r>
          <w:rPr>
            <w:b/>
            <w:highlight w:val="none"/>
          </w:rPr>
          <w:t>17</w:t>
        </w:r>
        <w:r>
          <w:rPr>
            <w:b/>
            <w:highlight w:val="none"/>
          </w:rPr>
          <w:fldChar w:fldCharType="end"/>
        </w:r>
      </w:hyperlink>
    </w:p>
    <w:p>
      <w:pPr>
        <w:pStyle w:val="WPSOffice2"/>
        <w:tabs>
          <w:tab w:val="right" w:leader="dot" w:pos="8306"/>
        </w:tabs>
        <w:rPr>
          <w:highlight w:val="none"/>
        </w:rPr>
      </w:pPr>
      <w:hyperlink w:anchor="_Toc28605" w:history="1">
        <w:r>
          <w:rPr>
            <w:rFonts w:ascii="幼圆" w:eastAsia="幼圆" w:hAnsi="幼圆" w:cs="幼圆" w:hint="default"/>
            <w:bCs/>
            <w:szCs w:val="28"/>
            <w:highlight w:val="none"/>
          </w:rPr>
          <w:t xml:space="preserve">（四） </w:t>
        </w:r>
        <w:r>
          <w:rPr>
            <w:rFonts w:ascii="幼圆" w:eastAsia="幼圆" w:hAnsi="幼圆" w:cs="幼圆" w:hint="eastAsia"/>
            <w:bCs/>
            <w:szCs w:val="28"/>
            <w:highlight w:val="none"/>
          </w:rPr>
          <w:t>偿债能力</w:t>
        </w:r>
        <w:r>
          <w:rPr>
            <w:highlight w:val="none"/>
          </w:rPr>
          <w:tab/>
        </w:r>
        <w:r>
          <w:rPr>
            <w:highlight w:val="none"/>
          </w:rPr>
          <w:fldChar w:fldCharType="begin"/>
        </w:r>
        <w:r>
          <w:rPr>
            <w:highlight w:val="none"/>
          </w:rPr>
          <w:instrText xml:space="preserve"> PAGEREF _Toc28605 \h </w:instrText>
        </w:r>
        <w:r>
          <w:rPr>
            <w:highlight w:val="none"/>
          </w:rPr>
          <w:fldChar w:fldCharType="separate"/>
        </w:r>
        <w:r>
          <w:rPr>
            <w:highlight w:val="none"/>
          </w:rPr>
          <w:t>18</w:t>
        </w:r>
        <w:r>
          <w:rPr>
            <w:highlight w:val="none"/>
          </w:rPr>
          <w:fldChar w:fldCharType="end"/>
        </w:r>
      </w:hyperlink>
    </w:p>
    <w:p>
      <w:pPr>
        <w:pStyle w:val="WPSOffice2"/>
        <w:tabs>
          <w:tab w:val="right" w:leader="dot" w:pos="8306"/>
        </w:tabs>
        <w:rPr>
          <w:highlight w:val="none"/>
        </w:rPr>
      </w:pPr>
      <w:hyperlink w:anchor="_Toc8452" w:history="1">
        <w:r>
          <w:rPr>
            <w:rFonts w:ascii="幼圆" w:eastAsia="幼圆" w:hAnsi="幼圆" w:cs="幼圆" w:hint="default"/>
            <w:bCs/>
            <w:szCs w:val="28"/>
            <w:highlight w:val="none"/>
          </w:rPr>
          <w:t xml:space="preserve">（五） </w:t>
        </w:r>
        <w:r>
          <w:rPr>
            <w:rFonts w:ascii="幼圆" w:eastAsia="幼圆" w:hAnsi="幼圆" w:cs="幼圆" w:hint="eastAsia"/>
            <w:bCs/>
            <w:szCs w:val="28"/>
            <w:highlight w:val="none"/>
          </w:rPr>
          <w:t>盈利能力</w:t>
        </w:r>
        <w:r>
          <w:rPr>
            <w:highlight w:val="none"/>
          </w:rPr>
          <w:tab/>
        </w:r>
        <w:r>
          <w:rPr>
            <w:highlight w:val="none"/>
          </w:rPr>
          <w:fldChar w:fldCharType="begin"/>
        </w:r>
        <w:r>
          <w:rPr>
            <w:highlight w:val="none"/>
          </w:rPr>
          <w:instrText xml:space="preserve"> PAGEREF _Toc8452 \h </w:instrText>
        </w:r>
        <w:r>
          <w:rPr>
            <w:highlight w:val="none"/>
          </w:rPr>
          <w:fldChar w:fldCharType="separate"/>
        </w:r>
        <w:r>
          <w:rPr>
            <w:highlight w:val="none"/>
          </w:rPr>
          <w:t>19</w:t>
        </w:r>
        <w:r>
          <w:rPr>
            <w:highlight w:val="none"/>
          </w:rPr>
          <w:fldChar w:fldCharType="end"/>
        </w:r>
      </w:hyperlink>
    </w:p>
    <w:p>
      <w:pPr>
        <w:pStyle w:val="WPSOffice1"/>
        <w:tabs>
          <w:tab w:val="right" w:leader="dot" w:pos="8306"/>
        </w:tabs>
        <w:rPr>
          <w:b/>
          <w:highlight w:val="none"/>
        </w:rPr>
      </w:pPr>
      <w:hyperlink w:anchor="_Toc19886" w:history="1">
        <w:r>
          <w:rPr>
            <w:rFonts w:ascii="幼圆" w:eastAsia="幼圆" w:hAnsi="幼圆" w:cs="幼圆" w:hint="eastAsia"/>
            <w:b/>
            <w:szCs w:val="30"/>
            <w:highlight w:val="none"/>
          </w:rPr>
          <w:t>结束语</w:t>
        </w:r>
        <w:r>
          <w:rPr>
            <w:b/>
            <w:highlight w:val="none"/>
          </w:rPr>
          <w:tab/>
        </w:r>
        <w:r>
          <w:rPr>
            <w:b/>
            <w:highlight w:val="none"/>
          </w:rPr>
          <w:fldChar w:fldCharType="begin"/>
        </w:r>
        <w:r>
          <w:rPr>
            <w:b/>
            <w:highlight w:val="none"/>
          </w:rPr>
          <w:instrText xml:space="preserve"> PAGEREF _Toc19886 \h </w:instrText>
        </w:r>
        <w:r>
          <w:rPr>
            <w:b/>
            <w:highlight w:val="none"/>
          </w:rPr>
          <w:fldChar w:fldCharType="separate"/>
        </w:r>
        <w:r>
          <w:rPr>
            <w:b/>
            <w:highlight w:val="none"/>
          </w:rPr>
          <w:t>19</w:t>
        </w:r>
        <w:r>
          <w:rPr>
            <w:b/>
            <w:highlight w:val="none"/>
          </w:rPr>
          <w:fldChar w:fldCharType="end"/>
        </w:r>
      </w:hyperlink>
    </w:p>
    <w:p>
      <w:pPr>
        <w:pStyle w:val="WPSOffice1"/>
        <w:tabs>
          <w:tab w:val="right" w:leader="dot" w:pos="8306"/>
        </w:tabs>
        <w:rPr>
          <w:b/>
          <w:highlight w:val="none"/>
        </w:rPr>
      </w:pPr>
      <w:hyperlink w:anchor="_Toc26334" w:history="1">
        <w:r>
          <w:rPr>
            <w:rFonts w:ascii="幼圆" w:eastAsia="幼圆" w:hAnsi="幼圆" w:cs="幼圆" w:hint="eastAsia"/>
            <w:b/>
            <w:szCs w:val="30"/>
            <w:highlight w:val="none"/>
          </w:rPr>
          <w:t>参考文献：</w:t>
        </w:r>
        <w:r>
          <w:rPr>
            <w:b/>
            <w:highlight w:val="none"/>
          </w:rPr>
          <w:tab/>
        </w:r>
        <w:r>
          <w:rPr>
            <w:b/>
            <w:highlight w:val="none"/>
          </w:rPr>
          <w:fldChar w:fldCharType="begin"/>
        </w:r>
        <w:r>
          <w:rPr>
            <w:b/>
            <w:highlight w:val="none"/>
          </w:rPr>
          <w:instrText xml:space="preserve"> PAGEREF _Toc26334 \h </w:instrText>
        </w:r>
        <w:r>
          <w:rPr>
            <w:b/>
            <w:highlight w:val="none"/>
          </w:rPr>
          <w:fldChar w:fldCharType="separate"/>
        </w:r>
        <w:r>
          <w:rPr>
            <w:b/>
            <w:highlight w:val="none"/>
          </w:rPr>
          <w:t>20</w:t>
        </w:r>
        <w:r>
          <w:rPr>
            <w:b/>
            <w:highlight w:val="none"/>
          </w:rPr>
          <w:fldChar w:fldCharType="end"/>
        </w:r>
      </w:hyperlink>
    </w:p>
    <w:p>
      <w:pPr>
        <w:spacing w:line="360" w:lineRule="auto"/>
        <w:ind w:firstLine="412" w:firstLineChars="196"/>
        <w:rPr>
          <w:rFonts w:ascii="幼圆" w:eastAsia="幼圆" w:hAnsi="幼圆" w:cs="幼圆" w:hint="eastAsia"/>
          <w:szCs w:val="21"/>
          <w:highlight w:val="none"/>
        </w:rPr>
      </w:pPr>
      <w:r>
        <w:rPr>
          <w:rFonts w:ascii="幼圆" w:eastAsia="幼圆" w:hAnsi="幼圆" w:cs="幼圆" w:hint="eastAsia"/>
          <w:b/>
          <w:szCs w:val="21"/>
          <w:highlight w:val="none"/>
        </w:rPr>
        <w:fldChar w:fldCharType="end"/>
      </w:r>
    </w:p>
    <w:p>
      <w:pPr>
        <w:spacing w:line="360" w:lineRule="auto"/>
        <w:ind w:firstLine="412" w:firstLineChars="196"/>
        <w:rPr>
          <w:rFonts w:ascii="幼圆" w:eastAsia="幼圆" w:hAnsi="幼圆" w:cs="幼圆" w:hint="eastAsia"/>
          <w:szCs w:val="21"/>
          <w:highlight w:val="none"/>
        </w:rPr>
      </w:pPr>
      <w:r>
        <w:rPr>
          <w:rFonts w:ascii="幼圆" w:eastAsia="幼圆" w:hAnsi="幼圆" w:cs="幼圆" w:hint="eastAsia"/>
          <w:szCs w:val="21"/>
          <w:highlight w:val="none"/>
        </w:rPr>
        <w:t>摘  要： 随着互联网经济的快速发展，大多数企业更加注重产品升级与转型改造。与此同时，也会更加注重如何环保低碳发展，文章以</w:t>
      </w:r>
      <w:r>
        <w:rPr>
          <w:rFonts w:ascii="幼圆" w:eastAsia="幼圆" w:hAnsi="幼圆" w:cs="幼圆" w:hint="eastAsia"/>
          <w:szCs w:val="21"/>
          <w:highlight w:val="none"/>
          <w:lang w:eastAsia="zh-CN"/>
        </w:rPr>
        <w:t>合肥长虹美菱</w:t>
      </w:r>
      <w:r>
        <w:rPr>
          <w:rFonts w:ascii="幼圆" w:eastAsia="幼圆" w:hAnsi="幼圆" w:cs="幼圆" w:hint="eastAsia"/>
          <w:szCs w:val="21"/>
          <w:highlight w:val="none"/>
        </w:rPr>
        <w:t>为对象，结合相关资料和信息，通过对</w:t>
      </w:r>
      <w:r>
        <w:rPr>
          <w:rFonts w:ascii="幼圆" w:eastAsia="幼圆" w:hAnsi="幼圆" w:cs="幼圆" w:hint="eastAsia"/>
          <w:szCs w:val="21"/>
          <w:highlight w:val="none"/>
          <w:lang w:eastAsia="zh-CN"/>
        </w:rPr>
        <w:t>合肥长虹美菱</w:t>
      </w:r>
      <w:r>
        <w:rPr>
          <w:rFonts w:ascii="幼圆" w:eastAsia="幼圆" w:hAnsi="幼圆" w:cs="幼圆" w:hint="eastAsia"/>
          <w:szCs w:val="21"/>
          <w:highlight w:val="none"/>
        </w:rPr>
        <w:t>近五年的财务数据进行分析，得到偿债与盈利能力对提升公司在市场上综合经济实力与竞争力与企业威信力以及公司在各个能力方面存在的问题，并提出相应的对策。</w:t>
      </w:r>
    </w:p>
    <w:p>
      <w:pPr>
        <w:spacing w:line="360" w:lineRule="auto"/>
        <w:ind w:firstLine="412" w:firstLineChars="196"/>
        <w:rPr>
          <w:rFonts w:ascii="幼圆" w:eastAsia="幼圆" w:hAnsi="幼圆" w:cs="幼圆" w:hint="eastAsia"/>
          <w:kern w:val="0"/>
          <w:highlight w:val="none"/>
        </w:rPr>
      </w:pPr>
      <w:r>
        <w:rPr>
          <w:rFonts w:ascii="幼圆" w:eastAsia="幼圆" w:hAnsi="幼圆" w:cs="幼圆" w:hint="eastAsia"/>
          <w:szCs w:val="21"/>
          <w:highlight w:val="none"/>
        </w:rPr>
        <w:t xml:space="preserve">关键词： </w:t>
      </w:r>
      <w:r>
        <w:rPr>
          <w:rFonts w:ascii="幼圆" w:eastAsia="幼圆" w:hAnsi="幼圆" w:cs="幼圆" w:hint="eastAsia"/>
          <w:kern w:val="0"/>
          <w:highlight w:val="none"/>
        </w:rPr>
        <w:t>偿债能力；  盈利能力；  财务风险管理；  内部控制</w:t>
      </w:r>
    </w:p>
    <w:p>
      <w:pPr>
        <w:spacing w:line="360" w:lineRule="auto"/>
        <w:jc w:val="left"/>
        <w:outlineLvl w:val="0"/>
        <w:rPr>
          <w:rFonts w:ascii="幼圆" w:eastAsia="幼圆" w:hAnsi="幼圆" w:cs="幼圆" w:hint="eastAsia"/>
          <w:b/>
          <w:sz w:val="30"/>
          <w:szCs w:val="30"/>
          <w:highlight w:val="none"/>
        </w:rPr>
      </w:pPr>
      <w:bookmarkStart w:id="2" w:name="_Toc15032"/>
      <w:r>
        <w:rPr>
          <w:rFonts w:ascii="幼圆" w:eastAsia="幼圆" w:hAnsi="幼圆" w:cs="幼圆" w:hint="eastAsia"/>
          <w:b/>
          <w:sz w:val="30"/>
          <w:szCs w:val="30"/>
          <w:highlight w:val="none"/>
        </w:rPr>
        <w:t>引言</w:t>
      </w:r>
      <w:bookmarkEnd w:id="1"/>
      <w:bookmarkEnd w:id="2"/>
    </w:p>
    <w:p>
      <w:pPr>
        <w:spacing w:line="360" w:lineRule="auto"/>
        <w:ind w:firstLine="480" w:firstLineChars="200"/>
        <w:jc w:val="left"/>
        <w:rPr>
          <w:rFonts w:ascii="幼圆" w:eastAsia="幼圆" w:hAnsi="幼圆" w:cs="幼圆" w:hint="eastAsia"/>
          <w:sz w:val="24"/>
          <w:highlight w:val="none"/>
        </w:rPr>
        <w:sectPr>
          <w:pgSz w:w="11906" w:h="16838"/>
          <w:pgMar w:top="1440" w:right="1800" w:bottom="1440" w:left="1800" w:header="851" w:footer="992" w:gutter="0"/>
          <w:cols w:space="708"/>
          <w:docGrid w:type="lines" w:linePitch="312" w:charSpace="0"/>
        </w:sectPr>
      </w:pPr>
    </w:p>
    <w:p>
      <w:pPr>
        <w:spacing w:line="360" w:lineRule="auto"/>
        <w:ind w:firstLine="480" w:firstLineChars="200"/>
        <w:jc w:val="left"/>
        <w:rPr>
          <w:rFonts w:ascii="幼圆" w:eastAsia="幼圆" w:hAnsi="幼圆" w:cs="幼圆" w:hint="eastAsia"/>
          <w:sz w:val="24"/>
          <w:highlight w:val="none"/>
        </w:rPr>
      </w:pPr>
      <w:r>
        <w:rPr>
          <w:rFonts w:ascii="幼圆" w:eastAsia="幼圆" w:hAnsi="幼圆" w:cs="幼圆" w:hint="eastAsia"/>
          <w:kern w:val="0"/>
          <w:sz w:val="24"/>
          <w:highlight w:val="none"/>
        </w:rPr>
        <w:t>偿债能力是反映企业经营状况经营成果一个重要的概念。因此,就如何提高公司偿债能力显得特别重要,一方面，体现在公司应加强偿还债务的能力水平及日常监督,另一方面，还要加强偿债能力的内部控制，最终实现公司价值最大化、利润最大化的目标</w:t>
      </w:r>
      <w:r>
        <w:rPr>
          <w:rFonts w:ascii="幼圆" w:eastAsia="幼圆" w:hAnsi="幼圆" w:cs="幼圆" w:hint="eastAsia"/>
          <w:kern w:val="0"/>
          <w:sz w:val="24"/>
          <w:highlight w:val="none"/>
          <w:lang w:eastAsia="zh-CN"/>
        </w:rPr>
        <w:t>（</w:t>
      </w:r>
      <w:r>
        <w:rPr>
          <w:rFonts w:ascii="幼圆" w:eastAsia="幼圆" w:hAnsi="幼圆" w:cs="幼圆" w:hint="eastAsia"/>
          <w:kern w:val="0"/>
          <w:sz w:val="24"/>
          <w:highlight w:val="none"/>
          <w:lang w:val="en-US" w:eastAsia="zh-CN"/>
        </w:rPr>
        <w:t>张天翼 ,李晨,2021</w:t>
      </w:r>
      <w:r>
        <w:rPr>
          <w:rFonts w:ascii="幼圆" w:eastAsia="幼圆" w:hAnsi="幼圆" w:cs="幼圆" w:hint="eastAsia"/>
          <w:kern w:val="0"/>
          <w:sz w:val="24"/>
          <w:highlight w:val="none"/>
          <w:lang w:eastAsia="zh-CN"/>
        </w:rPr>
        <w:t>）</w:t>
      </w:r>
      <w:r>
        <w:rPr>
          <w:rFonts w:ascii="幼圆" w:eastAsia="幼圆" w:hAnsi="幼圆" w:cs="幼圆" w:hint="eastAsia"/>
          <w:kern w:val="0"/>
          <w:sz w:val="24"/>
          <w:highlight w:val="none"/>
        </w:rPr>
        <w:t>。如同企业发展的第一要义必须要赢得较高的利润收入，这样才能屹立在市场首位登上世界之巅。</w:t>
      </w:r>
      <w:r>
        <w:rPr>
          <w:rFonts w:ascii="幼圆" w:eastAsia="幼圆" w:hAnsi="幼圆" w:cs="幼圆" w:hint="eastAsia"/>
          <w:sz w:val="24"/>
          <w:highlight w:val="none"/>
        </w:rPr>
        <w:t>我们致力于研究公司偿债与盈利能力存在的突出特点和难点，分析</w:t>
      </w:r>
      <w:r>
        <w:rPr>
          <w:rFonts w:ascii="幼圆" w:eastAsia="幼圆" w:hAnsi="幼圆" w:cs="幼圆" w:hint="eastAsia"/>
          <w:sz w:val="24"/>
          <w:highlight w:val="none"/>
          <w:lang w:eastAsia="zh-CN"/>
        </w:rPr>
        <w:t>合肥长虹美菱</w:t>
      </w:r>
      <w:r>
        <w:rPr>
          <w:rFonts w:ascii="幼圆" w:eastAsia="幼圆" w:hAnsi="幼圆" w:cs="幼圆" w:hint="eastAsia"/>
          <w:sz w:val="24"/>
          <w:highlight w:val="none"/>
        </w:rPr>
        <w:t>的偿债与盈利能力的完善程度，揭示在偿债与盈利上存在的不合理之处，并且根据财务报表的分析的结果，对其提出合理化建议与改善方案。</w:t>
      </w:r>
    </w:p>
    <w:p>
      <w:pPr>
        <w:spacing w:line="360" w:lineRule="auto"/>
        <w:jc w:val="left"/>
        <w:outlineLvl w:val="0"/>
        <w:rPr>
          <w:rFonts w:ascii="幼圆" w:eastAsia="幼圆" w:hAnsi="幼圆" w:cs="幼圆" w:hint="eastAsia"/>
          <w:b/>
          <w:sz w:val="30"/>
          <w:szCs w:val="30"/>
          <w:highlight w:val="none"/>
        </w:rPr>
      </w:pPr>
      <w:bookmarkStart w:id="3" w:name="_Toc71023514"/>
      <w:bookmarkStart w:id="4" w:name="_Toc15584"/>
      <w:r>
        <w:rPr>
          <w:rFonts w:ascii="幼圆" w:eastAsia="幼圆" w:hAnsi="幼圆" w:cs="幼圆" w:hint="eastAsia"/>
          <w:b/>
          <w:sz w:val="30"/>
          <w:szCs w:val="30"/>
          <w:highlight w:val="none"/>
        </w:rPr>
        <w:t>一、</w:t>
      </w:r>
      <w:r>
        <w:rPr>
          <w:rFonts w:ascii="幼圆" w:eastAsia="幼圆" w:hAnsi="幼圆" w:cs="幼圆" w:hint="eastAsia"/>
          <w:b/>
          <w:sz w:val="30"/>
          <w:szCs w:val="30"/>
          <w:highlight w:val="none"/>
          <w:lang w:eastAsia="zh-CN"/>
        </w:rPr>
        <w:t>合肥长虹美菱</w:t>
      </w:r>
      <w:r>
        <w:rPr>
          <w:rFonts w:ascii="幼圆" w:eastAsia="幼圆" w:hAnsi="幼圆" w:cs="幼圆" w:hint="eastAsia"/>
          <w:b/>
          <w:sz w:val="30"/>
          <w:szCs w:val="30"/>
          <w:highlight w:val="none"/>
        </w:rPr>
        <w:t>简介</w:t>
      </w:r>
      <w:bookmarkEnd w:id="3"/>
      <w:bookmarkEnd w:id="4"/>
    </w:p>
    <w:p>
      <w:pPr>
        <w:keepNext w:val="0"/>
        <w:keepLines w:val="0"/>
        <w:pageBreakBefore w:val="0"/>
        <w:widowControl w:val="0"/>
        <w:kinsoku/>
        <w:wordWrap/>
        <w:overflowPunct/>
        <w:topLinePunct w:val="0"/>
        <w:autoSpaceDE/>
        <w:autoSpaceDN/>
        <w:bidi w:val="0"/>
        <w:adjustRightInd w:val="0"/>
        <w:snapToGrid w:val="0"/>
        <w:spacing w:before="0" w:after="0" w:line="360" w:lineRule="auto"/>
        <w:ind w:firstLine="480" w:firstLineChars="200"/>
        <w:textAlignment w:val="auto"/>
        <w:outlineLvl w:val="9"/>
        <w:rPr>
          <w:rFonts w:ascii="宋体" w:hAnsi="宋体" w:cs="宋体" w:hint="eastAsia"/>
          <w:sz w:val="24"/>
        </w:rPr>
      </w:pPr>
      <w:r>
        <w:rPr>
          <w:rFonts w:ascii="幼圆" w:eastAsia="幼圆" w:hAnsi="幼圆" w:cs="幼圆" w:hint="eastAsia"/>
          <w:b w:val="0"/>
          <w:bCs w:val="0"/>
          <w:color w:val="000000"/>
          <w:sz w:val="24"/>
          <w:szCs w:val="24"/>
          <w:lang w:val="en-US" w:eastAsia="zh-CN"/>
        </w:rPr>
        <w:t>合肥长虹美菱公司是我国冰柜冰箱行业的代表性企业，深耕冰柜冰箱领域多年，合肥长虹美菱在曾经在2018-2020年三年连续获得我国</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国家冰柜冰箱企业荣誉金奖</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国家优质纳税企业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以及入围了华润排行榜排出的</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全球优质冰柜冰箱企业500强</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。合肥长虹美菱的发展是我国冰柜冰箱企业改革创新的缩影，因此能够在很大程度上代表着我国冰柜冰箱企业的发展状况。公司秉承</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实干创造未来</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的企业精神，坚持做出高品质产品，本着</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追求、质量、技术、精神</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8字宗旨，基于冰柜冰箱市场需求进行不断创新，使公司始终处于冰柜冰箱行业前沿，引领冰柜冰箱行业的发展。</w:t>
      </w:r>
    </w:p>
    <w:p>
      <w:pPr>
        <w:pStyle w:val="21"/>
        <w:rPr>
          <w:rFonts w:ascii="幼圆" w:eastAsia="幼圆" w:hAnsi="幼圆" w:cs="幼圆" w:hint="eastAsia"/>
          <w:sz w:val="24"/>
          <w:szCs w:val="24"/>
          <w:lang w:val="en-US" w:eastAsia="zh-CN"/>
        </w:rPr>
        <w:sectPr>
          <w:type w:val="nextPage"/>
          <w:pgSz w:w="11906" w:h="16838"/>
          <w:pgMar w:top="1440" w:right="1800" w:bottom="1440" w:left="1800" w:header="851" w:footer="992" w:gutter="0"/>
          <w:pgNumType w:start="2"/>
          <w:cols w:space="708"/>
          <w:titlePg w:val="0"/>
          <w:docGrid w:type="lines" w:linePitch="312" w:charSpace="0"/>
        </w:sectPr>
      </w:pPr>
    </w:p>
    <w:p>
      <w:pPr>
        <w:pStyle w:val="21"/>
        <w:ind w:left="0" w:firstLine="0" w:leftChars="0" w:firstLineChars="0"/>
        <w:rPr>
          <w:rFonts w:ascii="幼圆" w:eastAsia="幼圆" w:hAnsi="幼圆" w:cs="幼圆" w:hint="eastAsia"/>
          <w:sz w:val="24"/>
          <w:szCs w:val="24"/>
          <w:lang w:val="en-US" w:eastAsia="zh-CN"/>
        </w:rPr>
      </w:pPr>
      <w:r>
        <w:rPr>
          <w:rFonts w:ascii="幼圆" w:eastAsia="幼圆" w:hAnsi="幼圆" w:cs="幼圆" w:hint="eastAsia"/>
          <w:color w:val="auto"/>
          <w:sz w:val="24"/>
          <w:szCs w:val="24"/>
        </w:rPr>
        <w:pict>
          <v:group id="画布 83" o:spid="_x0000_i1025" editas="canvas" style="width:416.25pt;height:320.7pt" coordorigin="0,0" coordsize="5286375,4072890">
            <o:lock v:ext="edit" aspectratio="t"/>
            <o:diagram v:ext="edit" dgmstyle="0" dgmscalex="0" dgmscaley="0" reverse="f"/>
            <v:rect id="_x0000_s1026" editas="canvas" style="width:5286375;height:4072890;position:absolute;v-text-anchor:top" filled="f" stroked="f">
              <v:fill o:detectmouseclick="t"/>
              <v:shadow color="gray"/>
              <o:lock v:ext="edit" aspectratio="t"/>
              <o:diagram v:ext="edit" dgmstyle="0" dgmscalex="0" dgmscaley="0" reverse="f"/>
            </v:rect>
            <v:rect id="矩形 13" o:spid="_x0000_s1027" style="width:587375;height:297180;left:2461260;position:absolute;top:99060;v-text-anchor:top" filled="t" fillcolor="white" stroked="t">
              <v:fill color2="white"/>
              <v:stroke joinstyle="miter"/>
              <v:shadow color="gray"/>
              <o:lock v:ext="edit" aspectratio="f"/>
              <v:textbox style="layout-flow:horizontal">
                <w:txbxContent>
                  <w:p>
                    <w:pPr>
                      <w:ind w:firstLine="0" w:firstLineChars="0"/>
                      <w:rPr>
                        <w:sz w:val="18"/>
                        <w:szCs w:val="18"/>
                      </w:rPr>
                    </w:pPr>
                    <w:r>
                      <w:rPr>
                        <w:rFonts w:hint="eastAsia"/>
                        <w:sz w:val="18"/>
                        <w:szCs w:val="18"/>
                      </w:rPr>
                      <w:t>董事会</w:t>
                    </w:r>
                  </w:p>
                </w:txbxContent>
              </v:textbox>
            </v:rect>
            <v:line id="直接连接符 14" o:spid="_x0000_s1028" style="position:absolute" from="2743200,396240" to="2743835,594360" stroked="t">
              <v:fill o:detectmouseclick="t"/>
              <v:stroke joinstyle="round"/>
              <v:shadow color="gray"/>
              <o:lock v:ext="edit" aspectratio="f"/>
            </v:line>
            <v:rect id="矩形 15" o:spid="_x0000_s1029" style="width:587375;height:294640;left:2461260;position:absolute;top:594360;v-text-anchor:top" filled="t" fillcolor="white" stroked="t">
              <v:fill color2="white"/>
              <v:stroke joinstyle="miter"/>
              <v:shadow color="gray"/>
              <o:lock v:ext="edit" aspectratio="f"/>
              <v:textbox style="layout-flow:horizontal">
                <w:txbxContent>
                  <w:p>
                    <w:pPr>
                      <w:ind w:firstLine="0" w:firstLineChars="0"/>
                      <w:rPr>
                        <w:sz w:val="18"/>
                        <w:szCs w:val="18"/>
                      </w:rPr>
                    </w:pPr>
                    <w:r>
                      <w:rPr>
                        <w:rFonts w:hint="eastAsia"/>
                        <w:sz w:val="18"/>
                        <w:szCs w:val="18"/>
                      </w:rPr>
                      <w:t>总经理</w:t>
                    </w:r>
                  </w:p>
                </w:txbxContent>
              </v:textbox>
            </v:rect>
            <v:line id="直接连接符 16" o:spid="_x0000_s1030" style="position:absolute" from="2743200,495300" to="3886200,495935" stroked="t">
              <v:fill o:detectmouseclick="t"/>
              <v:stroke joinstyle="round"/>
              <v:shadow color="gray"/>
              <o:lock v:ext="edit" aspectratio="f"/>
            </v:line>
            <v:rect id="矩形 17" o:spid="_x0000_s1031" style="width:585470;height:297180;left:3886200;position:absolute;top:396240;v-text-anchor:top" filled="t" fillcolor="white" stroked="t">
              <v:fill color2="white"/>
              <v:stroke joinstyle="miter"/>
              <v:shadow color="gray"/>
              <o:lock v:ext="edit" aspectratio="f"/>
              <v:textbox style="layout-flow:horizontal">
                <w:txbxContent>
                  <w:p>
                    <w:pPr>
                      <w:ind w:firstLine="0" w:firstLineChars="0"/>
                      <w:rPr>
                        <w:sz w:val="18"/>
                        <w:szCs w:val="18"/>
                      </w:rPr>
                    </w:pPr>
                    <w:r>
                      <w:rPr>
                        <w:rFonts w:hint="eastAsia"/>
                        <w:sz w:val="18"/>
                        <w:szCs w:val="18"/>
                      </w:rPr>
                      <w:t>监事会</w:t>
                    </w:r>
                  </w:p>
                </w:txbxContent>
              </v:textbox>
            </v:rect>
            <v:line id="直接连接符 18" o:spid="_x0000_s1032" style="position:absolute" from="2743200,891540" to="2743835,990600" stroked="t">
              <v:fill o:detectmouseclick="t"/>
              <v:stroke joinstyle="round"/>
              <v:shadow color="gray"/>
              <o:lock v:ext="edit" aspectratio="f"/>
            </v:line>
            <v:line id="直接连接符 19" o:spid="_x0000_s1033" style="flip:y;position:absolute" from="685800,990600" to="4800600,991235" stroked="t">
              <v:fill o:detectmouseclick="t"/>
              <v:stroke joinstyle="round"/>
              <v:shadow color="gray"/>
              <o:lock v:ext="edit" aspectratio="f"/>
            </v:line>
            <v:line id="直接连接符 20" o:spid="_x0000_s1034" style="flip:x;position:absolute" from="685800,990600" to="686435,1287780" stroked="t">
              <v:fill o:detectmouseclick="t"/>
              <v:stroke joinstyle="round"/>
              <v:shadow color="gray"/>
              <o:lock v:ext="edit" aspectratio="f"/>
            </v:line>
            <v:line id="直接连接符 21" o:spid="_x0000_s1035" style="flip:x;position:absolute" from="1943100,990600" to="1943735,1287780" stroked="t">
              <v:fill o:detectmouseclick="t"/>
              <v:stroke joinstyle="round"/>
              <v:shadow color="gray"/>
              <o:lock v:ext="edit" aspectratio="f"/>
            </v:line>
            <v:rect id="矩形 22" o:spid="_x0000_s1036" style="width:685800;height:289560;left:16002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运营总监</w:t>
                    </w:r>
                  </w:p>
                </w:txbxContent>
              </v:textbox>
            </v:rect>
            <v:rect id="矩形 11" o:spid="_x0000_s1037" style="width:685800;height:289560;left:36576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财务总监</w:t>
                    </w:r>
                  </w:p>
                </w:txbxContent>
              </v:textbox>
            </v:rect>
            <v:rect id="矩形 23" o:spid="_x0000_s1038" style="width:685800;height:297180;left:44577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行政总监</w:t>
                    </w:r>
                  </w:p>
                </w:txbxContent>
              </v:textbox>
            </v:rect>
            <v:rect id="矩形 24" o:spid="_x0000_s1039" style="width:685800;height:289560;left:3429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市场总监</w:t>
                    </w:r>
                  </w:p>
                </w:txbxContent>
              </v:textbox>
            </v:rect>
            <v:line id="直接连接符 25" o:spid="_x0000_s1040" style="flip:y;position:absolute" from="342900,1684020" to="1028700,1684655" stroked="t">
              <v:fill o:detectmouseclick="t"/>
              <v:stroke joinstyle="round"/>
              <v:shadow color="gray"/>
              <o:lock v:ext="edit" aspectratio="f"/>
            </v:line>
            <v:line id="直接连接符 26" o:spid="_x0000_s1041" style="position:absolute" from="343534,1684020" to="344169,1882140" stroked="t">
              <v:fill o:detectmouseclick="t"/>
              <v:stroke joinstyle="round"/>
              <v:shadow color="gray"/>
              <o:lock v:ext="edit" aspectratio="f"/>
            </v:line>
            <v:rect id="矩形 27" o:spid="_x0000_s1042" style="width:228600;height:693420;left:2286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投标部</w:t>
                    </w:r>
                  </w:p>
                </w:txbxContent>
              </v:textbox>
            </v:rect>
            <v:line id="直接连接符 28" o:spid="_x0000_s1043" style="flip:x;position:absolute" from="685800,1584960" to="686435,1882140" stroked="t">
              <v:fill o:detectmouseclick="t"/>
              <v:stroke joinstyle="round"/>
              <v:shadow color="gray"/>
              <o:lock v:ext="edit" aspectratio="f"/>
            </v:line>
            <v:rect id="矩形 29" o:spid="_x0000_s1044" style="width:228600;height:693420;left:5715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招标部</w:t>
                    </w:r>
                  </w:p>
                </w:txbxContent>
              </v:textbox>
            </v:rect>
            <v:line id="直接连接符 30" o:spid="_x0000_s1045" style="flip:x;position:absolute" from="1028700,1684020" to="1029970,1882140" stroked="t">
              <v:fill o:detectmouseclick="t"/>
              <v:stroke joinstyle="round"/>
              <v:shadow color="gray"/>
              <o:lock v:ext="edit" aspectratio="f"/>
            </v:line>
            <v:rect id="矩形 31" o:spid="_x0000_s1046" style="width:228600;height:693420;left:9144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信息部</w:t>
                    </w:r>
                  </w:p>
                </w:txbxContent>
              </v:textbox>
            </v:rect>
            <v:line id="直接连接符 32" o:spid="_x0000_s1047" style="position:absolute" from="1371600,1684020" to="2514600,1684655" stroked="t">
              <v:fill o:detectmouseclick="t"/>
              <v:stroke joinstyle="round"/>
              <v:shadow color="gray"/>
              <o:lock v:ext="edit" aspectratio="f"/>
            </v:line>
            <v:line id="直接连接符 33" o:spid="_x0000_s1048" style="flip:x;position:absolute" from="1371600,1684020" to="1372235,1882140" stroked="t">
              <v:fill o:detectmouseclick="t"/>
              <v:stroke joinstyle="round"/>
              <v:shadow color="gray"/>
              <o:lock v:ext="edit" aspectratio="f"/>
            </v:line>
            <v:line id="直接连接符 34" o:spid="_x0000_s1049" style="position:absolute" from="2171700,1684020" to="2172335,1882140" stroked="t">
              <v:fill o:detectmouseclick="t"/>
              <v:stroke joinstyle="round"/>
              <v:shadow color="gray"/>
              <o:lock v:ext="edit" aspectratio="f"/>
            </v:line>
            <v:line id="直接连接符 35" o:spid="_x0000_s1050" style="position:absolute" from="2514600,1684020" to="2515235,1882140" stroked="t">
              <v:fill o:detectmouseclick="t"/>
              <v:stroke joinstyle="round"/>
              <v:shadow color="gray"/>
              <o:lock v:ext="edit" aspectratio="f"/>
            </v:line>
            <v:rect id="矩形 36" o:spid="_x0000_s1051" style="width:228600;height:693420;left:12573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lang w:eastAsia="zh-CN"/>
                      </w:rPr>
                      <w:t>生产部</w:t>
                    </w:r>
                  </w:p>
                </w:txbxContent>
              </v:textbox>
            </v:rect>
            <v:rect id="矩形 37" o:spid="_x0000_s1052" style="width:228600;height:693420;left:20574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销售管</w:t>
                    </w:r>
                  </w:p>
                </w:txbxContent>
              </v:textbox>
            </v:rect>
            <v:rect id="矩形 38" o:spid="_x0000_s1053" style="width:228600;height:693420;left:24003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企划部</w:t>
                    </w:r>
                  </w:p>
                </w:txbxContent>
              </v:textbox>
            </v:rect>
            <v:line id="直接连接符 39" o:spid="_x0000_s1054" style="flip:x;position:absolute" from="4000500,1584960" to="4001135,1684020" stroked="t">
              <v:fill o:detectmouseclick="t"/>
              <v:stroke joinstyle="round"/>
              <v:shadow color="gray"/>
              <o:lock v:ext="edit" aspectratio="f"/>
            </v:line>
            <v:line id="直接连接符 40" o:spid="_x0000_s1055" style="flip:y;position:absolute" from="3771900,1684020" to="4229100,1684655" stroked="t">
              <v:fill o:detectmouseclick="t"/>
              <v:stroke joinstyle="round"/>
              <v:shadow color="gray"/>
              <o:lock v:ext="edit" aspectratio="f"/>
            </v:line>
            <v:line id="直接连接符 41" o:spid="_x0000_s1056" style="flip:x;position:absolute" from="3771900,1684020" to="3772535,1882140" stroked="t">
              <v:fill o:detectmouseclick="t"/>
              <v:stroke joinstyle="round"/>
              <v:shadow color="gray"/>
              <o:lock v:ext="edit" aspectratio="f"/>
            </v:line>
            <v:rect id="矩形 42" o:spid="_x0000_s1057" style="width:228600;height:693420;left:36576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财务部</w:t>
                    </w:r>
                  </w:p>
                </w:txbxContent>
              </v:textbox>
            </v:rect>
            <v:line id="直接连接符 43" o:spid="_x0000_s1058" style="flip:x;position:absolute" from="4229100,1684020" to="4229735,1882140" stroked="t">
              <v:fill o:detectmouseclick="t"/>
              <v:stroke joinstyle="round"/>
              <v:shadow color="gray"/>
              <o:lock v:ext="edit" aspectratio="f"/>
            </v:line>
            <v:rect id="矩形 44" o:spid="_x0000_s1059" style="width:228600;height:693420;left:41148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审计部</w:t>
                    </w:r>
                  </w:p>
                </w:txbxContent>
              </v:textbox>
            </v:rect>
            <v:line id="直接连接符 45" o:spid="_x0000_s1060" style="position:absolute" from="4800600,1584960" to="4801235,1684020" stroked="t">
              <v:fill o:detectmouseclick="t"/>
              <v:stroke joinstyle="round"/>
              <v:shadow color="gray"/>
              <o:lock v:ext="edit" aspectratio="f"/>
            </v:line>
            <v:line id="直接连接符 46" o:spid="_x0000_s1061" style="position:absolute" from="4572000,1684020" to="5029200,1684655" stroked="t">
              <v:fill o:detectmouseclick="t"/>
              <v:stroke joinstyle="round"/>
              <v:shadow color="gray"/>
              <o:lock v:ext="edit" aspectratio="f"/>
            </v:line>
            <v:line id="直接连接符 47" o:spid="_x0000_s1062" style="position:absolute" from="4572000,1684020" to="4572635,1882140" stroked="t">
              <v:fill o:detectmouseclick="t"/>
              <v:stroke joinstyle="round"/>
              <v:shadow color="gray"/>
              <o:lock v:ext="edit" aspectratio="f"/>
            </v:line>
            <v:line id="直接连接符 48" o:spid="_x0000_s1063" style="position:absolute" from="5029200,1684020" to="5029835,1882140" stroked="t">
              <v:fill o:detectmouseclick="t"/>
              <v:stroke joinstyle="round"/>
              <v:shadow color="gray"/>
              <o:lock v:ext="edit" aspectratio="f"/>
            </v:line>
            <v:rect id="矩形 49" o:spid="_x0000_s1064" style="width:228600;height:693420;left:44577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人力资源部</w:t>
                    </w:r>
                  </w:p>
                </w:txbxContent>
              </v:textbox>
            </v:rect>
            <v:rect id="矩形 50" o:spid="_x0000_s1065" style="width:228600;height:693420;left:49149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行政办公室</w:t>
                    </w:r>
                  </w:p>
                </w:txbxContent>
              </v:textbox>
            </v:rect>
            <v:line id="直接连接符 51" o:spid="_x0000_s1066" style="position:absolute" from="1943100,1584960" to="1943735,2773680" stroked="t">
              <v:fill o:detectmouseclick="t"/>
              <v:stroke joinstyle="round"/>
              <v:shadow color="gray"/>
              <o:lock v:ext="edit" aspectratio="f"/>
            </v:line>
            <v:rect id="矩形 52" o:spid="_x0000_s1067" style="width:228600;height:891540;left:11430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销售分公司一</w:t>
                    </w:r>
                  </w:p>
                </w:txbxContent>
              </v:textbox>
            </v:rect>
            <v:rect id="矩形 53" o:spid="_x0000_s1068" style="width:228600;height:891540;left:20574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销售分公司三</w:t>
                    </w:r>
                  </w:p>
                </w:txbxContent>
              </v:textbox>
            </v:rect>
            <v:rect id="矩形 54" o:spid="_x0000_s1069" style="width:228600;height:891540;left:16002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销售分公司二</w:t>
                    </w:r>
                  </w:p>
                </w:txbxContent>
              </v:textbox>
            </v:rect>
            <v:line id="直接连接符 55" o:spid="_x0000_s1070" style="position:absolute" from="1257300,2773680" to="2628900,2774315" stroked="t">
              <v:fill o:detectmouseclick="t"/>
              <v:stroke joinstyle="round"/>
              <v:shadow color="gray"/>
              <o:lock v:ext="edit" aspectratio="f"/>
            </v:line>
            <v:line id="直接连接符 56" o:spid="_x0000_s1071" style="position:absolute" from="1257300,2773680" to="1257935,2971800" stroked="t">
              <v:fill o:detectmouseclick="t"/>
              <v:stroke joinstyle="round"/>
              <v:shadow color="gray"/>
              <o:lock v:ext="edit" aspectratio="f"/>
            </v:line>
            <v:line id="直接连接符 57" o:spid="_x0000_s1072" style="flip:x;position:absolute" from="2171700,2773680" to="2172335,2971800" stroked="t">
              <v:fill o:detectmouseclick="t"/>
              <v:stroke joinstyle="round"/>
              <v:shadow color="gray"/>
              <o:lock v:ext="edit" aspectratio="f"/>
            </v:line>
            <v:line id="直接连接符 58" o:spid="_x0000_s1073" style="position:absolute" from="1714500,2773680" to="1715135,2971800" stroked="t">
              <v:fill o:detectmouseclick="t"/>
              <v:stroke joinstyle="round"/>
              <v:shadow color="gray"/>
              <o:lock v:ext="edit" aspectratio="f"/>
            </v:line>
            <v:line id="直接连接符 59" o:spid="_x0000_s1074" style="flip:x;position:absolute" from="2628900,2773680" to="2629535,2971800" stroked="t">
              <v:fill o:detectmouseclick="t"/>
              <v:stroke joinstyle="round"/>
              <v:shadow color="gray"/>
              <o:lock v:ext="edit" aspectratio="f"/>
            </v:line>
            <v:rect id="矩形 60" o:spid="_x0000_s1075" style="width:228600;height:891540;left:25146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销售分公司四</w:t>
                    </w:r>
                  </w:p>
                </w:txbxContent>
              </v:textbox>
            </v:rect>
            <v:line id="直接连接符 61" o:spid="_x0000_s1076" style="position:absolute" from="1714500,1684020" to="1715135,1882140" stroked="t">
              <v:fill o:detectmouseclick="t"/>
              <v:stroke joinstyle="round"/>
              <v:shadow color="gray"/>
              <o:lock v:ext="edit" aspectratio="f"/>
            </v:line>
            <v:rect id="矩形 62" o:spid="_x0000_s1077" style="width:228600;height:693420;left:16002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采购部</w:t>
                    </w:r>
                  </w:p>
                </w:txbxContent>
              </v:textbox>
            </v:rect>
            <v:line id="直接连接符 63" o:spid="_x0000_s1078" style="position:absolute" from="3086100,990600" to="3086735,1287780" stroked="t">
              <v:fill o:detectmouseclick="t"/>
              <v:stroke joinstyle="round"/>
              <v:shadow color="gray"/>
              <o:lock v:ext="edit" aspectratio="f"/>
            </v:line>
            <v:rect id="矩形 64" o:spid="_x0000_s1079" style="width:685800;height:289560;left:27432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技术总监</w:t>
                    </w:r>
                  </w:p>
                </w:txbxContent>
              </v:textbox>
            </v:rect>
            <v:line id="直接连接符 65" o:spid="_x0000_s1080" style="position:absolute" from="3086100,1584960" to="3086735,1684020" stroked="t">
              <v:fill o:detectmouseclick="t"/>
              <v:stroke joinstyle="round"/>
              <v:shadow color="gray"/>
              <o:lock v:ext="edit" aspectratio="f"/>
            </v:line>
            <v:line id="直接连接符 66" o:spid="_x0000_s1081" style="position:absolute" from="2857500,1684020" to="3314700,1684655" stroked="t">
              <v:fill o:detectmouseclick="t"/>
              <v:stroke joinstyle="round"/>
              <v:shadow color="gray"/>
              <o:lock v:ext="edit" aspectratio="f"/>
            </v:line>
            <v:line id="直接连接符 67" o:spid="_x0000_s1082" style="position:absolute" from="2857500,1684020" to="2858135,1882140" stroked="t">
              <v:fill o:detectmouseclick="t"/>
              <v:stroke joinstyle="round"/>
              <v:shadow color="gray"/>
              <o:lock v:ext="edit" aspectratio="f"/>
            </v:line>
            <v:rect id="矩形 68" o:spid="_x0000_s1083" style="width:228600;height:693420;left:2743200;position:absolute;top:1882140;v-text-anchor:top" filled="t" fillcolor="white" stroked="t">
              <v:fill color2="white"/>
              <v:stroke joinstyle="miter"/>
              <v:shadow color="gray"/>
              <o:lock v:ext="edit" aspectratio="f"/>
              <v:textbox style="layout-flow:vertical-ideographic" inset="0,,0">
                <w:txbxContent>
                  <w:p>
                    <w:pPr>
                      <w:jc w:val="both"/>
                      <w:rPr>
                        <w:rFonts w:hint="eastAsia"/>
                        <w:sz w:val="18"/>
                        <w:szCs w:val="18"/>
                      </w:rPr>
                    </w:pPr>
                    <w:r>
                      <w:rPr>
                        <w:rFonts w:hint="eastAsia"/>
                        <w:sz w:val="18"/>
                        <w:szCs w:val="18"/>
                      </w:rPr>
                      <w:t>技术</w:t>
                    </w:r>
                    <w:r>
                      <w:rPr>
                        <w:rFonts w:hint="eastAsia"/>
                        <w:sz w:val="18"/>
                        <w:szCs w:val="18"/>
                        <w:lang w:eastAsia="zh-CN"/>
                      </w:rPr>
                      <w:t>部</w:t>
                    </w:r>
                  </w:p>
                </w:txbxContent>
              </v:textbox>
            </v:rect>
            <v:line id="直接连接符 69" o:spid="_x0000_s1084" style="flip:x;position:absolute" from="3314700,1684020" to="3315335,1882140" stroked="t">
              <v:fill o:detectmouseclick="t"/>
              <v:stroke joinstyle="round"/>
              <v:shadow color="gray"/>
              <o:lock v:ext="edit" aspectratio="f"/>
            </v:line>
            <v:rect id="矩形 70" o:spid="_x0000_s1085" style="width:228600;height:693420;left:32004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客户服</w:t>
                    </w:r>
                  </w:p>
                </w:txbxContent>
              </v:textbox>
            </v:rect>
            <v:rect id="矩形 71" o:spid="_x0000_s1086" style="width:228600;height:891540;left:29718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财务科一</w:t>
                    </w:r>
                  </w:p>
                </w:txbxContent>
              </v:textbox>
            </v:rect>
            <v:rect id="矩形 72" o:spid="_x0000_s1087" style="width:228600;height:891540;left:34290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财务科二</w:t>
                    </w:r>
                  </w:p>
                </w:txbxContent>
              </v:textbox>
            </v:rect>
            <v:rect id="矩形 73" o:spid="_x0000_s1088" style="width:228600;height:891540;left:38862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财务科三</w:t>
                    </w:r>
                  </w:p>
                </w:txbxContent>
              </v:textbox>
            </v:rect>
            <v:rect id="矩形 74" o:spid="_x0000_s1089" style="width:228600;height:891540;left:43434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财务科四</w:t>
                    </w:r>
                  </w:p>
                </w:txbxContent>
              </v:textbox>
            </v:rect>
            <v:line id="直接连接符 75" o:spid="_x0000_s1090" style="flip:y;position:absolute" from="4800600,990600" to="4800600,1287780" stroked="t">
              <v:fill o:detectmouseclick="t"/>
              <v:stroke joinstyle="round"/>
              <v:shadow color="gray"/>
              <o:lock v:ext="edit" aspectratio="f"/>
            </v:line>
            <v:line id="直接连接符 76" o:spid="_x0000_s1091" style="flip:y;position:absolute" from="4000500,990600" to="4000500,1287780" stroked="t">
              <v:fill o:detectmouseclick="t"/>
              <v:stroke joinstyle="round"/>
              <v:shadow color="gray"/>
              <o:lock v:ext="edit" aspectratio="f"/>
            </v:line>
            <v:line id="直接连接符 77" o:spid="_x0000_s1092" style="position:absolute" from="3086100,2773680" to="4457700,2774315" stroked="t">
              <v:fill o:detectmouseclick="t"/>
              <v:stroke joinstyle="round"/>
              <v:shadow color="gray"/>
              <o:lock v:ext="edit" aspectratio="f"/>
            </v:line>
            <v:line id="直接连接符 78" o:spid="_x0000_s1093" style="position:absolute" from="3086100,2773680" to="3086735,2971800" stroked="t">
              <v:fill o:detectmouseclick="t"/>
              <v:stroke joinstyle="round"/>
              <v:shadow color="gray"/>
              <o:lock v:ext="edit" aspectratio="f"/>
            </v:line>
            <v:line id="直接连接符 79" o:spid="_x0000_s1094" style="flip:x;position:absolute" from="4000500,2773680" to="4001135,2971800" stroked="t">
              <v:fill o:detectmouseclick="t"/>
              <v:stroke joinstyle="round"/>
              <v:shadow color="gray"/>
              <o:lock v:ext="edit" aspectratio="f"/>
            </v:line>
            <v:line id="直接连接符 80" o:spid="_x0000_s1095" style="position:absolute" from="3543300,2773680" to="3543935,2971800" stroked="t">
              <v:fill o:detectmouseclick="t"/>
              <v:stroke joinstyle="round"/>
              <v:shadow color="gray"/>
              <o:lock v:ext="edit" aspectratio="f"/>
            </v:line>
            <v:line id="直接连接符 81" o:spid="_x0000_s1096" style="flip:x;position:absolute" from="4457700,2773680" to="4458335,2971800" stroked="t">
              <v:fill o:detectmouseclick="t"/>
              <v:stroke joinstyle="round"/>
              <v:shadow color="gray"/>
              <o:lock v:ext="edit" aspectratio="f"/>
            </v:line>
            <v:line id="直接连接符 82" o:spid="_x0000_s1097" style="position:absolute" from="3771900,2575560" to="3772535,2773680" stroked="t">
              <v:fill o:detectmouseclick="t"/>
              <v:stroke joinstyle="round"/>
              <v:shadow color="gray"/>
              <o:lock v:ext="edit" aspectratio="f"/>
            </v:line>
            <w10:anchorlock/>
          </v:group>
        </w:pict>
      </w:r>
    </w:p>
    <w:p>
      <w:pPr>
        <w:spacing w:line="360" w:lineRule="auto"/>
        <w:jc w:val="center"/>
        <w:outlineLvl w:val="0"/>
        <w:rPr>
          <w:rFonts w:ascii="幼圆" w:eastAsia="幼圆" w:hAnsi="幼圆" w:cs="幼圆" w:hint="eastAsia"/>
          <w:b/>
          <w:sz w:val="30"/>
          <w:szCs w:val="30"/>
          <w:highlight w:val="none"/>
        </w:rPr>
      </w:pPr>
      <w:r>
        <w:rPr>
          <w:rFonts w:ascii="幼圆" w:eastAsia="幼圆" w:hAnsi="幼圆" w:cs="幼圆" w:hint="eastAsia"/>
          <w:b w:val="0"/>
          <w:bCs w:val="0"/>
          <w:color w:val="000000"/>
          <w:sz w:val="21"/>
          <w:szCs w:val="21"/>
          <w:lang w:val="en-US" w:eastAsia="zh-CN"/>
        </w:rPr>
        <w:t>图1 合肥长虹美菱公司组织结构</w:t>
      </w:r>
    </w:p>
    <w:p>
      <w:pPr>
        <w:spacing w:line="360" w:lineRule="auto"/>
        <w:jc w:val="left"/>
        <w:outlineLvl w:val="0"/>
        <w:rPr>
          <w:rFonts w:ascii="幼圆" w:eastAsia="幼圆" w:hAnsi="幼圆" w:cs="幼圆" w:hint="eastAsia"/>
          <w:b/>
          <w:sz w:val="30"/>
          <w:szCs w:val="30"/>
          <w:highlight w:val="none"/>
        </w:rPr>
      </w:pPr>
      <w:bookmarkStart w:id="5" w:name="_Toc30966"/>
      <w:bookmarkStart w:id="6" w:name="_Toc12913"/>
      <w:bookmarkStart w:id="7" w:name="_Toc18721"/>
      <w:bookmarkStart w:id="8" w:name="_Toc7578"/>
      <w:bookmarkStart w:id="9" w:name="_Toc29061"/>
      <w:bookmarkStart w:id="10" w:name="_Toc5844"/>
      <w:bookmarkStart w:id="11" w:name="_Toc71023517"/>
      <w:bookmarkStart w:id="12" w:name="_Toc30472"/>
      <w:r>
        <w:rPr>
          <w:rFonts w:ascii="幼圆" w:eastAsia="幼圆" w:hAnsi="幼圆" w:cs="幼圆" w:hint="eastAsia"/>
          <w:b/>
          <w:sz w:val="30"/>
          <w:szCs w:val="30"/>
          <w:highlight w:val="none"/>
        </w:rPr>
        <w:t>二</w:t>
      </w:r>
      <w:bookmarkEnd w:id="5"/>
      <w:bookmarkEnd w:id="6"/>
      <w:bookmarkEnd w:id="7"/>
      <w:bookmarkEnd w:id="8"/>
      <w:bookmarkEnd w:id="9"/>
      <w:bookmarkEnd w:id="10"/>
      <w:r>
        <w:rPr>
          <w:rFonts w:ascii="幼圆" w:eastAsia="幼圆" w:hAnsi="幼圆" w:cs="幼圆" w:hint="eastAsia"/>
          <w:b/>
          <w:sz w:val="30"/>
          <w:szCs w:val="30"/>
          <w:highlight w:val="none"/>
        </w:rPr>
        <w:t>、</w:t>
      </w:r>
      <w:r>
        <w:rPr>
          <w:rFonts w:ascii="幼圆" w:eastAsia="幼圆" w:hAnsi="幼圆" w:cs="幼圆" w:hint="eastAsia"/>
          <w:b/>
          <w:sz w:val="30"/>
          <w:szCs w:val="30"/>
          <w:highlight w:val="none"/>
          <w:lang w:eastAsia="zh-CN"/>
        </w:rPr>
        <w:t>合肥长虹美菱</w:t>
      </w:r>
      <w:r>
        <w:rPr>
          <w:rFonts w:ascii="幼圆" w:eastAsia="幼圆" w:hAnsi="幼圆" w:cs="幼圆" w:hint="eastAsia"/>
          <w:b/>
          <w:sz w:val="30"/>
          <w:szCs w:val="30"/>
          <w:highlight w:val="none"/>
        </w:rPr>
        <w:t>偿债能力分析</w:t>
      </w:r>
      <w:bookmarkEnd w:id="11"/>
      <w:bookmarkEnd w:id="12"/>
    </w:p>
    <w:p>
      <w:pPr>
        <w:spacing w:line="360" w:lineRule="auto"/>
        <w:ind w:firstLine="480" w:firstLineChars="200"/>
        <w:jc w:val="both"/>
        <w:rPr>
          <w:rFonts w:ascii="幼圆" w:eastAsia="幼圆" w:hAnsi="幼圆" w:cs="幼圆" w:hint="eastAsia"/>
          <w:sz w:val="24"/>
          <w:highlight w:val="none"/>
        </w:rPr>
      </w:pPr>
      <w:r>
        <w:rPr>
          <w:rFonts w:ascii="幼圆" w:eastAsia="幼圆" w:hAnsi="幼圆" w:cs="幼圆" w:hint="eastAsia"/>
          <w:sz w:val="24"/>
          <w:highlight w:val="none"/>
          <w:lang w:eastAsia="zh-CN"/>
        </w:rPr>
        <w:t>冰柜冰箱</w:t>
      </w:r>
      <w:r>
        <w:rPr>
          <w:rFonts w:ascii="幼圆" w:eastAsia="幼圆" w:hAnsi="幼圆" w:cs="幼圆" w:hint="eastAsia"/>
          <w:sz w:val="24"/>
          <w:highlight w:val="none"/>
        </w:rPr>
        <w:t>企业偿债能力分析主要是以资产负债表分析为主，包括短期偿债能力和长期偿债能力分析</w:t>
      </w:r>
      <w:r>
        <w:rPr>
          <w:rFonts w:ascii="幼圆" w:eastAsia="幼圆" w:hAnsi="幼圆" w:cs="幼圆" w:hint="eastAsia"/>
          <w:kern w:val="0"/>
          <w:sz w:val="24"/>
          <w:highlight w:val="none"/>
          <w:lang w:eastAsia="zh-CN"/>
        </w:rPr>
        <w:t>（</w:t>
      </w:r>
      <w:r>
        <w:rPr>
          <w:rFonts w:ascii="幼圆" w:eastAsia="幼圆" w:hAnsi="幼圆" w:cs="幼圆" w:hint="eastAsia"/>
          <w:kern w:val="0"/>
          <w:sz w:val="24"/>
          <w:highlight w:val="none"/>
          <w:lang w:val="en-US" w:eastAsia="zh-CN"/>
        </w:rPr>
        <w:t>王梦瑶 ,刘宇航,2021</w:t>
      </w:r>
      <w:r>
        <w:rPr>
          <w:rFonts w:ascii="幼圆" w:eastAsia="幼圆" w:hAnsi="幼圆" w:cs="幼圆" w:hint="eastAsia"/>
          <w:kern w:val="0"/>
          <w:sz w:val="24"/>
          <w:highlight w:val="none"/>
          <w:lang w:eastAsia="zh-CN"/>
        </w:rPr>
        <w:t>）</w:t>
      </w:r>
      <w:r>
        <w:rPr>
          <w:rFonts w:ascii="幼圆" w:eastAsia="幼圆" w:hAnsi="幼圆" w:cs="幼圆" w:hint="eastAsia"/>
          <w:sz w:val="24"/>
          <w:highlight w:val="none"/>
        </w:rPr>
        <w:t>。</w:t>
      </w:r>
      <w:r>
        <w:rPr>
          <w:rFonts w:ascii="幼圆" w:eastAsia="幼圆" w:hAnsi="幼圆" w:cs="幼圆" w:hint="eastAsia"/>
          <w:sz w:val="24"/>
          <w:highlight w:val="none"/>
          <w:vertAlign w:val="superscript"/>
        </w:rPr>
        <w:t>[2]</w:t>
      </w:r>
      <w:r>
        <w:rPr>
          <w:rFonts w:ascii="幼圆" w:eastAsia="幼圆" w:hAnsi="幼圆" w:cs="幼圆" w:hint="eastAsia"/>
          <w:sz w:val="24"/>
          <w:highlight w:val="none"/>
        </w:rPr>
        <w:t>细分为：一是短期偿债能力指标，如流动比率、速动比率等；二是长期偿债能力指标，如资产负债率、利息保障倍数等。</w:t>
      </w:r>
      <w:r>
        <w:rPr>
          <w:rFonts w:ascii="幼圆" w:eastAsia="幼圆" w:hAnsi="幼圆" w:cs="幼圆" w:hint="eastAsia"/>
          <w:sz w:val="24"/>
          <w:highlight w:val="none"/>
          <w:vertAlign w:val="superscript"/>
        </w:rPr>
        <w:t xml:space="preserve">[1] </w:t>
      </w:r>
      <w:r>
        <w:rPr>
          <w:rFonts w:ascii="幼圆" w:eastAsia="幼圆" w:hAnsi="幼圆" w:cs="幼圆" w:hint="eastAsia"/>
          <w:sz w:val="24"/>
          <w:highlight w:val="none"/>
        </w:rPr>
        <w:t>文章主要经过这两类指标计算，来分析</w:t>
      </w:r>
      <w:r>
        <w:rPr>
          <w:rFonts w:ascii="幼圆" w:eastAsia="幼圆" w:hAnsi="幼圆" w:cs="幼圆" w:hint="eastAsia"/>
          <w:sz w:val="24"/>
          <w:highlight w:val="none"/>
          <w:lang w:eastAsia="zh-CN"/>
        </w:rPr>
        <w:t>合肥长虹美菱</w:t>
      </w:r>
      <w:r>
        <w:rPr>
          <w:rFonts w:ascii="幼圆" w:eastAsia="幼圆" w:hAnsi="幼圆" w:cs="幼圆" w:hint="eastAsia"/>
          <w:sz w:val="24"/>
          <w:highlight w:val="none"/>
        </w:rPr>
        <w:t>在日常经营活动中偿债能力以及相应的对策与今后发展规划</w:t>
      </w:r>
      <w:r>
        <w:rPr>
          <w:rFonts w:ascii="幼圆" w:eastAsia="幼圆" w:hAnsi="幼圆" w:cs="幼圆" w:hint="eastAsia"/>
          <w:kern w:val="0"/>
          <w:sz w:val="24"/>
          <w:highlight w:val="none"/>
          <w:lang w:eastAsia="zh-CN"/>
        </w:rPr>
        <w:t>（</w:t>
      </w:r>
      <w:r>
        <w:rPr>
          <w:rFonts w:ascii="幼圆" w:eastAsia="幼圆" w:hAnsi="幼圆" w:cs="幼圆" w:hint="eastAsia"/>
          <w:kern w:val="0"/>
          <w:sz w:val="24"/>
          <w:highlight w:val="none"/>
          <w:lang w:val="en-US" w:eastAsia="zh-CN"/>
        </w:rPr>
        <w:t>陈思源 ,赵嘉,2023</w:t>
      </w:r>
      <w:r>
        <w:rPr>
          <w:rFonts w:ascii="幼圆" w:eastAsia="幼圆" w:hAnsi="幼圆" w:cs="幼圆" w:hint="eastAsia"/>
          <w:kern w:val="0"/>
          <w:sz w:val="24"/>
          <w:highlight w:val="none"/>
          <w:lang w:eastAsia="zh-CN"/>
        </w:rPr>
        <w:t>）</w:t>
      </w:r>
      <w:r>
        <w:rPr>
          <w:rFonts w:ascii="幼圆" w:eastAsia="幼圆" w:hAnsi="幼圆" w:cs="幼圆" w:hint="eastAsia"/>
          <w:sz w:val="24"/>
          <w:highlight w:val="none"/>
        </w:rPr>
        <w:t>。</w:t>
      </w:r>
    </w:p>
    <w:p>
      <w:pPr>
        <w:spacing w:line="360" w:lineRule="auto"/>
        <w:ind w:firstLine="480" w:firstLineChars="200"/>
        <w:rPr>
          <w:rFonts w:ascii="幼圆" w:eastAsia="幼圆" w:hAnsi="幼圆" w:cs="幼圆" w:hint="eastAsia"/>
          <w:sz w:val="24"/>
          <w:highlight w:val="none"/>
        </w:rPr>
      </w:pPr>
      <w:r>
        <w:rPr>
          <w:rFonts w:ascii="幼圆" w:eastAsia="幼圆" w:hAnsi="幼圆" w:cs="幼圆" w:hint="eastAsia"/>
          <w:sz w:val="24"/>
          <w:highlight w:val="none"/>
        </w:rPr>
        <w:t>企业若是想顺应时代的发展，筹集资金，举债等是很好的选择。因此，结合</w:t>
      </w:r>
      <w:r>
        <w:rPr>
          <w:rFonts w:ascii="幼圆" w:eastAsia="幼圆" w:hAnsi="幼圆" w:cs="幼圆" w:hint="eastAsia"/>
          <w:sz w:val="24"/>
          <w:highlight w:val="none"/>
          <w:lang w:eastAsia="zh-CN"/>
        </w:rPr>
        <w:t>合肥长虹美菱</w:t>
      </w:r>
      <w:r>
        <w:rPr>
          <w:rFonts w:ascii="幼圆" w:eastAsia="幼圆" w:hAnsi="幼圆" w:cs="幼圆" w:hint="eastAsia"/>
          <w:sz w:val="24"/>
          <w:highlight w:val="none"/>
        </w:rPr>
        <w:t>财务数据，选取财务分析中与偿债能力相关的财务指标进行分析，得出</w:t>
      </w:r>
      <w:r>
        <w:rPr>
          <w:rFonts w:ascii="幼圆" w:eastAsia="幼圆" w:hAnsi="幼圆" w:cs="幼圆" w:hint="eastAsia"/>
          <w:sz w:val="24"/>
          <w:highlight w:val="none"/>
          <w:lang w:eastAsia="zh-CN"/>
        </w:rPr>
        <w:t>长虹的</w:t>
      </w:r>
      <w:r>
        <w:rPr>
          <w:rFonts w:ascii="幼圆" w:eastAsia="幼圆" w:hAnsi="幼圆" w:cs="幼圆" w:hint="eastAsia"/>
          <w:sz w:val="24"/>
          <w:highlight w:val="none"/>
        </w:rPr>
        <w:t>偿债能力情况。</w:t>
      </w:r>
      <w:r>
        <w:rPr>
          <w:rFonts w:ascii="幼圆" w:eastAsia="幼圆" w:hAnsi="幼圆" w:cs="幼圆" w:hint="eastAsia"/>
          <w:b/>
          <w:bCs/>
          <w:sz w:val="36"/>
          <w:szCs w:val="36"/>
          <w:highlight w:val="none"/>
        </w:rPr>
        <w:t xml:space="preserve"> </w:t>
      </w:r>
    </w:p>
    <w:p>
      <w:pPr>
        <w:numPr>
          <w:ilvl w:val="0"/>
          <w:numId w:val="1"/>
        </w:numPr>
        <w:spacing w:before="156" w:beforeLines="50" w:line="360" w:lineRule="auto"/>
        <w:outlineLvl w:val="1"/>
        <w:rPr>
          <w:rFonts w:ascii="幼圆" w:eastAsia="幼圆" w:hAnsi="幼圆" w:cs="幼圆" w:hint="eastAsia"/>
          <w:b/>
          <w:bCs/>
          <w:sz w:val="28"/>
          <w:szCs w:val="28"/>
          <w:highlight w:val="none"/>
        </w:rPr>
      </w:pPr>
      <w:bookmarkStart w:id="13" w:name="_Toc71023518"/>
      <w:bookmarkStart w:id="14" w:name="_Toc15399"/>
      <w:r>
        <w:rPr>
          <w:rFonts w:ascii="幼圆" w:eastAsia="幼圆" w:hAnsi="幼圆" w:cs="幼圆" w:hint="eastAsia"/>
          <w:b/>
          <w:bCs/>
          <w:sz w:val="28"/>
          <w:szCs w:val="28"/>
          <w:highlight w:val="none"/>
        </w:rPr>
        <w:t>短期偿债能力分析</w:t>
      </w:r>
      <w:bookmarkEnd w:id="13"/>
      <w:bookmarkEnd w:id="14"/>
    </w:p>
    <w:p>
      <w:pPr>
        <w:numPr>
          <w:ilvl w:val="0"/>
          <w:numId w:val="2"/>
        </w:numPr>
        <w:spacing w:before="156" w:beforeLines="50" w:line="360" w:lineRule="auto"/>
        <w:outlineLvl w:val="2"/>
        <w:rPr>
          <w:rFonts w:ascii="幼圆" w:eastAsia="幼圆" w:hAnsi="幼圆" w:cs="幼圆" w:hint="eastAsia"/>
          <w:bCs/>
          <w:sz w:val="28"/>
          <w:szCs w:val="28"/>
          <w:highlight w:val="none"/>
        </w:rPr>
      </w:pPr>
      <w:bookmarkStart w:id="15" w:name="_Toc71023519"/>
      <w:r>
        <w:rPr>
          <w:rFonts w:ascii="幼圆" w:eastAsia="幼圆" w:hAnsi="幼圆" w:cs="幼圆" w:hint="eastAsia"/>
          <w:bCs/>
          <w:sz w:val="28"/>
          <w:szCs w:val="28"/>
          <w:highlight w:val="none"/>
        </w:rPr>
        <w:t>流动比率</w:t>
      </w:r>
      <w:bookmarkEnd w:id="15"/>
      <w:r>
        <w:rPr>
          <w:rFonts w:ascii="幼圆" w:eastAsia="幼圆" w:hAnsi="幼圆" w:cs="幼圆" w:hint="eastAsia"/>
          <w:bCs/>
          <w:sz w:val="28"/>
          <w:szCs w:val="28"/>
          <w:highlight w:val="none"/>
        </w:rPr>
        <w:t xml:space="preserve"> </w:t>
      </w:r>
    </w:p>
    <w:p>
      <w:pPr>
        <w:spacing w:line="360" w:lineRule="auto"/>
        <w:ind w:firstLine="480" w:firstLineChars="200"/>
        <w:rPr>
          <w:rFonts w:ascii="幼圆" w:eastAsia="幼圆" w:hAnsi="幼圆" w:cs="幼圆" w:hint="eastAsia"/>
          <w:sz w:val="24"/>
          <w:highlight w:val="none"/>
        </w:rPr>
        <w:sectPr>
          <w:type w:val="nextPage"/>
          <w:pgSz w:w="11906" w:h="16838"/>
          <w:pgMar w:top="1440" w:right="1800" w:bottom="1440" w:left="1800" w:header="851" w:footer="992" w:gutter="0"/>
          <w:pgNumType w:start="3"/>
          <w:cols w:space="708"/>
          <w:titlePg w:val="0"/>
          <w:docGrid w:type="lines" w:linePitch="312" w:charSpace="0"/>
        </w:sectPr>
      </w:pPr>
      <w:r>
        <w:rPr>
          <w:rFonts w:ascii="幼圆" w:eastAsia="幼圆" w:hAnsi="幼圆" w:cs="幼圆" w:hint="eastAsia"/>
          <w:sz w:val="24"/>
          <w:highlight w:val="none"/>
        </w:rPr>
        <w:t>该指标反映</w:t>
      </w:r>
      <w:r>
        <w:rPr>
          <w:rFonts w:ascii="幼圆" w:eastAsia="幼圆" w:hAnsi="幼圆" w:cs="幼圆" w:hint="eastAsia"/>
          <w:sz w:val="24"/>
          <w:highlight w:val="none"/>
          <w:lang w:eastAsia="zh-CN"/>
        </w:rPr>
        <w:t>一个冰柜冰箱</w:t>
      </w:r>
      <w:r>
        <w:rPr>
          <w:rFonts w:ascii="幼圆" w:eastAsia="幼圆" w:hAnsi="幼圆" w:cs="幼圆" w:hint="eastAsia"/>
          <w:sz w:val="24"/>
          <w:highlight w:val="none"/>
        </w:rPr>
        <w:t>企业能够在短时间内转变为现金的流动资产归还到期流动负债的能力</w:t>
      </w:r>
      <w:r>
        <w:rPr>
          <w:rFonts w:ascii="幼圆" w:eastAsia="幼圆" w:hAnsi="幼圆" w:cs="幼圆" w:hint="eastAsia"/>
          <w:kern w:val="0"/>
          <w:sz w:val="24"/>
          <w:highlight w:val="none"/>
          <w:lang w:eastAsia="zh-CN"/>
        </w:rPr>
        <w:t>（</w:t>
      </w:r>
      <w:r>
        <w:rPr>
          <w:rFonts w:ascii="幼圆" w:eastAsia="幼圆" w:hAnsi="幼圆" w:cs="幼圆" w:hint="eastAsia"/>
          <w:kern w:val="0"/>
          <w:sz w:val="24"/>
          <w:highlight w:val="none"/>
          <w:lang w:val="en-US" w:eastAsia="zh-CN"/>
        </w:rPr>
        <w:t>黄婉儿 ,周晓波 ,吴昊</w:t>
      </w:r>
      <w:r>
        <w:rPr>
          <w:rFonts w:ascii="幼圆" w:eastAsia="幼圆" w:hAnsi="幼圆" w:cs="幼圆" w:hint="eastAsia"/>
          <w:kern w:val="0"/>
          <w:sz w:val="24"/>
          <w:highlight w:val="none"/>
          <w:lang w:eastAsia="zh-CN"/>
        </w:rPr>
        <w:t>）</w:t>
      </w:r>
      <w:r>
        <w:rPr>
          <w:rFonts w:ascii="幼圆" w:eastAsia="幼圆" w:hAnsi="幼圆" w:cs="幼圆" w:hint="eastAsia"/>
          <w:sz w:val="24"/>
          <w:highlight w:val="none"/>
        </w:rPr>
        <w:t>。</w:t>
      </w:r>
    </w:p>
    <w:p>
      <w:pPr>
        <w:spacing w:line="360" w:lineRule="auto"/>
        <w:jc w:val="center"/>
        <w:rPr>
          <w:rFonts w:ascii="幼圆" w:eastAsia="幼圆" w:hAnsi="幼圆" w:cs="幼圆" w:hint="eastAsia"/>
          <w:b/>
          <w:bCs/>
          <w:sz w:val="24"/>
          <w:highlight w:val="none"/>
        </w:rPr>
      </w:pPr>
      <w:r>
        <w:rPr>
          <w:rFonts w:ascii="幼圆" w:eastAsia="幼圆" w:hAnsi="幼圆" w:cs="幼圆" w:hint="eastAsia"/>
          <w:b/>
          <w:bCs/>
          <w:sz w:val="24"/>
          <w:highlight w:val="none"/>
        </w:rPr>
        <w:t>流动比率=流动资产</w:t>
      </w:r>
      <w:r>
        <w:rPr>
          <w:rFonts w:ascii="幼圆" w:eastAsia="幼圆" w:hAnsi="幼圆" w:cs="幼圆" w:hint="eastAsia"/>
          <w:b/>
          <w:bCs/>
          <w:sz w:val="24"/>
          <w:highlight w:val="none"/>
        </w:rPr>
        <w:t>÷</w:t>
      </w:r>
      <w:r>
        <w:rPr>
          <w:rFonts w:ascii="幼圆" w:eastAsia="幼圆" w:hAnsi="幼圆" w:cs="幼圆" w:hint="eastAsia"/>
          <w:b/>
          <w:bCs/>
          <w:sz w:val="24"/>
          <w:highlight w:val="none"/>
        </w:rPr>
        <w:t>流动负债</w:t>
      </w:r>
    </w:p>
    <w:p>
      <w:pPr>
        <w:spacing w:line="360" w:lineRule="auto"/>
        <w:ind w:firstLine="480" w:firstLineChars="200"/>
        <w:rPr>
          <w:rFonts w:ascii="幼圆" w:eastAsia="幼圆" w:hAnsi="幼圆" w:cs="幼圆" w:hint="eastAsia"/>
          <w:sz w:val="24"/>
          <w:highlight w:val="none"/>
        </w:rPr>
      </w:pPr>
      <w:r>
        <w:rPr>
          <w:rFonts w:ascii="幼圆" w:eastAsia="幼圆" w:hAnsi="幼圆" w:cs="幼圆" w:hint="eastAsia"/>
          <w:sz w:val="24"/>
          <w:highlight w:val="none"/>
        </w:rPr>
        <w:t>通过表1的数据，可以进行标准化处理，从合并资产负债表中得到对应年份的数据，可以较为形象的说明</w:t>
      </w:r>
      <w:r>
        <w:rPr>
          <w:rFonts w:ascii="幼圆" w:eastAsia="幼圆" w:hAnsi="幼圆" w:cs="幼圆" w:hint="eastAsia"/>
          <w:sz w:val="24"/>
          <w:highlight w:val="none"/>
          <w:lang w:eastAsia="zh-CN"/>
        </w:rPr>
        <w:t>合肥长虹美菱</w:t>
      </w:r>
      <w:r>
        <w:rPr>
          <w:rFonts w:ascii="幼圆" w:eastAsia="幼圆" w:hAnsi="幼圆" w:cs="幼圆" w:hint="eastAsia"/>
          <w:sz w:val="24"/>
          <w:highlight w:val="none"/>
        </w:rPr>
        <w:t>的流动比率变化情况</w:t>
      </w:r>
      <w:r>
        <w:rPr>
          <w:rFonts w:ascii="幼圆" w:eastAsia="幼圆" w:hAnsi="幼圆" w:cs="幼圆" w:hint="eastAsia"/>
          <w:kern w:val="0"/>
          <w:sz w:val="24"/>
          <w:highlight w:val="none"/>
          <w:lang w:eastAsia="zh-CN"/>
        </w:rPr>
        <w:t>（</w:t>
      </w:r>
      <w:r>
        <w:rPr>
          <w:rFonts w:ascii="幼圆" w:eastAsia="幼圆" w:hAnsi="幼圆" w:cs="幼圆" w:hint="eastAsia"/>
          <w:kern w:val="0"/>
          <w:sz w:val="24"/>
          <w:highlight w:val="none"/>
          <w:lang w:val="en-US" w:eastAsia="zh-CN"/>
        </w:rPr>
        <w:t>朱思远 ,杨启明 ,唐婉,2021</w:t>
      </w:r>
      <w:r>
        <w:rPr>
          <w:rFonts w:ascii="幼圆" w:eastAsia="幼圆" w:hAnsi="幼圆" w:cs="幼圆" w:hint="eastAsia"/>
          <w:kern w:val="0"/>
          <w:sz w:val="24"/>
          <w:highlight w:val="none"/>
          <w:lang w:eastAsia="zh-CN"/>
        </w:rPr>
        <w:t>）</w:t>
      </w:r>
      <w:r>
        <w:rPr>
          <w:rFonts w:ascii="幼圆" w:eastAsia="幼圆" w:hAnsi="幼圆" w:cs="幼圆" w:hint="eastAsia"/>
          <w:sz w:val="24"/>
          <w:highlight w:val="none"/>
        </w:rPr>
        <w:t>。</w:t>
      </w:r>
    </w:p>
    <w:p>
      <w:pPr>
        <w:tabs>
          <w:tab w:val="center" w:pos="0"/>
          <w:tab w:val="right" w:pos="9354"/>
        </w:tabs>
        <w:spacing w:line="360" w:lineRule="auto"/>
        <w:ind w:firstLine="3240" w:firstLineChars="1800"/>
        <w:rPr>
          <w:rFonts w:ascii="幼圆" w:eastAsia="幼圆" w:hAnsi="幼圆" w:cs="幼圆" w:hint="eastAsia"/>
          <w:bCs/>
          <w:sz w:val="18"/>
          <w:szCs w:val="18"/>
          <w:highlight w:val="none"/>
        </w:rPr>
      </w:pPr>
      <w:r>
        <w:rPr>
          <w:rFonts w:ascii="幼圆" w:eastAsia="幼圆" w:hAnsi="幼圆" w:cs="幼圆" w:hint="eastAsia"/>
          <w:bCs/>
          <w:sz w:val="18"/>
          <w:szCs w:val="18"/>
          <w:highlight w:val="none"/>
        </w:rPr>
        <w:t>表1</w:t>
      </w:r>
      <w:r>
        <w:rPr>
          <w:rFonts w:ascii="幼圆" w:eastAsia="幼圆" w:hAnsi="幼圆" w:cs="幼圆" w:hint="eastAsia"/>
          <w:bCs/>
          <w:sz w:val="18"/>
          <w:szCs w:val="18"/>
          <w:highlight w:val="none"/>
          <w:lang w:eastAsia="zh-CN"/>
        </w:rPr>
        <w:t>合肥长虹美菱</w:t>
      </w:r>
      <w:r>
        <w:rPr>
          <w:rFonts w:ascii="幼圆" w:eastAsia="幼圆" w:hAnsi="幼圆" w:cs="幼圆" w:hint="eastAsia"/>
          <w:bCs/>
          <w:sz w:val="18"/>
          <w:szCs w:val="18"/>
          <w:highlight w:val="none"/>
        </w:rPr>
        <w:t>流动比率</w:t>
      </w:r>
    </w:p>
    <w:tbl>
      <w:tblPr>
        <w:tblStyle w:val="2-50"/>
        <w:tblpPr w:leftFromText="180" w:rightFromText="180" w:vertAnchor="text" w:horzAnchor="page" w:tblpX="1860" w:tblpY="392"/>
        <w:tblW w:w="8674"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CellMar>
          <w:top w:w="0" w:type="dxa"/>
          <w:left w:w="108" w:type="dxa"/>
          <w:bottom w:w="0" w:type="dxa"/>
          <w:right w:w="108" w:type="dxa"/>
        </w:tblCellMar>
        <w:tblLook w:val="0000"/>
      </w:tblPr>
      <w:tblGrid>
        <w:gridCol w:w="2007"/>
        <w:gridCol w:w="2330"/>
        <w:gridCol w:w="2330"/>
        <w:gridCol w:w="2007"/>
      </w:tblGrid>
      <w:tr>
        <w:tblPrEx>
          <w:tblW w:w="8674"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CellMar>
            <w:top w:w="0" w:type="dxa"/>
            <w:left w:w="108" w:type="dxa"/>
            <w:bottom w:w="0" w:type="dxa"/>
            <w:right w:w="108" w:type="dxa"/>
          </w:tblCellMar>
          <w:tblLook w:val="0000"/>
        </w:tblPrEx>
        <w:trPr>
          <w:trHeight w:val="63"/>
        </w:trPr>
        <w:tc>
          <w:tcPr>
            <w:tcW w:w="2007" w:type="dxa"/>
            <w:tcBorders>
              <w:left w:val="nil"/>
              <w:bottom w:val="nil"/>
              <w:right w:val="nil"/>
            </w:tcBorders>
            <w:shd w:val="clear" w:color="auto" w:fill="D7D7D7"/>
          </w:tcPr>
          <w:p>
            <w:pPr>
              <w:spacing w:line="360" w:lineRule="auto"/>
              <w:jc w:val="center"/>
              <w:rPr>
                <w:rFonts w:ascii="幼圆" w:eastAsia="幼圆" w:hAnsi="幼圆" w:cs="幼圆" w:hint="eastAsia"/>
                <w:b/>
                <w:bCs/>
                <w:szCs w:val="21"/>
                <w:highlight w:val="none"/>
              </w:rPr>
            </w:pPr>
            <w:r>
              <w:rPr>
                <w:rFonts w:ascii="幼圆" w:eastAsia="幼圆" w:hAnsi="幼圆" w:cs="幼圆" w:hint="eastAsia"/>
                <w:b/>
                <w:bCs/>
                <w:szCs w:val="21"/>
                <w:highlight w:val="none"/>
              </w:rPr>
              <w:t>年份</w:t>
            </w:r>
          </w:p>
        </w:tc>
        <w:tc>
          <w:tcPr>
            <w:tcW w:w="2330" w:type="dxa"/>
            <w:shd w:val="clear" w:color="auto" w:fill="D7D7D7"/>
          </w:tcPr>
          <w:p>
            <w:pPr>
              <w:spacing w:line="360" w:lineRule="auto"/>
              <w:jc w:val="center"/>
              <w:rPr>
                <w:rFonts w:ascii="幼圆" w:eastAsia="幼圆" w:hAnsi="幼圆" w:cs="幼圆" w:hint="eastAsia"/>
                <w:szCs w:val="21"/>
                <w:highlight w:val="none"/>
              </w:rPr>
            </w:pPr>
            <w:r>
              <w:rPr>
                <w:rFonts w:ascii="幼圆" w:eastAsia="幼圆" w:hAnsi="幼圆" w:cs="幼圆" w:hint="eastAsia"/>
                <w:szCs w:val="21"/>
                <w:highlight w:val="none"/>
              </w:rPr>
              <w:t>流动资产</w:t>
            </w:r>
          </w:p>
        </w:tc>
        <w:tc>
          <w:tcPr>
            <w:tcW w:w="2330" w:type="dxa"/>
            <w:tcBorders>
              <w:left w:val="nil"/>
              <w:bottom w:val="nil"/>
              <w:right w:val="nil"/>
            </w:tcBorders>
            <w:shd w:val="clear" w:color="auto" w:fill="D7D7D7"/>
          </w:tcPr>
          <w:p>
            <w:pPr>
              <w:spacing w:line="360" w:lineRule="auto"/>
              <w:jc w:val="center"/>
              <w:rPr>
                <w:rFonts w:ascii="幼圆" w:eastAsia="幼圆" w:hAnsi="幼圆" w:cs="幼圆" w:hint="eastAsia"/>
                <w:szCs w:val="21"/>
                <w:highlight w:val="none"/>
              </w:rPr>
            </w:pPr>
            <w:r>
              <w:rPr>
                <w:rFonts w:ascii="幼圆" w:eastAsia="幼圆" w:hAnsi="幼圆" w:cs="幼圆" w:hint="eastAsia"/>
                <w:szCs w:val="21"/>
                <w:highlight w:val="none"/>
              </w:rPr>
              <w:t>流动负债</w:t>
            </w:r>
          </w:p>
        </w:tc>
        <w:tc>
          <w:tcPr>
            <w:tcW w:w="2007" w:type="dxa"/>
            <w:shd w:val="clear" w:color="auto" w:fill="D7D7D7"/>
          </w:tcPr>
          <w:p>
            <w:pPr>
              <w:spacing w:line="360" w:lineRule="auto"/>
              <w:jc w:val="center"/>
              <w:rPr>
                <w:rFonts w:ascii="幼圆" w:eastAsia="幼圆" w:hAnsi="幼圆" w:cs="幼圆" w:hint="eastAsia"/>
                <w:b/>
                <w:bCs/>
                <w:szCs w:val="21"/>
                <w:highlight w:val="none"/>
              </w:rPr>
            </w:pPr>
            <w:r>
              <w:rPr>
                <w:rFonts w:ascii="幼圆" w:eastAsia="幼圆" w:hAnsi="幼圆" w:cs="幼圆" w:hint="eastAsia"/>
                <w:b/>
                <w:bCs/>
                <w:szCs w:val="21"/>
                <w:highlight w:val="none"/>
              </w:rPr>
              <w:t>流动比率</w:t>
            </w:r>
          </w:p>
        </w:tc>
      </w:tr>
      <w:tr>
        <w:tblPrEx>
          <w:tblW w:w="8674" w:type="dxa"/>
          <w:tblCellMar>
            <w:top w:w="0" w:type="dxa"/>
            <w:left w:w="108" w:type="dxa"/>
            <w:bottom w:w="0" w:type="dxa"/>
            <w:right w:w="108" w:type="dxa"/>
          </w:tblCellMar>
          <w:tblLook w:val="0000"/>
        </w:tblPrEx>
        <w:trPr>
          <w:trHeight w:val="63"/>
        </w:trPr>
        <w:tc>
          <w:tcPr>
            <w:tcW w:w="2007" w:type="dxa"/>
            <w:tcBorders>
              <w:left w:val="nil"/>
              <w:bottom w:val="nil"/>
              <w:right w:val="nil"/>
            </w:tcBorders>
            <w:shd w:val="clear" w:color="auto" w:fill="D7D7D7"/>
          </w:tcPr>
          <w:p>
            <w:pPr>
              <w:spacing w:line="360" w:lineRule="auto"/>
              <w:jc w:val="center"/>
              <w:rPr>
                <w:rFonts w:ascii="幼圆" w:eastAsia="幼圆" w:hAnsi="幼圆" w:cs="幼圆" w:hint="eastAsia"/>
                <w:b/>
                <w:bCs/>
                <w:szCs w:val="21"/>
                <w:highlight w:val="none"/>
              </w:rPr>
            </w:pPr>
            <w:r>
              <w:rPr>
                <w:rFonts w:ascii="幼圆" w:eastAsia="幼圆" w:hAnsi="幼圆" w:cs="幼圆" w:hint="eastAsia"/>
                <w:b/>
                <w:bCs/>
                <w:szCs w:val="21"/>
                <w:highlight w:val="none"/>
                <w:lang w:eastAsia="zh-CN"/>
              </w:rPr>
              <w:t>2019</w:t>
            </w:r>
          </w:p>
        </w:tc>
        <w:tc>
          <w:tcPr>
            <w:tcW w:w="2330" w:type="dxa"/>
            <w:shd w:val="clear" w:color="auto" w:fill="auto"/>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3,886,218,396.08</w:t>
            </w:r>
          </w:p>
        </w:tc>
        <w:tc>
          <w:tcPr>
            <w:tcW w:w="2330" w:type="dxa"/>
            <w:tcBorders>
              <w:left w:val="nil"/>
              <w:bottom w:val="nil"/>
              <w:right w:val="nil"/>
            </w:tcBorders>
            <w:shd w:val="clear" w:color="auto" w:fill="D7D7D7"/>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3,338,923,599.79</w:t>
            </w:r>
          </w:p>
        </w:tc>
        <w:tc>
          <w:tcPr>
            <w:tcW w:w="2007" w:type="dxa"/>
          </w:tcPr>
          <w:p>
            <w:pPr>
              <w:widowControl/>
              <w:spacing w:line="360" w:lineRule="auto"/>
              <w:jc w:val="center"/>
              <w:textAlignment w:val="center"/>
              <w:rPr>
                <w:rFonts w:ascii="幼圆" w:eastAsia="幼圆" w:hAnsi="幼圆" w:cs="幼圆" w:hint="eastAsia"/>
                <w:b/>
                <w:bCs/>
                <w:color w:val="000000"/>
                <w:szCs w:val="21"/>
                <w:highlight w:val="none"/>
              </w:rPr>
            </w:pPr>
            <w:r>
              <w:rPr>
                <w:rFonts w:ascii="幼圆" w:eastAsia="幼圆" w:hAnsi="幼圆" w:cs="幼圆" w:hint="eastAsia"/>
                <w:b/>
                <w:bCs/>
                <w:color w:val="000000"/>
                <w:kern w:val="0"/>
                <w:szCs w:val="21"/>
                <w:highlight w:val="none"/>
                <w:lang w:bidi="ar"/>
              </w:rPr>
              <w:t>1.16</w:t>
            </w:r>
          </w:p>
        </w:tc>
      </w:tr>
      <w:tr>
        <w:tblPrEx>
          <w:tblW w:w="8674" w:type="dxa"/>
          <w:tblCellMar>
            <w:top w:w="0" w:type="dxa"/>
            <w:left w:w="108" w:type="dxa"/>
            <w:bottom w:w="0" w:type="dxa"/>
            <w:right w:w="108" w:type="dxa"/>
          </w:tblCellMar>
          <w:tblLook w:val="0000"/>
        </w:tblPrEx>
        <w:trPr>
          <w:trHeight w:val="63"/>
        </w:trPr>
        <w:tc>
          <w:tcPr>
            <w:tcW w:w="2007" w:type="dxa"/>
            <w:tcBorders>
              <w:left w:val="nil"/>
              <w:bottom w:val="nil"/>
              <w:right w:val="nil"/>
            </w:tcBorders>
            <w:shd w:val="clear" w:color="auto" w:fill="D7D7D7"/>
          </w:tcPr>
          <w:p>
            <w:pPr>
              <w:spacing w:line="360" w:lineRule="auto"/>
              <w:jc w:val="center"/>
              <w:rPr>
                <w:rFonts w:ascii="幼圆" w:eastAsia="幼圆" w:hAnsi="幼圆" w:cs="幼圆" w:hint="eastAsia"/>
                <w:b/>
                <w:bCs/>
                <w:szCs w:val="21"/>
                <w:highlight w:val="none"/>
              </w:rPr>
            </w:pPr>
            <w:r>
              <w:rPr>
                <w:rFonts w:ascii="幼圆" w:eastAsia="幼圆" w:hAnsi="幼圆" w:cs="幼圆" w:hint="eastAsia"/>
                <w:b/>
                <w:bCs/>
                <w:szCs w:val="21"/>
                <w:highlight w:val="none"/>
                <w:lang w:eastAsia="zh-CN"/>
              </w:rPr>
              <w:t>2020</w:t>
            </w:r>
          </w:p>
        </w:tc>
        <w:tc>
          <w:tcPr>
            <w:tcW w:w="2330" w:type="dxa"/>
            <w:shd w:val="clear" w:color="auto" w:fill="D7D7D7"/>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4,016,744,800.60</w:t>
            </w:r>
          </w:p>
        </w:tc>
        <w:tc>
          <w:tcPr>
            <w:tcW w:w="2330" w:type="dxa"/>
            <w:tcBorders>
              <w:left w:val="nil"/>
              <w:bottom w:val="nil"/>
              <w:right w:val="nil"/>
            </w:tcBorders>
            <w:shd w:val="clear" w:color="auto" w:fill="D7D7D7"/>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4,087,161,358.62</w:t>
            </w:r>
          </w:p>
        </w:tc>
        <w:tc>
          <w:tcPr>
            <w:tcW w:w="2007" w:type="dxa"/>
            <w:shd w:val="clear" w:color="auto" w:fill="D7D7D7"/>
          </w:tcPr>
          <w:p>
            <w:pPr>
              <w:widowControl/>
              <w:spacing w:line="360" w:lineRule="auto"/>
              <w:jc w:val="center"/>
              <w:textAlignment w:val="center"/>
              <w:rPr>
                <w:rFonts w:ascii="幼圆" w:eastAsia="幼圆" w:hAnsi="幼圆" w:cs="幼圆" w:hint="eastAsia"/>
                <w:b/>
                <w:bCs/>
                <w:color w:val="000000"/>
                <w:szCs w:val="21"/>
                <w:highlight w:val="none"/>
              </w:rPr>
            </w:pPr>
            <w:r>
              <w:rPr>
                <w:rFonts w:ascii="幼圆" w:eastAsia="幼圆" w:hAnsi="幼圆" w:cs="幼圆" w:hint="eastAsia"/>
                <w:b/>
                <w:bCs/>
                <w:color w:val="000000"/>
                <w:kern w:val="0"/>
                <w:szCs w:val="21"/>
                <w:highlight w:val="none"/>
                <w:lang w:bidi="ar"/>
              </w:rPr>
              <w:t>0.98</w:t>
            </w:r>
          </w:p>
        </w:tc>
      </w:tr>
      <w:tr>
        <w:tblPrEx>
          <w:tblW w:w="8674" w:type="dxa"/>
          <w:tblCellMar>
            <w:top w:w="0" w:type="dxa"/>
            <w:left w:w="108" w:type="dxa"/>
            <w:bottom w:w="0" w:type="dxa"/>
            <w:right w:w="108" w:type="dxa"/>
          </w:tblCellMar>
          <w:tblLook w:val="0000"/>
        </w:tblPrEx>
        <w:trPr>
          <w:trHeight w:val="63"/>
        </w:trPr>
        <w:tc>
          <w:tcPr>
            <w:tcW w:w="2007" w:type="dxa"/>
            <w:tcBorders>
              <w:left w:val="nil"/>
              <w:bottom w:val="nil"/>
              <w:right w:val="nil"/>
            </w:tcBorders>
            <w:shd w:val="clear" w:color="auto" w:fill="D7D7D7"/>
          </w:tcPr>
          <w:p>
            <w:pPr>
              <w:spacing w:line="360" w:lineRule="auto"/>
              <w:jc w:val="center"/>
              <w:rPr>
                <w:rFonts w:ascii="幼圆" w:eastAsia="幼圆" w:hAnsi="幼圆" w:cs="幼圆" w:hint="eastAsia"/>
                <w:b/>
                <w:bCs/>
                <w:szCs w:val="21"/>
                <w:highlight w:val="none"/>
              </w:rPr>
            </w:pPr>
            <w:r>
              <w:rPr>
                <w:rFonts w:ascii="幼圆" w:eastAsia="幼圆" w:hAnsi="幼圆" w:cs="幼圆" w:hint="eastAsia"/>
                <w:b/>
                <w:bCs/>
                <w:szCs w:val="21"/>
                <w:highlight w:val="none"/>
                <w:lang w:eastAsia="zh-CN"/>
              </w:rPr>
              <w:t>2021</w:t>
            </w:r>
          </w:p>
        </w:tc>
        <w:tc>
          <w:tcPr>
            <w:tcW w:w="2330" w:type="dxa"/>
            <w:shd w:val="clear" w:color="auto" w:fill="auto"/>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4,778,858,450.04</w:t>
            </w:r>
          </w:p>
        </w:tc>
        <w:tc>
          <w:tcPr>
            <w:tcW w:w="2330" w:type="dxa"/>
            <w:tcBorders>
              <w:left w:val="nil"/>
              <w:bottom w:val="nil"/>
              <w:right w:val="nil"/>
            </w:tcBorders>
            <w:shd w:val="clear" w:color="auto" w:fill="D7D7D7"/>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4,379,276,687.47</w:t>
            </w:r>
          </w:p>
        </w:tc>
        <w:tc>
          <w:tcPr>
            <w:tcW w:w="2007" w:type="dxa"/>
          </w:tcPr>
          <w:p>
            <w:pPr>
              <w:widowControl/>
              <w:spacing w:line="360" w:lineRule="auto"/>
              <w:jc w:val="center"/>
              <w:textAlignment w:val="center"/>
              <w:rPr>
                <w:rFonts w:ascii="幼圆" w:eastAsia="幼圆" w:hAnsi="幼圆" w:cs="幼圆" w:hint="eastAsia"/>
                <w:b/>
                <w:bCs/>
                <w:color w:val="000000"/>
                <w:szCs w:val="21"/>
                <w:highlight w:val="none"/>
              </w:rPr>
            </w:pPr>
            <w:r>
              <w:rPr>
                <w:rFonts w:ascii="幼圆" w:eastAsia="幼圆" w:hAnsi="幼圆" w:cs="幼圆" w:hint="eastAsia"/>
                <w:b/>
                <w:bCs/>
                <w:color w:val="000000"/>
                <w:kern w:val="0"/>
                <w:szCs w:val="21"/>
                <w:highlight w:val="none"/>
                <w:lang w:bidi="ar"/>
              </w:rPr>
              <w:t>1.09</w:t>
            </w:r>
          </w:p>
        </w:tc>
      </w:tr>
      <w:tr>
        <w:tblPrEx>
          <w:tblW w:w="8674" w:type="dxa"/>
          <w:tblCellMar>
            <w:top w:w="0" w:type="dxa"/>
            <w:left w:w="108" w:type="dxa"/>
            <w:bottom w:w="0" w:type="dxa"/>
            <w:right w:w="108" w:type="dxa"/>
          </w:tblCellMar>
          <w:tblLook w:val="0000"/>
        </w:tblPrEx>
        <w:trPr>
          <w:trHeight w:val="63"/>
        </w:trPr>
        <w:tc>
          <w:tcPr>
            <w:tcW w:w="2007" w:type="dxa"/>
            <w:tcBorders>
              <w:left w:val="nil"/>
              <w:bottom w:val="nil"/>
              <w:right w:val="nil"/>
            </w:tcBorders>
            <w:shd w:val="clear" w:color="auto" w:fill="D7D7D7"/>
          </w:tcPr>
          <w:p>
            <w:pPr>
              <w:spacing w:line="360" w:lineRule="auto"/>
              <w:jc w:val="center"/>
              <w:rPr>
                <w:rFonts w:ascii="幼圆" w:eastAsia="幼圆" w:hAnsi="幼圆" w:cs="幼圆" w:hint="eastAsia"/>
                <w:b/>
                <w:bCs/>
                <w:szCs w:val="21"/>
                <w:highlight w:val="none"/>
              </w:rPr>
            </w:pPr>
            <w:r>
              <w:rPr>
                <w:rFonts w:ascii="幼圆" w:eastAsia="幼圆" w:hAnsi="幼圆" w:cs="幼圆" w:hint="eastAsia"/>
                <w:b/>
                <w:bCs/>
                <w:szCs w:val="21"/>
                <w:highlight w:val="none"/>
                <w:lang w:eastAsia="zh-CN"/>
              </w:rPr>
              <w:t>2022</w:t>
            </w:r>
          </w:p>
        </w:tc>
        <w:tc>
          <w:tcPr>
            <w:tcW w:w="2330" w:type="dxa"/>
            <w:shd w:val="clear" w:color="auto" w:fill="D7D7D7"/>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4,316,749,316.14</w:t>
            </w:r>
          </w:p>
        </w:tc>
        <w:tc>
          <w:tcPr>
            <w:tcW w:w="2330" w:type="dxa"/>
            <w:tcBorders>
              <w:left w:val="nil"/>
              <w:bottom w:val="nil"/>
              <w:right w:val="nil"/>
            </w:tcBorders>
            <w:shd w:val="clear" w:color="auto" w:fill="D7D7D7"/>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color w:val="000000"/>
                <w:kern w:val="0"/>
                <w:szCs w:val="21"/>
                <w:highlight w:val="none"/>
                <w:lang w:bidi="ar"/>
              </w:rPr>
              <w:t>4,561,955,793.26</w:t>
            </w:r>
          </w:p>
        </w:tc>
        <w:tc>
          <w:tcPr>
            <w:tcW w:w="2007" w:type="dxa"/>
            <w:shd w:val="clear" w:color="auto" w:fill="D7D7D7"/>
          </w:tcPr>
          <w:p>
            <w:pPr>
              <w:widowControl/>
              <w:spacing w:line="360" w:lineRule="auto"/>
              <w:jc w:val="center"/>
              <w:textAlignment w:val="center"/>
              <w:rPr>
                <w:rFonts w:ascii="幼圆" w:eastAsia="幼圆" w:hAnsi="幼圆" w:cs="幼圆" w:hint="eastAsia"/>
                <w:b/>
                <w:bCs/>
                <w:color w:val="000000"/>
                <w:szCs w:val="21"/>
                <w:highlight w:val="none"/>
              </w:rPr>
            </w:pPr>
            <w:r>
              <w:rPr>
                <w:rFonts w:ascii="幼圆" w:eastAsia="幼圆" w:hAnsi="幼圆" w:cs="幼圆" w:hint="eastAsia"/>
                <w:b/>
                <w:bCs/>
                <w:color w:val="000000"/>
                <w:kern w:val="0"/>
                <w:szCs w:val="21"/>
                <w:highlight w:val="none"/>
                <w:lang w:bidi="ar"/>
              </w:rPr>
              <w:t>0.95</w:t>
            </w:r>
          </w:p>
        </w:tc>
      </w:tr>
      <w:tr>
        <w:tblPrEx>
          <w:tblW w:w="8674" w:type="dxa"/>
          <w:tblCellMar>
            <w:top w:w="0" w:type="dxa"/>
            <w:left w:w="108" w:type="dxa"/>
            <w:bottom w:w="0" w:type="dxa"/>
            <w:right w:w="108" w:type="dxa"/>
          </w:tblCellMar>
          <w:tblLook w:val="0000"/>
        </w:tblPrEx>
        <w:trPr>
          <w:trHeight w:val="64"/>
        </w:trPr>
        <w:tc>
          <w:tcPr>
            <w:tcW w:w="2007" w:type="dxa"/>
            <w:tcBorders>
              <w:left w:val="nil"/>
              <w:right w:val="nil"/>
            </w:tcBorders>
            <w:shd w:val="clear" w:color="auto" w:fill="D7D7D7"/>
          </w:tcPr>
          <w:p>
            <w:pPr>
              <w:spacing w:line="360" w:lineRule="auto"/>
              <w:jc w:val="center"/>
              <w:rPr>
                <w:rFonts w:ascii="幼圆" w:eastAsia="幼圆" w:hAnsi="幼圆" w:cs="幼圆" w:hint="eastAsia"/>
                <w:b/>
                <w:bCs/>
                <w:szCs w:val="21"/>
                <w:highlight w:val="none"/>
              </w:rPr>
            </w:pPr>
            <w:r>
              <w:rPr>
                <w:rFonts w:ascii="幼圆" w:eastAsia="幼圆" w:hAnsi="幼圆" w:cs="幼圆" w:hint="eastAsia"/>
                <w:b/>
                <w:bCs/>
                <w:szCs w:val="21"/>
                <w:highlight w:val="none"/>
                <w:lang w:eastAsia="zh-CN"/>
              </w:rPr>
              <w:t>2023</w:t>
            </w:r>
          </w:p>
        </w:tc>
        <w:tc>
          <w:tcPr>
            <w:tcW w:w="2330" w:type="dxa"/>
            <w:shd w:val="clear" w:color="auto" w:fill="auto"/>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szCs w:val="21"/>
                <w:highlight w:val="none"/>
              </w:rPr>
              <w:t>4,259,984,428.98</w:t>
            </w:r>
          </w:p>
        </w:tc>
        <w:tc>
          <w:tcPr>
            <w:tcW w:w="2330" w:type="dxa"/>
            <w:tcBorders>
              <w:left w:val="nil"/>
              <w:right w:val="nil"/>
            </w:tcBorders>
            <w:shd w:val="clear" w:color="auto" w:fill="D7D7D7"/>
          </w:tcPr>
          <w:p>
            <w:pPr>
              <w:widowControl/>
              <w:spacing w:line="360" w:lineRule="auto"/>
              <w:jc w:val="center"/>
              <w:textAlignment w:val="top"/>
              <w:rPr>
                <w:rFonts w:ascii="幼圆" w:eastAsia="幼圆" w:hAnsi="幼圆" w:cs="幼圆" w:hint="eastAsia"/>
                <w:szCs w:val="21"/>
                <w:highlight w:val="none"/>
              </w:rPr>
            </w:pPr>
            <w:r>
              <w:rPr>
                <w:rFonts w:ascii="幼圆" w:eastAsia="幼圆" w:hAnsi="幼圆" w:cs="幼圆" w:hint="eastAsia"/>
                <w:szCs w:val="21"/>
                <w:highlight w:val="none"/>
              </w:rPr>
              <w:t>5,264,422,192.38</w:t>
            </w:r>
          </w:p>
        </w:tc>
        <w:tc>
          <w:tcPr>
            <w:tcW w:w="2007" w:type="dxa"/>
          </w:tcPr>
          <w:p>
            <w:pPr>
              <w:widowControl/>
              <w:spacing w:line="360" w:lineRule="auto"/>
              <w:jc w:val="center"/>
              <w:textAlignment w:val="center"/>
              <w:rPr>
                <w:rFonts w:ascii="幼圆" w:eastAsia="幼圆" w:hAnsi="幼圆" w:cs="幼圆" w:hint="eastAsia"/>
                <w:b/>
                <w:bCs/>
                <w:color w:val="000000"/>
                <w:kern w:val="0"/>
                <w:szCs w:val="21"/>
                <w:highlight w:val="none"/>
                <w:lang w:bidi="ar"/>
              </w:rPr>
            </w:pPr>
            <w:r>
              <w:rPr>
                <w:rFonts w:ascii="幼圆" w:eastAsia="幼圆" w:hAnsi="幼圆" w:cs="幼圆" w:hint="eastAsia"/>
                <w:b/>
                <w:bCs/>
                <w:color w:val="000000"/>
                <w:kern w:val="0"/>
                <w:szCs w:val="21"/>
                <w:highlight w:val="none"/>
                <w:lang w:bidi="ar"/>
              </w:rPr>
              <w:t>0.81</w:t>
            </w:r>
          </w:p>
        </w:tc>
      </w:tr>
    </w:tbl>
    <w:p>
      <w:pPr>
        <w:spacing w:before="468" w:beforeLines="150" w:after="468" w:afterLines="150" w:line="360" w:lineRule="auto"/>
        <w:ind w:firstLine="1050" w:firstLineChars="500"/>
        <w:rPr>
          <w:rFonts w:ascii="幼圆" w:eastAsia="幼圆" w:hAnsi="幼圆" w:cs="幼圆" w:hint="eastAsia"/>
          <w:bCs/>
          <w:sz w:val="18"/>
          <w:szCs w:val="18"/>
          <w:highlight w:val="none"/>
        </w:rPr>
      </w:pPr>
      <w:r>
        <w:rPr>
          <w:rFonts w:ascii="幼圆" w:eastAsia="幼圆" w:hAnsi="幼圆" w:cs="幼圆" w:hint="eastAsia"/>
          <w:highlight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10" o:spid="_x0000_i1098" type="#_x0000_t75" style="width:340.5pt;height:187.5pt;mso-wrap-distance-left:0;mso-wrap-distance-right:0" filled="f" stroked="f">
            <v:imagedata r:id="rId4" o:title=""/>
            <v:path o:extrusionok="f"/>
          </v:shape>
        </w:pict>
      </w:r>
    </w:p>
    <w:p>
      <w:pPr>
        <w:spacing w:before="468" w:beforeLines="150" w:after="468" w:afterLines="150" w:line="360" w:lineRule="auto"/>
        <w:ind w:firstLine="900" w:firstLineChars="500"/>
        <w:jc w:val="center"/>
        <w:rPr>
          <w:rFonts w:ascii="幼圆" w:eastAsia="幼圆" w:hAnsi="幼圆" w:cs="幼圆" w:hint="eastAsia"/>
          <w:highlight w:val="none"/>
        </w:rPr>
      </w:pPr>
      <w:r>
        <w:rPr>
          <w:rFonts w:ascii="幼圆" w:eastAsia="幼圆" w:hAnsi="幼圆" w:cs="幼圆" w:hint="eastAsia"/>
          <w:bCs/>
          <w:sz w:val="18"/>
          <w:szCs w:val="18"/>
          <w:highlight w:val="none"/>
        </w:rPr>
        <w:t>图</w:t>
      </w:r>
      <w:r>
        <w:rPr>
          <w:rFonts w:ascii="幼圆" w:eastAsia="幼圆" w:hAnsi="幼圆" w:cs="幼圆" w:hint="eastAsia"/>
          <w:bCs/>
          <w:sz w:val="18"/>
          <w:szCs w:val="18"/>
          <w:highlight w:val="none"/>
          <w:lang w:val="en-US" w:eastAsia="zh-CN"/>
        </w:rPr>
        <w:t>2</w:t>
      </w:r>
      <w:r>
        <w:rPr>
          <w:rFonts w:ascii="幼圆" w:eastAsia="幼圆" w:hAnsi="幼圆" w:cs="幼圆" w:hint="eastAsia"/>
          <w:bCs/>
          <w:sz w:val="18"/>
          <w:szCs w:val="18"/>
          <w:highlight w:val="none"/>
        </w:rPr>
        <w:t xml:space="preserve">            </w:t>
      </w:r>
      <w:r>
        <w:rPr>
          <w:rFonts w:ascii="幼圆" w:eastAsia="幼圆" w:hAnsi="幼圆" w:cs="幼圆" w:hint="eastAsia"/>
          <w:bCs/>
          <w:sz w:val="18"/>
          <w:szCs w:val="18"/>
          <w:highlight w:val="none"/>
          <w:lang w:val="en-US" w:eastAsia="zh-CN"/>
        </w:rPr>
        <w:t>合肥长虹美菱2019-2023年</w:t>
      </w:r>
      <w:r>
        <w:rPr>
          <w:rFonts w:ascii="幼圆" w:eastAsia="幼圆" w:hAnsi="幼圆" w:cs="幼圆" w:hint="eastAsia"/>
          <w:bCs/>
          <w:sz w:val="18"/>
          <w:szCs w:val="18"/>
          <w:highlight w:val="none"/>
          <w:lang w:eastAsia="zh-CN"/>
        </w:rPr>
        <w:t>合肥长虹美菱</w:t>
      </w:r>
      <w:r>
        <w:rPr>
          <w:rFonts w:ascii="幼圆" w:eastAsia="幼圆" w:hAnsi="幼圆" w:cs="幼圆" w:hint="eastAsia"/>
          <w:bCs/>
          <w:sz w:val="18"/>
          <w:szCs w:val="18"/>
          <w:highlight w:val="none"/>
        </w:rPr>
        <w:t>流动比率</w:t>
      </w:r>
    </w:p>
    <w:p>
      <w:pPr>
        <w:spacing w:before="468" w:beforeLines="150" w:after="468" w:afterLines="150" w:line="360" w:lineRule="auto"/>
        <w:ind w:firstLine="480" w:firstLineChars="200"/>
        <w:rPr>
          <w:rFonts w:ascii="幼圆" w:eastAsia="幼圆" w:hAnsi="幼圆" w:cs="幼圆" w:hint="eastAsia"/>
          <w:highlight w:val="none"/>
        </w:rPr>
        <w:sectPr>
          <w:type w:val="nextPage"/>
          <w:pgSz w:w="11906" w:h="16838"/>
          <w:pgMar w:top="1440" w:right="1800" w:bottom="1440" w:left="1800" w:header="851" w:footer="992" w:gutter="0"/>
          <w:pgNumType w:start="4"/>
          <w:cols w:space="708"/>
          <w:titlePg w:val="0"/>
          <w:docGrid w:type="lines" w:linePitch="312" w:charSpace="0"/>
        </w:sectPr>
      </w:pPr>
      <w:r>
        <w:rPr>
          <w:rFonts w:ascii="幼圆" w:eastAsia="幼圆" w:hAnsi="幼圆" w:cs="幼圆" w:hint="eastAsia"/>
          <w:sz w:val="24"/>
          <w:highlight w:val="none"/>
        </w:rPr>
        <w:t>通过以上数据显示从表中可以看出</w:t>
      </w:r>
      <w:r>
        <w:rPr>
          <w:rFonts w:ascii="幼圆" w:eastAsia="幼圆" w:hAnsi="幼圆" w:cs="幼圆" w:hint="eastAsia"/>
          <w:sz w:val="24"/>
          <w:highlight w:val="none"/>
          <w:lang w:eastAsia="zh-CN"/>
        </w:rPr>
        <w:t>合肥长虹美菱2019</w:t>
      </w:r>
      <w:r>
        <w:rPr>
          <w:rFonts w:ascii="幼圆" w:eastAsia="幼圆" w:hAnsi="幼圆" w:cs="幼圆" w:hint="eastAsia"/>
          <w:sz w:val="24"/>
          <w:highlight w:val="none"/>
        </w:rPr>
        <w:t>、</w:t>
      </w:r>
      <w:r>
        <w:rPr>
          <w:rFonts w:ascii="幼圆" w:eastAsia="幼圆" w:hAnsi="幼圆" w:cs="幼圆" w:hint="eastAsia"/>
          <w:sz w:val="24"/>
          <w:highlight w:val="none"/>
          <w:lang w:eastAsia="zh-CN"/>
        </w:rPr>
        <w:t>2020</w:t>
      </w:r>
      <w:r>
        <w:rPr>
          <w:rFonts w:ascii="幼圆" w:eastAsia="幼圆" w:hAnsi="幼圆" w:cs="幼圆" w:hint="eastAsia"/>
          <w:sz w:val="24"/>
          <w:highlight w:val="none"/>
        </w:rPr>
        <w:t>、</w:t>
      </w:r>
      <w:r>
        <w:rPr>
          <w:rFonts w:ascii="幼圆" w:eastAsia="幼圆" w:hAnsi="幼圆" w:cs="幼圆" w:hint="eastAsia"/>
          <w:sz w:val="24"/>
          <w:highlight w:val="none"/>
          <w:lang w:eastAsia="zh-CN"/>
        </w:rPr>
        <w:t>2021</w:t>
      </w:r>
      <w:r>
        <w:rPr>
          <w:rFonts w:ascii="幼圆" w:eastAsia="幼圆" w:hAnsi="幼圆" w:cs="幼圆" w:hint="eastAsia"/>
          <w:sz w:val="24"/>
          <w:highlight w:val="none"/>
        </w:rPr>
        <w:t>、</w:t>
      </w:r>
      <w:r>
        <w:rPr>
          <w:rFonts w:ascii="幼圆" w:eastAsia="幼圆" w:hAnsi="幼圆" w:cs="幼圆" w:hint="eastAsia"/>
          <w:sz w:val="24"/>
          <w:highlight w:val="none"/>
          <w:lang w:eastAsia="zh-CN"/>
        </w:rPr>
        <w:t>2022</w:t>
      </w:r>
      <w:r>
        <w:rPr>
          <w:rFonts w:ascii="幼圆" w:eastAsia="幼圆" w:hAnsi="幼圆" w:cs="幼圆" w:hint="eastAsia"/>
          <w:sz w:val="24"/>
          <w:highlight w:val="none"/>
        </w:rPr>
        <w:t>、</w:t>
      </w:r>
      <w:r>
        <w:rPr>
          <w:rFonts w:ascii="幼圆" w:eastAsia="幼圆" w:hAnsi="幼圆" w:cs="幼圆" w:hint="eastAsia"/>
          <w:sz w:val="24"/>
          <w:highlight w:val="none"/>
          <w:lang w:eastAsia="zh-CN"/>
        </w:rPr>
        <w:t>2023</w:t>
      </w:r>
      <w:r>
        <w:rPr>
          <w:rFonts w:ascii="幼圆" w:eastAsia="幼圆" w:hAnsi="幼圆" w:cs="幼圆" w:hint="eastAsia"/>
          <w:sz w:val="24"/>
          <w:highlight w:val="none"/>
        </w:rPr>
        <w:t>年的流动比率分别为1.16、0.98、1.09、0.95、0.81，从以上数据中我们了解到，</w:t>
      </w:r>
      <w:r>
        <w:rPr>
          <w:rFonts w:ascii="幼圆" w:eastAsia="幼圆" w:hAnsi="幼圆" w:cs="幼圆" w:hint="eastAsia"/>
          <w:sz w:val="24"/>
          <w:highlight w:val="none"/>
          <w:lang w:eastAsia="zh-CN"/>
        </w:rPr>
        <w:t>长虹</w:t>
      </w:r>
      <w:r>
        <w:rPr>
          <w:rFonts w:ascii="幼圆" w:eastAsia="幼圆" w:hAnsi="幼圆" w:cs="幼圆" w:hint="eastAsia"/>
          <w:sz w:val="24"/>
          <w:highlight w:val="none"/>
        </w:rPr>
        <w:t>的流动比率相对有点波动，大约在0.8</w:t>
      </w:r>
      <w:r>
        <w:rPr>
          <w:rFonts w:ascii="幼圆" w:eastAsia="幼圆" w:hAnsi="幼圆" w:cs="幼圆" w:hint="eastAsia"/>
          <w:sz w:val="24"/>
          <w:highlight w:val="none"/>
        </w:rPr>
        <w:t>—</w:t>
      </w:r>
      <w:r>
        <w:rPr>
          <w:rFonts w:ascii="幼圆" w:eastAsia="幼圆" w:hAnsi="幼圆" w:cs="幼圆" w:hint="eastAsia"/>
          <w:sz w:val="24"/>
          <w:highlight w:val="none"/>
        </w:rPr>
        <w:t>1.2区间，从柱状图上可以清晰的看出近几年，</w:t>
      </w:r>
      <w:r>
        <w:rPr>
          <w:rFonts w:ascii="幼圆" w:eastAsia="幼圆" w:hAnsi="幼圆" w:cs="幼圆" w:hint="eastAsia"/>
          <w:sz w:val="24"/>
          <w:highlight w:val="none"/>
          <w:lang w:eastAsia="zh-CN"/>
        </w:rPr>
        <w:t>合肥长虹美菱的</w:t>
      </w:r>
      <w:r>
        <w:rPr>
          <w:rFonts w:ascii="幼圆" w:eastAsia="幼圆" w:hAnsi="幼圆" w:cs="幼圆" w:hint="eastAsia"/>
          <w:sz w:val="24"/>
          <w:highlight w:val="none"/>
        </w:rPr>
        <w:t>流动比率有下降趋势，这个数据表明</w:t>
      </w:r>
      <w:r>
        <w:rPr>
          <w:rFonts w:ascii="幼圆" w:eastAsia="幼圆" w:hAnsi="幼圆" w:cs="幼圆" w:hint="eastAsia"/>
          <w:sz w:val="24"/>
          <w:highlight w:val="none"/>
          <w:lang w:eastAsia="zh-CN"/>
        </w:rPr>
        <w:t>长虹</w:t>
      </w:r>
      <w:r>
        <w:rPr>
          <w:rFonts w:ascii="幼圆" w:eastAsia="幼圆" w:hAnsi="幼圆" w:cs="幼圆" w:hint="eastAsia"/>
          <w:sz w:val="24"/>
          <w:highlight w:val="none"/>
        </w:rPr>
        <w:t>的短期偿债能力从</w:t>
      </w:r>
      <w:r>
        <w:rPr>
          <w:rFonts w:ascii="幼圆" w:eastAsia="幼圆" w:hAnsi="幼圆" w:cs="幼圆" w:hint="eastAsia"/>
          <w:sz w:val="24"/>
          <w:highlight w:val="none"/>
          <w:lang w:eastAsia="zh-CN"/>
        </w:rPr>
        <w:t>2022</w:t>
      </w:r>
    </w:p>
    <w:p>
      <w:pPr>
        <w:spacing w:before="468" w:beforeLines="150" w:after="468" w:afterLines="150" w:line="360" w:lineRule="auto"/>
        <w:ind w:firstLine="480" w:firstLineChars="200"/>
        <w:rPr>
          <w:rFonts w:ascii="幼圆" w:eastAsia="幼圆" w:hAnsi="幼圆" w:cs="幼圆" w:hint="eastAsia"/>
          <w:highlight w:val="none"/>
        </w:rPr>
      </w:pPr>
      <w:r>
        <w:rPr>
          <w:rFonts w:ascii="幼圆" w:eastAsia="幼圆" w:hAnsi="幼圆" w:cs="幼圆" w:hint="eastAsia"/>
          <w:sz w:val="24"/>
          <w:highlight w:val="none"/>
        </w:rPr>
        <w:t>年以后存在不稳定的现象，滞留的流动资产比较多，资产利用不佳。如创新型</w:t>
      </w:r>
      <w:r>
        <w:rPr>
          <w:rFonts w:ascii="幼圆" w:eastAsia="幼圆" w:hAnsi="幼圆" w:cs="幼圆" w:hint="eastAsia"/>
          <w:sz w:val="24"/>
          <w:highlight w:val="none"/>
          <w:lang w:eastAsia="zh-CN"/>
        </w:rPr>
        <w:t>冰柜冰箱</w:t>
      </w:r>
      <w:r>
        <w:rPr>
          <w:rFonts w:ascii="幼圆" w:eastAsia="幼圆" w:hAnsi="幼圆" w:cs="幼圆" w:hint="eastAsia"/>
          <w:sz w:val="24"/>
          <w:highlight w:val="none"/>
        </w:rPr>
        <w:t>产业知名度需要提升，各地区分店快速增加，互联网的建设，对金融机构、产品外销、对外投资等等，使得</w:t>
      </w:r>
      <w:r>
        <w:rPr>
          <w:rFonts w:ascii="幼圆" w:eastAsia="幼圆" w:hAnsi="幼圆" w:cs="幼圆" w:hint="eastAsia"/>
          <w:sz w:val="24"/>
          <w:highlight w:val="none"/>
          <w:lang w:eastAsia="zh-CN"/>
        </w:rPr>
        <w:t>合肥长虹美菱的</w:t>
      </w:r>
      <w:r>
        <w:rPr>
          <w:rFonts w:ascii="幼圆" w:eastAsia="幼圆" w:hAnsi="幼圆" w:cs="幼圆" w:hint="eastAsia"/>
          <w:sz w:val="24"/>
          <w:highlight w:val="none"/>
        </w:rPr>
        <w:t>资产变现能力减弱，导致短期偿债能力低。但是一个</w:t>
      </w:r>
      <w:r>
        <w:rPr>
          <w:rFonts w:ascii="幼圆" w:eastAsia="幼圆" w:hAnsi="幼圆" w:cs="幼圆" w:hint="eastAsia"/>
          <w:sz w:val="24"/>
          <w:highlight w:val="none"/>
          <w:lang w:eastAsia="zh-CN"/>
        </w:rPr>
        <w:t>冰柜冰箱</w:t>
      </w:r>
      <w:r>
        <w:rPr>
          <w:rFonts w:ascii="幼圆" w:eastAsia="幼圆" w:hAnsi="幼圆" w:cs="幼圆" w:hint="eastAsia"/>
          <w:sz w:val="24"/>
          <w:highlight w:val="none"/>
        </w:rPr>
        <w:t>企业如果流动比率比较高，但流动资产的流动性较差的话，其偿债能力也不会较高。</w:t>
      </w:r>
    </w:p>
    <w:p>
      <w:pPr>
        <w:numPr>
          <w:ilvl w:val="0"/>
          <w:numId w:val="2"/>
        </w:numPr>
        <w:spacing w:before="156" w:beforeLines="50" w:line="360" w:lineRule="auto"/>
        <w:outlineLvl w:val="2"/>
        <w:rPr>
          <w:rFonts w:ascii="幼圆" w:eastAsia="幼圆" w:hAnsi="幼圆" w:cs="幼圆" w:hint="eastAsia"/>
          <w:bCs/>
          <w:sz w:val="28"/>
          <w:szCs w:val="28"/>
          <w:highlight w:val="none"/>
        </w:rPr>
      </w:pPr>
      <w:bookmarkStart w:id="16" w:name="_Toc71023520"/>
      <w:r>
        <w:rPr>
          <w:rFonts w:ascii="幼圆" w:eastAsia="幼圆" w:hAnsi="幼圆" w:cs="幼圆" w:hint="eastAsia"/>
          <w:bCs/>
          <w:sz w:val="28"/>
          <w:szCs w:val="28"/>
          <w:highlight w:val="none"/>
        </w:rPr>
        <w:t>速动比率</w:t>
      </w:r>
      <w:bookmarkEnd w:id="16"/>
    </w:p>
    <w:p>
      <w:pPr>
        <w:spacing w:before="156" w:beforeLines="50" w:line="360" w:lineRule="auto"/>
        <w:ind w:firstLine="480" w:firstLineChars="200"/>
        <w:rPr>
          <w:rFonts w:ascii="幼圆" w:eastAsia="幼圆" w:hAnsi="幼圆" w:cs="幼圆" w:hint="eastAsia"/>
          <w:sz w:val="24"/>
          <w:highlight w:val="none"/>
        </w:rPr>
      </w:pPr>
      <w:r>
        <w:rPr>
          <w:rFonts w:ascii="幼圆" w:eastAsia="幼圆" w:hAnsi="幼圆" w:cs="幼圆" w:hint="eastAsia"/>
          <w:sz w:val="24"/>
          <w:highlight w:val="none"/>
        </w:rPr>
        <w:t>速动比率对</w:t>
      </w:r>
      <w:r>
        <w:rPr>
          <w:rFonts w:ascii="幼圆" w:eastAsia="幼圆" w:hAnsi="幼圆" w:cs="幼圆" w:hint="eastAsia"/>
          <w:sz w:val="24"/>
          <w:highlight w:val="none"/>
          <w:lang w:eastAsia="zh-CN"/>
        </w:rPr>
        <w:t>冰柜冰箱</w:t>
      </w:r>
      <w:r>
        <w:rPr>
          <w:rFonts w:ascii="幼圆" w:eastAsia="幼圆" w:hAnsi="幼圆" w:cs="幼圆" w:hint="eastAsia"/>
          <w:sz w:val="24"/>
          <w:highlight w:val="none"/>
        </w:rPr>
        <w:t>企业来说要维持在1比较好。</w:t>
      </w:r>
      <w:r>
        <w:rPr>
          <w:rFonts w:ascii="幼圆" w:eastAsia="幼圆" w:hAnsi="幼圆" w:cs="幼圆" w:hint="eastAsia"/>
          <w:sz w:val="24"/>
          <w:highlight w:val="none"/>
          <w:vertAlign w:val="superscript"/>
        </w:rPr>
        <w:t xml:space="preserve"> [5]</w:t>
      </w:r>
      <w:r>
        <w:rPr>
          <w:rFonts w:ascii="幼圆" w:eastAsia="幼圆" w:hAnsi="幼圆" w:cs="幼圆" w:hint="eastAsia"/>
          <w:sz w:val="24"/>
          <w:highlight w:val="none"/>
        </w:rPr>
        <w:t xml:space="preserve"> </w:t>
      </w:r>
    </w:p>
    <w:p>
      <w:pPr>
        <w:spacing w:line="360" w:lineRule="auto"/>
        <w:jc w:val="center"/>
        <w:outlineLvl w:val="1"/>
        <w:rPr>
          <w:rFonts w:ascii="幼圆" w:eastAsia="幼圆" w:hAnsi="幼圆" w:cs="幼圆" w:hint="eastAsia"/>
          <w:b/>
          <w:bCs/>
          <w:sz w:val="24"/>
          <w:highlight w:val="none"/>
        </w:rPr>
      </w:pPr>
      <w:bookmarkStart w:id="17" w:name="_Toc10298"/>
      <w:r>
        <w:rPr>
          <w:rFonts w:ascii="幼圆" w:eastAsia="幼圆" w:hAnsi="幼圆" w:cs="幼圆" w:hint="eastAsia"/>
          <w:b/>
          <w:bCs/>
          <w:sz w:val="24"/>
          <w:highlight w:val="none"/>
        </w:rPr>
        <w:t>速动比率=（流动资产-存货-其他流动资产）</w:t>
      </w:r>
      <w:r>
        <w:rPr>
          <w:rFonts w:ascii="幼圆" w:eastAsia="幼圆" w:hAnsi="幼圆" w:cs="幼圆" w:hint="eastAsia"/>
          <w:b/>
          <w:bCs/>
          <w:sz w:val="24"/>
          <w:highlight w:val="none"/>
        </w:rPr>
        <w:t>÷</w:t>
      </w:r>
      <w:r>
        <w:rPr>
          <w:rFonts w:ascii="幼圆" w:eastAsia="幼圆" w:hAnsi="幼圆" w:cs="幼圆" w:hint="eastAsia"/>
          <w:b/>
          <w:bCs/>
          <w:sz w:val="24"/>
          <w:highlight w:val="none"/>
        </w:rPr>
        <w:t>流动负债</w:t>
      </w:r>
      <w:bookmarkEnd w:id="17"/>
    </w:p>
    <w:p>
      <w:pPr>
        <w:tabs>
          <w:tab w:val="center" w:pos="0"/>
          <w:tab w:val="right" w:pos="9354"/>
        </w:tabs>
        <w:spacing w:line="360" w:lineRule="auto"/>
        <w:rPr>
          <w:rFonts w:ascii="幼圆" w:eastAsia="幼圆" w:hAnsi="幼圆" w:cs="幼圆" w:hint="eastAsia"/>
          <w:sz w:val="24"/>
          <w:highlight w:val="none"/>
        </w:rPr>
      </w:pPr>
      <w:r>
        <w:rPr>
          <w:rFonts w:ascii="幼圆" w:eastAsia="幼圆" w:hAnsi="幼圆" w:cs="幼圆" w:hint="eastAsia"/>
          <w:sz w:val="24"/>
          <w:highlight w:val="none"/>
        </w:rPr>
        <w:t>依照以下数据得知</w:t>
      </w:r>
      <w:r>
        <w:rPr>
          <w:rFonts w:ascii="幼圆" w:eastAsia="幼圆" w:hAnsi="幼圆" w:cs="幼圆" w:hint="eastAsia"/>
          <w:sz w:val="24"/>
          <w:highlight w:val="none"/>
          <w:lang w:eastAsia="zh-CN"/>
        </w:rPr>
        <w:t>合肥长虹美菱</w:t>
      </w:r>
      <w:r>
        <w:rPr>
          <w:rFonts w:ascii="幼圆" w:eastAsia="幼圆" w:hAnsi="幼圆" w:cs="幼圆" w:hint="eastAsia"/>
          <w:sz w:val="24"/>
          <w:highlight w:val="none"/>
        </w:rPr>
        <w:t>的速动比率变化波动比较大，存在一定不稳定的现象。</w:t>
      </w:r>
    </w:p>
    <w:p>
      <w:pPr>
        <w:tabs>
          <w:tab w:val="center" w:pos="0"/>
          <w:tab w:val="right" w:pos="9354"/>
        </w:tabs>
        <w:spacing w:line="360" w:lineRule="auto"/>
        <w:ind w:firstLine="3240" w:firstLineChars="1800"/>
        <w:rPr>
          <w:rFonts w:ascii="幼圆" w:eastAsia="幼圆" w:hAnsi="幼圆" w:cs="幼圆" w:hint="eastAsia"/>
          <w:b/>
          <w:bCs/>
          <w:sz w:val="24"/>
          <w:highlight w:val="none"/>
        </w:rPr>
      </w:pPr>
      <w:r>
        <w:rPr>
          <w:rFonts w:ascii="幼圆" w:eastAsia="幼圆" w:hAnsi="幼圆" w:cs="幼圆" w:hint="eastAsia"/>
          <w:bCs/>
          <w:sz w:val="18"/>
          <w:szCs w:val="18"/>
          <w:highlight w:val="none"/>
        </w:rPr>
        <w:t xml:space="preserve">表2                            </w:t>
      </w:r>
      <w:r>
        <w:rPr>
          <w:rFonts w:ascii="幼圆" w:eastAsia="幼圆" w:hAnsi="幼圆" w:cs="幼圆" w:hint="eastAsia"/>
          <w:bCs/>
          <w:sz w:val="18"/>
          <w:szCs w:val="18"/>
          <w:highlight w:val="none"/>
          <w:lang w:eastAsia="zh-CN"/>
        </w:rPr>
        <w:t>合肥长虹美菱</w:t>
      </w:r>
      <w:r>
        <w:rPr>
          <w:rFonts w:ascii="幼圆" w:eastAsia="幼圆" w:hAnsi="幼圆" w:cs="幼圆" w:hint="eastAsia"/>
          <w:bCs/>
          <w:sz w:val="18"/>
          <w:szCs w:val="18"/>
          <w:highlight w:val="none"/>
        </w:rPr>
        <w:t>的速动比率</w:t>
      </w:r>
      <w:r>
        <w:rPr>
          <w:rFonts w:ascii="幼圆" w:eastAsia="幼圆" w:hAnsi="幼圆" w:cs="幼圆" w:hint="eastAsia"/>
          <w:b/>
          <w:bCs/>
          <w:sz w:val="24"/>
          <w:highlight w:val="none"/>
        </w:rPr>
        <w:tab/>
      </w:r>
    </w:p>
    <w:tbl>
      <w:tblPr>
        <w:tblStyle w:val="0"/>
        <w:tblW w:w="8985"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CellMar>
          <w:top w:w="0" w:type="dxa"/>
          <w:left w:w="108" w:type="dxa"/>
          <w:bottom w:w="0" w:type="dxa"/>
          <w:right w:w="108" w:type="dxa"/>
        </w:tblCellMar>
        <w:tblLook w:val="0000"/>
      </w:tblPr>
      <w:tblGrid>
        <w:gridCol w:w="746"/>
        <w:gridCol w:w="1931"/>
        <w:gridCol w:w="1896"/>
        <w:gridCol w:w="1700"/>
        <w:gridCol w:w="1896"/>
        <w:gridCol w:w="816"/>
      </w:tblGrid>
      <w:tr>
        <w:tblPrEx>
          <w:tblW w:w="8985"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CellMar>
            <w:top w:w="0" w:type="dxa"/>
            <w:left w:w="108" w:type="dxa"/>
            <w:bottom w:w="0" w:type="dxa"/>
            <w:right w:w="108" w:type="dxa"/>
          </w:tblCellMar>
          <w:tblLook w:val="0000"/>
        </w:tblPrEx>
        <w:trPr>
          <w:trHeight w:val="312"/>
        </w:trPr>
        <w:tc>
          <w:tcPr>
            <w:tcW w:w="838" w:type="dxa"/>
            <w:tcBorders>
              <w:top w:val="single" w:sz="4" w:space="0" w:color="auto"/>
              <w:left w:val="single" w:sz="4" w:space="0" w:color="auto"/>
              <w:bottom w:val="single" w:sz="8" w:space="0" w:color="000000"/>
              <w:right w:val="nil"/>
            </w:tcBorders>
          </w:tcPr>
          <w:p>
            <w:pPr>
              <w:widowControl/>
              <w:spacing w:before="0" w:after="0"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rPr>
              <w:t>年份</w:t>
            </w:r>
          </w:p>
        </w:tc>
        <w:tc>
          <w:tcPr>
            <w:tcW w:w="1961" w:type="dxa"/>
            <w:tcBorders>
              <w:top w:val="single" w:sz="4" w:space="0" w:color="auto"/>
              <w:bottom w:val="single" w:sz="8" w:space="0" w:color="000000"/>
              <w:right w:val="nil"/>
            </w:tcBorders>
          </w:tcPr>
          <w:p>
            <w:pPr>
              <w:widowControl/>
              <w:spacing w:before="0" w:after="0"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rPr>
              <w:t>流动资产</w:t>
            </w:r>
          </w:p>
        </w:tc>
        <w:tc>
          <w:tcPr>
            <w:tcW w:w="1818" w:type="dxa"/>
            <w:tcBorders>
              <w:top w:val="single" w:sz="4" w:space="0" w:color="auto"/>
              <w:bottom w:val="single" w:sz="8" w:space="0" w:color="000000"/>
              <w:right w:val="nil"/>
            </w:tcBorders>
          </w:tcPr>
          <w:p>
            <w:pPr>
              <w:widowControl/>
              <w:spacing w:before="0" w:after="0"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rPr>
              <w:t>存货</w:t>
            </w:r>
          </w:p>
        </w:tc>
        <w:tc>
          <w:tcPr>
            <w:tcW w:w="1711" w:type="dxa"/>
            <w:tcBorders>
              <w:top w:val="single" w:sz="4" w:space="0" w:color="auto"/>
              <w:bottom w:val="single" w:sz="8" w:space="0" w:color="000000"/>
              <w:right w:val="nil"/>
            </w:tcBorders>
          </w:tcPr>
          <w:p>
            <w:pPr>
              <w:widowControl/>
              <w:spacing w:before="0" w:after="0"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rPr>
              <w:t>其他流动资产</w:t>
            </w:r>
          </w:p>
        </w:tc>
        <w:tc>
          <w:tcPr>
            <w:tcW w:w="1694" w:type="dxa"/>
            <w:tcBorders>
              <w:top w:val="single" w:sz="4" w:space="0" w:color="auto"/>
              <w:bottom w:val="single" w:sz="8" w:space="0" w:color="000000"/>
              <w:right w:val="nil"/>
            </w:tcBorders>
          </w:tcPr>
          <w:p>
            <w:pPr>
              <w:widowControl/>
              <w:spacing w:before="0" w:after="0"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rPr>
              <w:t>流动负债</w:t>
            </w:r>
          </w:p>
        </w:tc>
        <w:tc>
          <w:tcPr>
            <w:tcW w:w="963" w:type="dxa"/>
            <w:tcBorders>
              <w:top w:val="single" w:sz="4" w:space="0" w:color="auto"/>
              <w:bottom w:val="single" w:sz="8" w:space="0" w:color="000000"/>
              <w:right w:val="single" w:sz="4" w:space="0" w:color="auto"/>
            </w:tcBorders>
          </w:tcPr>
          <w:p>
            <w:pPr>
              <w:widowControl/>
              <w:spacing w:before="0" w:after="0"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rPr>
              <w:t>速动比率</w:t>
            </w:r>
          </w:p>
        </w:tc>
      </w:tr>
      <w:tr>
        <w:tblPrEx>
          <w:tblW w:w="8985" w:type="dxa"/>
          <w:tblCellMar>
            <w:top w:w="0" w:type="dxa"/>
            <w:left w:w="108" w:type="dxa"/>
            <w:bottom w:w="0" w:type="dxa"/>
            <w:right w:w="108" w:type="dxa"/>
          </w:tblCellMar>
          <w:tblLook w:val="0000"/>
        </w:tblPrEx>
        <w:trPr>
          <w:trHeight w:val="312"/>
        </w:trPr>
        <w:tc>
          <w:tcPr>
            <w:tcW w:w="838" w:type="dxa"/>
            <w:tcBorders>
              <w:left w:val="single" w:sz="4" w:space="0" w:color="auto"/>
              <w:right w:val="nil"/>
            </w:tcBorders>
            <w:shd w:val="clear" w:color="auto" w:fill="BFBFBF"/>
          </w:tcPr>
          <w:p>
            <w:pPr>
              <w:widowControl/>
              <w:spacing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lang w:eastAsia="zh-CN"/>
              </w:rPr>
              <w:t>2019</w:t>
            </w:r>
          </w:p>
        </w:tc>
        <w:tc>
          <w:tcPr>
            <w:tcW w:w="1961"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3,886,218,396.08</w:t>
            </w:r>
          </w:p>
        </w:tc>
        <w:tc>
          <w:tcPr>
            <w:tcW w:w="1818"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1,026,950,110.16</w:t>
            </w:r>
          </w:p>
        </w:tc>
        <w:tc>
          <w:tcPr>
            <w:tcW w:w="1711"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88,153,992.14</w:t>
            </w:r>
          </w:p>
        </w:tc>
        <w:tc>
          <w:tcPr>
            <w:tcW w:w="1694"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3,338,923,599.79</w:t>
            </w:r>
          </w:p>
        </w:tc>
        <w:tc>
          <w:tcPr>
            <w:tcW w:w="963" w:type="dxa"/>
            <w:tcBorders>
              <w:right w:val="single" w:sz="4" w:space="0" w:color="auto"/>
            </w:tcBorders>
            <w:shd w:val="clear" w:color="auto" w:fill="BFBFBF"/>
          </w:tcPr>
          <w:p>
            <w:pPr>
              <w:widowControl/>
              <w:spacing w:line="360" w:lineRule="auto"/>
              <w:jc w:val="center"/>
              <w:rPr>
                <w:rFonts w:ascii="幼圆" w:eastAsia="幼圆" w:hAnsi="幼圆" w:cs="幼圆" w:hint="eastAsia"/>
                <w:b/>
                <w:bCs/>
                <w:color w:val="000000"/>
                <w:kern w:val="0"/>
                <w:szCs w:val="21"/>
                <w:highlight w:val="none"/>
              </w:rPr>
            </w:pPr>
            <w:r>
              <w:rPr>
                <w:rFonts w:ascii="幼圆" w:eastAsia="幼圆" w:hAnsi="幼圆" w:cs="幼圆" w:hint="eastAsia"/>
                <w:b/>
                <w:bCs/>
                <w:color w:val="000000"/>
                <w:kern w:val="0"/>
                <w:szCs w:val="21"/>
                <w:highlight w:val="none"/>
              </w:rPr>
              <w:t>0.83</w:t>
            </w:r>
          </w:p>
        </w:tc>
      </w:tr>
      <w:tr>
        <w:tblPrEx>
          <w:tblW w:w="8985" w:type="dxa"/>
          <w:tblCellMar>
            <w:top w:w="0" w:type="dxa"/>
            <w:left w:w="108" w:type="dxa"/>
            <w:bottom w:w="0" w:type="dxa"/>
            <w:right w:w="108" w:type="dxa"/>
          </w:tblCellMar>
          <w:tblLook w:val="0000"/>
        </w:tblPrEx>
        <w:trPr>
          <w:trHeight w:val="296"/>
        </w:trPr>
        <w:tc>
          <w:tcPr>
            <w:tcW w:w="838" w:type="dxa"/>
            <w:tcBorders>
              <w:left w:val="single" w:sz="4" w:space="0" w:color="auto"/>
            </w:tcBorders>
          </w:tcPr>
          <w:p>
            <w:pPr>
              <w:widowControl/>
              <w:spacing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lang w:eastAsia="zh-CN"/>
              </w:rPr>
              <w:t>2020</w:t>
            </w:r>
          </w:p>
        </w:tc>
        <w:tc>
          <w:tcPr>
            <w:tcW w:w="1961"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4,016,744,800.60</w:t>
            </w:r>
          </w:p>
        </w:tc>
        <w:tc>
          <w:tcPr>
            <w:tcW w:w="1818"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1,306,749,238.43</w:t>
            </w:r>
          </w:p>
        </w:tc>
        <w:tc>
          <w:tcPr>
            <w:tcW w:w="1711"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437,506,277.65</w:t>
            </w:r>
          </w:p>
        </w:tc>
        <w:tc>
          <w:tcPr>
            <w:tcW w:w="1694"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4,087,161,358.62</w:t>
            </w:r>
          </w:p>
        </w:tc>
        <w:tc>
          <w:tcPr>
            <w:tcW w:w="963" w:type="dxa"/>
            <w:tcBorders>
              <w:right w:val="single" w:sz="4" w:space="0" w:color="auto"/>
            </w:tcBorders>
          </w:tcPr>
          <w:p>
            <w:pPr>
              <w:widowControl/>
              <w:spacing w:line="360" w:lineRule="auto"/>
              <w:jc w:val="center"/>
              <w:rPr>
                <w:rFonts w:ascii="幼圆" w:eastAsia="幼圆" w:hAnsi="幼圆" w:cs="幼圆" w:hint="eastAsia"/>
                <w:b/>
                <w:bCs/>
                <w:color w:val="000000"/>
                <w:kern w:val="0"/>
                <w:szCs w:val="21"/>
                <w:highlight w:val="none"/>
              </w:rPr>
            </w:pPr>
            <w:r>
              <w:rPr>
                <w:rFonts w:ascii="幼圆" w:eastAsia="幼圆" w:hAnsi="幼圆" w:cs="幼圆" w:hint="eastAsia"/>
                <w:b/>
                <w:bCs/>
                <w:color w:val="000000"/>
                <w:kern w:val="0"/>
                <w:szCs w:val="21"/>
                <w:highlight w:val="none"/>
              </w:rPr>
              <w:t>0.56</w:t>
            </w:r>
          </w:p>
        </w:tc>
      </w:tr>
      <w:tr>
        <w:tblPrEx>
          <w:tblW w:w="8985" w:type="dxa"/>
          <w:tblCellMar>
            <w:top w:w="0" w:type="dxa"/>
            <w:left w:w="108" w:type="dxa"/>
            <w:bottom w:w="0" w:type="dxa"/>
            <w:right w:w="108" w:type="dxa"/>
          </w:tblCellMar>
          <w:tblLook w:val="0000"/>
        </w:tblPrEx>
        <w:trPr>
          <w:trHeight w:val="296"/>
        </w:trPr>
        <w:tc>
          <w:tcPr>
            <w:tcW w:w="838" w:type="dxa"/>
            <w:tcBorders>
              <w:left w:val="single" w:sz="4" w:space="0" w:color="auto"/>
              <w:right w:val="nil"/>
            </w:tcBorders>
            <w:shd w:val="clear" w:color="auto" w:fill="BFBFBF"/>
          </w:tcPr>
          <w:p>
            <w:pPr>
              <w:widowControl/>
              <w:spacing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lang w:eastAsia="zh-CN"/>
              </w:rPr>
              <w:t>2021</w:t>
            </w:r>
          </w:p>
        </w:tc>
        <w:tc>
          <w:tcPr>
            <w:tcW w:w="1961"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4,778,858,450.04</w:t>
            </w:r>
          </w:p>
        </w:tc>
        <w:tc>
          <w:tcPr>
            <w:tcW w:w="1818"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1,345,611,845.83</w:t>
            </w:r>
          </w:p>
        </w:tc>
        <w:tc>
          <w:tcPr>
            <w:tcW w:w="1711"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727,020,638.81</w:t>
            </w:r>
          </w:p>
        </w:tc>
        <w:tc>
          <w:tcPr>
            <w:tcW w:w="1694" w:type="dxa"/>
            <w:tcBorders>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4,379,276,687.47</w:t>
            </w:r>
          </w:p>
        </w:tc>
        <w:tc>
          <w:tcPr>
            <w:tcW w:w="963" w:type="dxa"/>
            <w:tcBorders>
              <w:right w:val="single" w:sz="4" w:space="0" w:color="auto"/>
            </w:tcBorders>
            <w:shd w:val="clear" w:color="auto" w:fill="BFBFBF"/>
          </w:tcPr>
          <w:p>
            <w:pPr>
              <w:widowControl/>
              <w:spacing w:line="360" w:lineRule="auto"/>
              <w:jc w:val="center"/>
              <w:rPr>
                <w:rFonts w:ascii="幼圆" w:eastAsia="幼圆" w:hAnsi="幼圆" w:cs="幼圆" w:hint="eastAsia"/>
                <w:b/>
                <w:bCs/>
                <w:color w:val="000000"/>
                <w:kern w:val="0"/>
                <w:szCs w:val="21"/>
                <w:highlight w:val="none"/>
              </w:rPr>
            </w:pPr>
            <w:r>
              <w:rPr>
                <w:rFonts w:ascii="幼圆" w:eastAsia="幼圆" w:hAnsi="幼圆" w:cs="幼圆" w:hint="eastAsia"/>
                <w:b/>
                <w:bCs/>
                <w:color w:val="000000"/>
                <w:kern w:val="0"/>
                <w:szCs w:val="21"/>
                <w:highlight w:val="none"/>
              </w:rPr>
              <w:t>0.62</w:t>
            </w:r>
          </w:p>
        </w:tc>
      </w:tr>
      <w:tr>
        <w:tblPrEx>
          <w:tblW w:w="8985" w:type="dxa"/>
          <w:tblCellMar>
            <w:top w:w="0" w:type="dxa"/>
            <w:left w:w="108" w:type="dxa"/>
            <w:bottom w:w="0" w:type="dxa"/>
            <w:right w:w="108" w:type="dxa"/>
          </w:tblCellMar>
          <w:tblLook w:val="0000"/>
        </w:tblPrEx>
        <w:trPr>
          <w:trHeight w:val="296"/>
        </w:trPr>
        <w:tc>
          <w:tcPr>
            <w:tcW w:w="838" w:type="dxa"/>
            <w:tcBorders>
              <w:left w:val="single" w:sz="4" w:space="0" w:color="auto"/>
            </w:tcBorders>
          </w:tcPr>
          <w:p>
            <w:pPr>
              <w:widowControl/>
              <w:spacing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lang w:eastAsia="zh-CN"/>
              </w:rPr>
              <w:t>2022</w:t>
            </w:r>
          </w:p>
        </w:tc>
        <w:tc>
          <w:tcPr>
            <w:tcW w:w="1961"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4,316,749,316.14</w:t>
            </w:r>
          </w:p>
        </w:tc>
        <w:tc>
          <w:tcPr>
            <w:tcW w:w="1818"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955,792,621.01</w:t>
            </w:r>
          </w:p>
        </w:tc>
        <w:tc>
          <w:tcPr>
            <w:tcW w:w="1711"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148,257,160.19</w:t>
            </w:r>
          </w:p>
        </w:tc>
        <w:tc>
          <w:tcPr>
            <w:tcW w:w="1694" w:type="dxa"/>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4,561,955,793.26</w:t>
            </w:r>
          </w:p>
        </w:tc>
        <w:tc>
          <w:tcPr>
            <w:tcW w:w="963" w:type="dxa"/>
            <w:tcBorders>
              <w:right w:val="single" w:sz="4" w:space="0" w:color="auto"/>
            </w:tcBorders>
          </w:tcPr>
          <w:p>
            <w:pPr>
              <w:widowControl/>
              <w:spacing w:line="360" w:lineRule="auto"/>
              <w:jc w:val="center"/>
              <w:rPr>
                <w:rFonts w:ascii="幼圆" w:eastAsia="幼圆" w:hAnsi="幼圆" w:cs="幼圆" w:hint="eastAsia"/>
                <w:b/>
                <w:bCs/>
                <w:color w:val="000000"/>
                <w:kern w:val="0"/>
                <w:szCs w:val="21"/>
                <w:highlight w:val="none"/>
              </w:rPr>
            </w:pPr>
            <w:r>
              <w:rPr>
                <w:rFonts w:ascii="幼圆" w:eastAsia="幼圆" w:hAnsi="幼圆" w:cs="幼圆" w:hint="eastAsia"/>
                <w:b/>
                <w:bCs/>
                <w:color w:val="000000"/>
                <w:kern w:val="0"/>
                <w:szCs w:val="21"/>
                <w:highlight w:val="none"/>
              </w:rPr>
              <w:t>0.7</w:t>
            </w:r>
          </w:p>
        </w:tc>
      </w:tr>
      <w:tr>
        <w:tblPrEx>
          <w:tblW w:w="8985" w:type="dxa"/>
          <w:tblCellMar>
            <w:top w:w="0" w:type="dxa"/>
            <w:left w:w="108" w:type="dxa"/>
            <w:bottom w:w="0" w:type="dxa"/>
            <w:right w:w="108" w:type="dxa"/>
          </w:tblCellMar>
          <w:tblLook w:val="0000"/>
        </w:tblPrEx>
        <w:trPr>
          <w:trHeight w:val="296"/>
        </w:trPr>
        <w:tc>
          <w:tcPr>
            <w:tcW w:w="838" w:type="dxa"/>
            <w:tcBorders>
              <w:left w:val="single" w:sz="4" w:space="0" w:color="auto"/>
              <w:bottom w:val="single" w:sz="4" w:space="0" w:color="auto"/>
              <w:right w:val="nil"/>
            </w:tcBorders>
            <w:shd w:val="clear" w:color="auto" w:fill="BFBFBF"/>
          </w:tcPr>
          <w:p>
            <w:pPr>
              <w:widowControl/>
              <w:spacing w:line="360" w:lineRule="auto"/>
              <w:jc w:val="center"/>
              <w:rPr>
                <w:rFonts w:ascii="幼圆" w:eastAsia="幼圆" w:hAnsi="幼圆" w:cs="幼圆" w:hint="eastAsia"/>
                <w:b w:val="0"/>
                <w:bCs w:val="0"/>
                <w:color w:val="000000"/>
                <w:kern w:val="0"/>
                <w:szCs w:val="21"/>
                <w:highlight w:val="none"/>
              </w:rPr>
            </w:pPr>
            <w:r>
              <w:rPr>
                <w:rFonts w:ascii="幼圆" w:eastAsia="幼圆" w:hAnsi="幼圆" w:cs="幼圆" w:hint="eastAsia"/>
                <w:b w:val="0"/>
                <w:bCs w:val="0"/>
                <w:color w:val="000000"/>
                <w:kern w:val="0"/>
                <w:szCs w:val="21"/>
                <w:highlight w:val="none"/>
                <w:lang w:eastAsia="zh-CN"/>
              </w:rPr>
              <w:t>2023</w:t>
            </w:r>
          </w:p>
        </w:tc>
        <w:tc>
          <w:tcPr>
            <w:tcW w:w="1961" w:type="dxa"/>
            <w:tcBorders>
              <w:bottom w:val="single" w:sz="4" w:space="0" w:color="auto"/>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4,259,984,428.98</w:t>
            </w:r>
          </w:p>
        </w:tc>
        <w:tc>
          <w:tcPr>
            <w:tcW w:w="1818" w:type="dxa"/>
            <w:tcBorders>
              <w:bottom w:val="single" w:sz="4" w:space="0" w:color="auto"/>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1,141,354,026.51</w:t>
            </w:r>
          </w:p>
        </w:tc>
        <w:tc>
          <w:tcPr>
            <w:tcW w:w="1711" w:type="dxa"/>
            <w:tcBorders>
              <w:bottom w:val="single" w:sz="4" w:space="0" w:color="auto"/>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224,499,035.65</w:t>
            </w:r>
          </w:p>
        </w:tc>
        <w:tc>
          <w:tcPr>
            <w:tcW w:w="1694" w:type="dxa"/>
            <w:tcBorders>
              <w:bottom w:val="single" w:sz="4" w:space="0" w:color="auto"/>
              <w:right w:val="nil"/>
            </w:tcBorders>
            <w:shd w:val="clear" w:color="auto" w:fill="BFBFBF"/>
          </w:tcPr>
          <w:p>
            <w:pPr>
              <w:widowControl/>
              <w:spacing w:line="360" w:lineRule="auto"/>
              <w:jc w:val="center"/>
              <w:rPr>
                <w:rFonts w:ascii="幼圆" w:eastAsia="幼圆" w:hAnsi="幼圆" w:cs="幼圆" w:hint="eastAsia"/>
                <w:color w:val="000000"/>
                <w:kern w:val="0"/>
                <w:szCs w:val="21"/>
                <w:highlight w:val="none"/>
              </w:rPr>
            </w:pPr>
            <w:r>
              <w:rPr>
                <w:rFonts w:ascii="幼圆" w:eastAsia="幼圆" w:hAnsi="幼圆" w:cs="幼圆" w:hint="eastAsia"/>
                <w:color w:val="000000"/>
                <w:kern w:val="0"/>
                <w:szCs w:val="21"/>
                <w:highlight w:val="none"/>
              </w:rPr>
              <w:t>5,264,422,192.38</w:t>
            </w:r>
          </w:p>
        </w:tc>
        <w:tc>
          <w:tcPr>
            <w:tcW w:w="963" w:type="dxa"/>
            <w:tcBorders>
              <w:bottom w:val="single" w:sz="4" w:space="0" w:color="auto"/>
              <w:right w:val="single" w:sz="4" w:space="0" w:color="auto"/>
            </w:tcBorders>
            <w:shd w:val="clear" w:color="auto" w:fill="BFBFBF"/>
          </w:tcPr>
          <w:p>
            <w:pPr>
              <w:widowControl/>
              <w:spacing w:line="360" w:lineRule="auto"/>
              <w:jc w:val="center"/>
              <w:rPr>
                <w:rFonts w:ascii="幼圆" w:eastAsia="幼圆" w:hAnsi="幼圆" w:cs="幼圆" w:hint="eastAsia"/>
                <w:b/>
                <w:bCs/>
                <w:color w:val="000000"/>
                <w:kern w:val="0"/>
                <w:szCs w:val="21"/>
                <w:highlight w:val="none"/>
              </w:rPr>
            </w:pPr>
            <w:r>
              <w:rPr>
                <w:rFonts w:ascii="幼圆" w:eastAsia="幼圆" w:hAnsi="幼圆" w:cs="幼圆" w:hint="eastAsia"/>
                <w:b/>
                <w:bCs/>
                <w:color w:val="000000"/>
                <w:kern w:val="0"/>
                <w:szCs w:val="21"/>
                <w:highlight w:val="none"/>
              </w:rPr>
              <w:t>0.55</w:t>
            </w:r>
          </w:p>
        </w:tc>
      </w:tr>
    </w:tbl>
    <w:p>
      <w:pPr>
        <w:tabs>
          <w:tab w:val="center" w:pos="0"/>
          <w:tab w:val="right" w:pos="9354"/>
        </w:tabs>
        <w:spacing w:line="360" w:lineRule="auto"/>
        <w:rPr>
          <w:rFonts w:ascii="幼圆" w:eastAsia="幼圆" w:hAnsi="幼圆" w:cs="幼圆" w:hint="eastAsia"/>
          <w:b/>
          <w:bCs/>
          <w:sz w:val="24"/>
          <w:highlight w:val="none"/>
        </w:rPr>
      </w:pPr>
    </w:p>
    <w:p>
      <w:pPr>
        <w:spacing w:line="360" w:lineRule="auto"/>
        <w:ind w:firstLine="1260" w:firstLineChars="600"/>
        <w:rPr>
          <w:rFonts w:ascii="幼圆" w:eastAsia="幼圆" w:hAnsi="幼圆" w:cs="幼圆" w:hint="eastAsia"/>
          <w:highlight w:val="none"/>
        </w:rPr>
      </w:pPr>
      <w:r>
        <w:rPr>
          <w:rFonts w:ascii="幼圆" w:eastAsia="幼圆" w:hAnsi="幼圆" w:cs="幼圆" w:hint="eastAsia"/>
          <w:highlight w:val="none"/>
        </w:rPr>
        <w:pict>
          <v:shape id="图表 9" o:spid="_x0000_i1099" type="#_x0000_t75" style="width:334.5pt;height:204pt;mso-wrap-distance-left:0;mso-wrap-distance-right:0" filled="f" stroked="f">
            <v:imagedata r:id="rId5" o:title=""/>
            <v:path o:extrusionok="f"/>
          </v:shape>
        </w:pict>
      </w:r>
      <w:r>
        <w:rPr>
          <w:rFonts w:ascii="幼圆" w:eastAsia="幼圆" w:hAnsi="幼圆" w:cs="幼圆" w:hint="eastAsia"/>
          <w:highlight w:val="none"/>
        </w:rPr>
        <w:br/>
      </w:r>
      <w:r>
        <w:rPr>
          <w:rFonts w:ascii="幼圆" w:eastAsia="幼圆" w:hAnsi="幼圆" w:cs="幼圆" w:hint="eastAsia"/>
          <w:highlight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https://d.book118.com/456100115102010100</w:t>
        </w:r>
      </w:hyperlink>
    </w:p>
    <w:p>
      <w:pPr>
        <w:spacing w:line="360" w:lineRule="auto"/>
        <w:ind w:firstLine="1260" w:firstLineChars="600"/>
        <w:rPr>
          <w:rFonts w:ascii="幼圆" w:eastAsia="幼圆" w:hAnsi="幼圆" w:cs="幼圆" w:hint="eastAsia"/>
          <w:highlight w:val="none"/>
        </w:rPr>
      </w:pPr>
    </w:p>
    <w:sectPr>
      <w:type w:val="nextPage"/>
      <w:pgSz w:w="11906" w:h="16838"/>
      <w:pgMar w:top="1440" w:right="1800" w:bottom="1440" w:left="1800" w:header="851" w:footer="992" w:gutter="0"/>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2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86"/>
    <w:family w:val="auto"/>
    <w:pitch w:val="default"/>
    <w:sig w:usb0="E0002EFF" w:usb1="C000785B" w:usb2="00000009" w:usb3="00000000" w:csb0="4004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1E1F79"/>
    <w:multiLevelType w:val="singleLevel"/>
    <w:tmpl w:val="851E1F79"/>
    <w:lvl w:ilvl="0">
      <w:start w:val="1"/>
      <w:numFmt w:val="chineseCounting"/>
      <w:suff w:val="nothing"/>
      <w:lvlText w:val="（%1）"/>
      <w:lvlJc w:val="left"/>
      <w:rPr>
        <w:rFonts w:hint="eastAsia"/>
      </w:rPr>
    </w:lvl>
  </w:abstractNum>
  <w:abstractNum w:abstractNumId="1">
    <w:nsid w:val="038816CB"/>
    <w:multiLevelType w:val="multilevel"/>
    <w:tmpl w:val="038816CB"/>
    <w:lvl w:ilvl="0">
      <w:start w:val="1"/>
      <w:numFmt w:val="decimal"/>
      <w:lvlText w:val="%1."/>
      <w:lvlJc w:val="left"/>
      <w:pPr>
        <w:ind w:left="644" w:hanging="36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
    <w:nsid w:val="141D41F0"/>
    <w:multiLevelType w:val="multilevel"/>
    <w:tmpl w:val="141D41F0"/>
    <w:lvl w:ilvl="0">
      <w:start w:val="1"/>
      <w:numFmt w:val="decimal"/>
      <w:lvlText w:val="%1."/>
      <w:lvlJc w:val="left"/>
      <w:pPr>
        <w:ind w:left="644" w:hanging="36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3">
    <w:nsid w:val="31B34B8C"/>
    <w:multiLevelType w:val="multilevel"/>
    <w:tmpl w:val="31B34B8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4D84786C"/>
    <w:multiLevelType w:val="multilevel"/>
    <w:tmpl w:val="4D84786C"/>
    <w:lvl w:ilvl="0">
      <w:start w:val="1"/>
      <w:numFmt w:val="decimal"/>
      <w:lvlText w:val="%1."/>
      <w:lvlJc w:val="left"/>
      <w:pPr>
        <w:ind w:left="644" w:hanging="36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5">
    <w:nsid w:val="4FD5674A"/>
    <w:multiLevelType w:val="multilevel"/>
    <w:tmpl w:val="4FD5674A"/>
    <w:lvl w:ilvl="0">
      <w:start w:val="1"/>
      <w:numFmt w:val="decimal"/>
      <w:lvlText w:val="%1."/>
      <w:lvlJc w:val="left"/>
      <w:pPr>
        <w:ind w:left="644" w:hanging="36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6">
    <w:nsid w:val="54A50B57"/>
    <w:multiLevelType w:val="multilevel"/>
    <w:tmpl w:val="54A50B57"/>
    <w:lvl w:ilvl="0">
      <w:start w:val="1"/>
      <w:numFmt w:val="japaneseCounting"/>
      <w:lvlText w:val="（%1）"/>
      <w:lvlJc w:val="left"/>
      <w:pPr>
        <w:ind w:left="885" w:hanging="88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085D7E8"/>
    <w:multiLevelType w:val="singleLevel"/>
    <w:tmpl w:val="6085D7E8"/>
    <w:lvl w:ilvl="0">
      <w:start w:val="1"/>
      <w:numFmt w:val="decimal"/>
      <w:lvlText w:val="%1."/>
      <w:lvlJc w:val="left"/>
      <w:pPr>
        <w:ind w:left="420" w:hanging="420"/>
      </w:pPr>
      <w:rPr>
        <w:rFonts w:hint="eastAsia"/>
      </w:rPr>
    </w:lvl>
  </w:abstractNum>
  <w:abstractNum w:abstractNumId="8">
    <w:nsid w:val="66547132"/>
    <w:multiLevelType w:val="multilevel"/>
    <w:tmpl w:val="6654713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77F42A1F"/>
    <w:multiLevelType w:val="multilevel"/>
    <w:tmpl w:val="77F42A1F"/>
    <w:lvl w:ilvl="0">
      <w:start w:val="1"/>
      <w:numFmt w:val="decimal"/>
      <w:lvlText w:val="%1."/>
      <w:lvlJc w:val="left"/>
      <w:pPr>
        <w:ind w:left="781" w:hanging="420"/>
      </w:pPr>
    </w:lvl>
    <w:lvl w:ilvl="1">
      <w:start w:val="1"/>
      <w:numFmt w:val="lowerLetter"/>
      <w:lvlText w:val="%2)"/>
      <w:lvlJc w:val="left"/>
      <w:pPr>
        <w:ind w:left="1201" w:hanging="420"/>
      </w:pPr>
    </w:lvl>
    <w:lvl w:ilvl="2">
      <w:start w:val="1"/>
      <w:numFmt w:val="lowerRoman"/>
      <w:lvlText w:val="%3."/>
      <w:lvlJc w:val="right"/>
      <w:pPr>
        <w:ind w:left="1621" w:hanging="420"/>
      </w:pPr>
    </w:lvl>
    <w:lvl w:ilvl="3">
      <w:start w:val="1"/>
      <w:numFmt w:val="decimal"/>
      <w:lvlText w:val="%4."/>
      <w:lvlJc w:val="left"/>
      <w:pPr>
        <w:ind w:left="2041" w:hanging="420"/>
      </w:pPr>
    </w:lvl>
    <w:lvl w:ilvl="4">
      <w:start w:val="1"/>
      <w:numFmt w:val="lowerLetter"/>
      <w:lvlText w:val="%5)"/>
      <w:lvlJc w:val="left"/>
      <w:pPr>
        <w:ind w:left="2461" w:hanging="420"/>
      </w:pPr>
    </w:lvl>
    <w:lvl w:ilvl="5">
      <w:start w:val="1"/>
      <w:numFmt w:val="lowerRoman"/>
      <w:lvlText w:val="%6."/>
      <w:lvlJc w:val="right"/>
      <w:pPr>
        <w:ind w:left="2881" w:hanging="420"/>
      </w:pPr>
    </w:lvl>
    <w:lvl w:ilvl="6">
      <w:start w:val="1"/>
      <w:numFmt w:val="decimal"/>
      <w:lvlText w:val="%7."/>
      <w:lvlJc w:val="left"/>
      <w:pPr>
        <w:ind w:left="3301" w:hanging="420"/>
      </w:pPr>
    </w:lvl>
    <w:lvl w:ilvl="7">
      <w:start w:val="1"/>
      <w:numFmt w:val="lowerLetter"/>
      <w:lvlText w:val="%8)"/>
      <w:lvlJc w:val="left"/>
      <w:pPr>
        <w:ind w:left="3721" w:hanging="420"/>
      </w:pPr>
    </w:lvl>
    <w:lvl w:ilvl="8">
      <w:start w:val="1"/>
      <w:numFmt w:val="lowerRoman"/>
      <w:lvlText w:val="%9."/>
      <w:lvlJc w:val="right"/>
      <w:pPr>
        <w:ind w:left="4141" w:hanging="420"/>
      </w:pPr>
    </w:lvl>
  </w:abstractNum>
  <w:num w:numId="1">
    <w:abstractNumId w:val="0"/>
  </w:num>
  <w:num w:numId="2">
    <w:abstractNumId w:val="7"/>
  </w:num>
  <w:num w:numId="3">
    <w:abstractNumId w:val="3"/>
  </w:num>
  <w:num w:numId="4">
    <w:abstractNumId w:val="8"/>
  </w:num>
  <w:num w:numId="5">
    <w:abstractNumId w:val="6"/>
  </w:num>
  <w:num w:numId="6">
    <w:abstractNumId w:val="1"/>
  </w:num>
  <w:num w:numId="7">
    <w:abstractNumId w:val="5"/>
  </w:num>
  <w:num w:numId="8">
    <w:abstractNumId w:val="4"/>
  </w:num>
  <w:num w:numId="9">
    <w:abstractNumId w:val="2"/>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53CA4"/>
    <w:rsid w:val="00510B0B"/>
    <w:rsid w:val="005B451A"/>
    <w:rsid w:val="007A6C50"/>
    <w:rsid w:val="00C53CA4"/>
    <w:rsid w:val="00CC757B"/>
    <w:rsid w:val="00D12DEC"/>
    <w:rsid w:val="070064E3"/>
    <w:rsid w:val="1B6F07A6"/>
    <w:rsid w:val="2A1D08BC"/>
    <w:rsid w:val="37A21255"/>
    <w:rsid w:val="5FB8124D"/>
    <w:rsid w:val="6CD37405"/>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qFormat="1"/>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qFormat="1"/>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styleId="BodyTextIndent">
    <w:name w:val="Body Text Indent"/>
    <w:basedOn w:val="Normal"/>
    <w:qFormat/>
    <w:pPr>
      <w:spacing w:after="120"/>
      <w:ind w:left="420" w:leftChars="200"/>
    </w:pPr>
  </w:style>
  <w:style w:type="paragraph" w:styleId="BalloonText">
    <w:name w:val="Balloon Text"/>
    <w:basedOn w:val="Normal"/>
    <w:link w:val="Char"/>
    <w:uiPriority w:val="99"/>
    <w:unhideWhenUsed/>
    <w:qFormat/>
    <w:rPr>
      <w:sz w:val="18"/>
      <w:szCs w:val="18"/>
    </w:rPr>
  </w:style>
  <w:style w:type="character" w:customStyle="1" w:styleId="Char">
    <w:name w:val="批注框文本 Char"/>
    <w:basedOn w:val="DefaultParagraphFont"/>
    <w:link w:val="BalloonText"/>
    <w:uiPriority w:val="99"/>
    <w:semiHidden/>
    <w:qFormat/>
    <w:rPr>
      <w:rFonts w:ascii="Times New Roman" w:eastAsia="宋体" w:hAnsi="Times New Roman" w:cs="Times New Roman"/>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qFormat/>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DefaultParagraphFont"/>
    <w:link w:val="Header"/>
    <w:uiPriority w:val="99"/>
    <w:qFormat/>
    <w:rPr>
      <w:sz w:val="18"/>
      <w:szCs w:val="18"/>
    </w:rPr>
  </w:style>
  <w:style w:type="table" w:styleId="LightShading">
    <w:name w:val="Light Shading"/>
    <w:basedOn w:val="TableNormal"/>
    <w:uiPriority w:val="60"/>
    <w:rPr>
      <w:color w:val="000000"/>
    </w:rPr>
    <w:tblPr>
      <w:tblBorders>
        <w:top w:val="single" w:sz="8" w:space="0" w:color="000000"/>
        <w:left w:val="none" w:sz="0" w:space="0" w:color="auto"/>
        <w:bottom w:val="single" w:sz="8" w:space="0" w:color="000000"/>
        <w:right w:val="none" w:sz="0" w:space="0" w:color="auto"/>
        <w:insideH w:val="none" w:sz="0" w:space="0" w:color="auto"/>
        <w:insideV w:val="none" w:sz="0" w:space="0" w:color="auto"/>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BFBFBF"/>
      </w:tcPr>
    </w:tblStylePr>
    <w:tblStylePr w:type="band1Horz">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BFBFBF"/>
      </w:tcPr>
    </w:tblStylePr>
  </w:style>
  <w:style w:type="table" w:styleId="LightShadingAccent4">
    <w:name w:val="Light Shading Accent 4"/>
    <w:basedOn w:val="TableNormal"/>
    <w:uiPriority w:val="60"/>
    <w:rPr>
      <w:color w:val="5F497A"/>
    </w:rPr>
    <w:tblPr>
      <w:tblBorders>
        <w:top w:val="single" w:sz="8" w:space="0" w:color="8064A2"/>
        <w:left w:val="none" w:sz="0" w:space="0" w:color="auto"/>
        <w:bottom w:val="single" w:sz="8" w:space="0" w:color="8064A2"/>
        <w:right w:val="none" w:sz="0" w:space="0" w:color="auto"/>
        <w:insideH w:val="none" w:sz="0" w:space="0" w:color="auto"/>
        <w:insideV w:val="none" w:sz="0" w:space="0" w:color="auto"/>
      </w:tblBorders>
    </w:tblPr>
    <w:tblStylePr w:type="firstRow">
      <w:pPr>
        <w:spacing w:before="0" w:after="0" w:line="240" w:lineRule="auto"/>
      </w:pPr>
      <w:rPr>
        <w:b/>
        <w:bCs/>
      </w:rPr>
      <w:tblPr/>
      <w:tcPr>
        <w:tcBorders>
          <w:top w:val="single" w:sz="8" w:space="0" w:color="8064A2"/>
          <w:left w:val="single" w:sz="8" w:space="0" w:color="8064A2"/>
          <w:bottom w:val="nil"/>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8064A2"/>
          <w:left w:val="single" w:sz="8" w:space="0" w:color="8064A2"/>
          <w:bottom w:val="nil"/>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DFD8E8"/>
      </w:tcPr>
    </w:tblStylePr>
    <w:tblStylePr w:type="band1Horz">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DFD8E8"/>
      </w:tcPr>
    </w:tblStylePr>
  </w:style>
  <w:style w:type="table" w:styleId="MediumShading2Accent5">
    <w:name w:val="Medium Shading 2 Accent 5"/>
    <w:basedOn w:val="TableNormal"/>
    <w:uiPriority w:val="64"/>
    <w:tblPr>
      <w:tblBorders>
        <w:top w:val="single" w:sz="18" w:space="0" w:color="auto"/>
        <w:left w:val="none" w:sz="0" w:space="0" w:color="auto"/>
        <w:bottom w:val="single" w:sz="18" w:space="0" w:color="auto"/>
        <w:right w:val="none" w:sz="0" w:space="0" w:color="auto"/>
        <w:insideH w:val="none" w:sz="0" w:space="0" w:color="auto"/>
        <w:insideV w:val="none" w:sz="0"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one" w:sz="0" w:space="0" w:color="auto"/>
          <w:tr2bl w:val="none" w:sz="0" w:space="0" w:color="auto"/>
        </w:tcBorders>
        <w:shd w:val="clear" w:color="auto" w:fill="4BACC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one" w:sz="0" w:space="0" w:color="auto"/>
          <w:tr2bl w:val="none" w:sz="0" w:space="0" w:color="auto"/>
        </w:tcBorders>
        <w:shd w:val="clear" w:color="auto" w:fill="4BACC6"/>
      </w:tcPr>
    </w:tblStylePr>
    <w:tblStylePr w:type="lastCol">
      <w:rPr>
        <w:b/>
        <w:bCs/>
        <w:color w:val="FFFFFF"/>
      </w:rPr>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4BACC6"/>
      </w:tcPr>
    </w:tblStylePr>
    <w:tblStylePr w:type="band1Vert">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single" w:sz="18" w:space="0" w:color="auto"/>
          <w:bottom w:val="nil"/>
          <w:right w:val="nil"/>
          <w:insideH w:val="nil"/>
          <w:insideV w:val="nil"/>
          <w:tl2br w:val="none" w:sz="0" w:space="0" w:color="auto"/>
          <w:tr2bl w:val="none" w:sz="0" w:space="0" w:color="auto"/>
        </w:tcBorders>
      </w:tcPr>
    </w:tblStylePr>
  </w:style>
  <w:style w:type="table" w:styleId="MediumShading2Accent6">
    <w:name w:val="Medium Shading 2 Accent 6"/>
    <w:basedOn w:val="TableNormal"/>
    <w:uiPriority w:val="64"/>
    <w:qFormat/>
    <w:tblPr>
      <w:tblBorders>
        <w:top w:val="single" w:sz="18" w:space="0" w:color="auto"/>
        <w:left w:val="none" w:sz="0" w:space="0" w:color="auto"/>
        <w:bottom w:val="single" w:sz="18" w:space="0" w:color="auto"/>
        <w:right w:val="none" w:sz="0" w:space="0" w:color="auto"/>
        <w:insideH w:val="none" w:sz="0" w:space="0" w:color="auto"/>
        <w:insideV w:val="none" w:sz="0"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one" w:sz="0" w:space="0" w:color="auto"/>
          <w:tr2bl w:val="none" w:sz="0" w:space="0" w:color="auto"/>
        </w:tcBorders>
        <w:shd w:val="clear" w:color="auto" w:fill="F7964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one" w:sz="0" w:space="0" w:color="auto"/>
          <w:tr2bl w:val="none" w:sz="0" w:space="0" w:color="auto"/>
        </w:tcBorders>
        <w:shd w:val="clear" w:color="auto" w:fill="F79646"/>
      </w:tcPr>
    </w:tblStylePr>
    <w:tblStylePr w:type="lastCol">
      <w:rPr>
        <w:b/>
        <w:bCs/>
        <w:color w:val="FFFFFF"/>
      </w:rPr>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F79646"/>
      </w:tcPr>
    </w:tblStylePr>
    <w:tblStylePr w:type="band1Vert">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single" w:sz="18" w:space="0" w:color="auto"/>
          <w:bottom w:val="nil"/>
          <w:right w:val="nil"/>
          <w:insideH w:val="nil"/>
          <w:insideV w:val="nil"/>
          <w:tl2br w:val="none" w:sz="0" w:space="0" w:color="auto"/>
          <w:tr2bl w:val="none" w:sz="0" w:space="0" w:color="auto"/>
        </w:tcBorders>
      </w:tcPr>
    </w:tblStylePr>
  </w:style>
  <w:style w:type="table" w:styleId="MediumList1Accent4">
    <w:name w:val="Medium List 1 Accent 4"/>
    <w:basedOn w:val="TableNormal"/>
    <w:uiPriority w:val="65"/>
    <w:qFormat/>
    <w:rPr>
      <w:color w:val="000000"/>
    </w:rPr>
    <w:tblPr>
      <w:tblBorders>
        <w:top w:val="single" w:sz="8" w:space="0" w:color="8064A2"/>
        <w:left w:val="none" w:sz="0" w:space="0" w:color="auto"/>
        <w:bottom w:val="single" w:sz="8" w:space="0" w:color="8064A2"/>
        <w:right w:val="none" w:sz="0" w:space="0" w:color="auto"/>
        <w:insideH w:val="none" w:sz="0" w:space="0" w:color="auto"/>
        <w:insideV w:val="none" w:sz="0" w:space="0" w:color="auto"/>
      </w:tblBorders>
    </w:tblPr>
    <w:tblStylePr w:type="firstRow">
      <w:rPr>
        <w:rFonts w:ascii="Courier" w:eastAsia="Arial" w:hAnsi="Courier" w:cs="Courier New"/>
      </w:rPr>
      <w:tblPr/>
      <w:tcPr>
        <w:tcBorders>
          <w:top w:val="nil"/>
          <w:left w:val="single" w:sz="8" w:space="0" w:color="8064A2"/>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8064A2"/>
          <w:left w:val="single" w:sz="8" w:space="0" w:color="8064A2"/>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8064A2"/>
          <w:left w:val="single" w:sz="8" w:space="0" w:color="8064A2"/>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DFD8E8"/>
      </w:tcPr>
    </w:tblStylePr>
    <w:tblStylePr w:type="band1Horz">
      <w:tblPr/>
      <w:tcPr>
        <w:shd w:val="clear" w:color="auto" w:fill="DFD8E8"/>
      </w:tcPr>
    </w:tblStylePr>
  </w:style>
  <w:style w:type="paragraph" w:styleId="ListParagraph">
    <w:name w:val="List Paragraph"/>
    <w:basedOn w:val="Normal"/>
    <w:uiPriority w:val="34"/>
    <w:qFormat/>
    <w:pPr>
      <w:ind w:firstLine="420" w:firstLineChars="200"/>
    </w:p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customStyle="1" w:styleId="21">
    <w:name w:val="正文首行缩进 21"/>
    <w:basedOn w:val="BodyTextIndent"/>
    <w:qFormat/>
    <w:pPr>
      <w:ind w:firstLine="420" w:firstLineChars="200"/>
    </w:pPr>
  </w:style>
  <w:style w:type="table" w:customStyle="1" w:styleId="2-50">
    <w:name w:val="中等深浅底纹 2 - 强调文字颜色 5_0"/>
    <w:basedOn w:val="TableNormal"/>
    <w:uiPriority w:val="64"/>
    <w:tblPr>
      <w:tblBorders>
        <w:top w:val="single" w:sz="18" w:space="0" w:color="auto"/>
        <w:left w:val="none" w:sz="0" w:space="0" w:color="auto"/>
        <w:bottom w:val="single" w:sz="18" w:space="0" w:color="auto"/>
        <w:right w:val="none" w:sz="0" w:space="0" w:color="auto"/>
        <w:insideH w:val="none" w:sz="0" w:space="0" w:color="auto"/>
        <w:insideV w:val="none" w:sz="0"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one" w:sz="0" w:space="0" w:color="auto"/>
          <w:tr2bl w:val="none" w:sz="0" w:space="0" w:color="auto"/>
        </w:tcBorders>
        <w:shd w:val="clear" w:color="auto" w:fill="4BACC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one" w:sz="0" w:space="0" w:color="auto"/>
          <w:tr2bl w:val="none" w:sz="0" w:space="0" w:color="auto"/>
        </w:tcBorders>
        <w:shd w:val="clear" w:color="auto" w:fill="4BACC6"/>
      </w:tcPr>
    </w:tblStylePr>
    <w:tblStylePr w:type="lastCol">
      <w:rPr>
        <w:b/>
        <w:bCs/>
        <w:color w:val="FFFFFF"/>
      </w:rPr>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4BACC6"/>
      </w:tcPr>
    </w:tblStylePr>
    <w:tblStylePr w:type="band1Vert">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single" w:sz="18" w:space="0" w:color="auto"/>
          <w:bottom w:val="nil"/>
          <w:right w:val="nil"/>
          <w:insideH w:val="nil"/>
          <w:insideV w:val="nil"/>
          <w:tl2br w:val="none" w:sz="0" w:space="0" w:color="auto"/>
          <w:tr2bl w:val="none" w:sz="0" w:space="0" w:color="auto"/>
        </w:tcBorders>
      </w:tcPr>
    </w:tblStylePr>
  </w:style>
  <w:style w:type="table" w:customStyle="1" w:styleId="0">
    <w:name w:val="浅色底纹_0"/>
    <w:basedOn w:val="TableNormal"/>
    <w:uiPriority w:val="60"/>
    <w:rPr>
      <w:color w:val="000000"/>
    </w:rPr>
    <w:tblPr>
      <w:tblBorders>
        <w:top w:val="single" w:sz="8" w:space="0" w:color="000000"/>
        <w:left w:val="none" w:sz="0" w:space="0" w:color="auto"/>
        <w:bottom w:val="single" w:sz="8" w:space="0" w:color="000000"/>
        <w:right w:val="none" w:sz="0" w:space="0" w:color="auto"/>
        <w:insideH w:val="none" w:sz="0" w:space="0" w:color="auto"/>
        <w:insideV w:val="none" w:sz="0" w:space="0" w:color="auto"/>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BFBFBF"/>
      </w:tcPr>
    </w:tblStylePr>
    <w:tblStylePr w:type="band1Horz">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BFBFBF"/>
      </w:tcPr>
    </w:tblStyle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45610011510201010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157261920</TotalTime>
  <Pages>5</Pages>
  <Words>2002</Words>
  <Characters>11414</Characters>
  <Application>Microsoft Office Word</Application>
  <DocSecurity>0</DocSecurity>
  <Lines>95</Lines>
  <Paragraphs>26</Paragraphs>
  <ScaleCrop>false</ScaleCrop>
  <Company/>
  <LinksUpToDate>false</LinksUpToDate>
  <CharactersWithSpaces>13390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ABEEL</cp:lastModifiedBy>
  <cp:revision>3</cp:revision>
  <dcterms:created xsi:type="dcterms:W3CDTF">2021-05-04T22:55:00Z</dcterms:created>
  <dcterms:modified xsi:type="dcterms:W3CDTF">2024-02-03T07:13:49Z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A868A1A783204754A4ED7CB23030DB91_13</vt:lpwstr>
  </property>
  <property fmtid="{D5CDD505-2E9C-101B-9397-08002B2CF9AE}" pid="3" name="KSOProductBuildVer">
    <vt:lpwstr>2052-12.1.0.16120</vt:lpwstr>
  </property>
</Properties>
</file>