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2024年光学保护膜行业分析报告及未来五到十年行业发展趋势报告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07" w:history="1">
        <w:r>
          <w:rPr>
            <w:rFonts w:eastAsia="微软雅黑" w:hint="eastAsia"/>
            <w:snapToGrid/>
            <w:lang w:val="en-US" w:eastAsia="en-US"/>
          </w:rPr>
          <w:t>一、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行业政策环境</w:t>
        </w:r>
        <w:r>
          <w:tab/>
        </w:r>
        <w:r>
          <w:fldChar w:fldCharType="begin"/>
        </w:r>
        <w:r>
          <w:instrText xml:space="preserve"> PAGEREF _Toc17607 \h </w:instrText>
        </w:r>
        <w:r>
          <w:fldChar w:fldCharType="separate"/>
        </w:r>
        <w:r>
          <w:t>5</w:t>
        </w:r>
        <w:r>
          <w:fldChar w:fldCharType="end"/>
        </w:r>
      </w:hyperlink>
      <w:r>
        <w:fldChar w:fldCharType="end"/>
      </w:r>
    </w:p>
    <w:p>
      <w:pPr>
        <w:pStyle w:val="TOC2"/>
        <w:tabs>
          <w:tab w:val="right" w:leader="dot" w:pos="8958"/>
        </w:tabs>
      </w:pPr>
      <w:hyperlink w:anchor="_Toc31259" w:history="1">
        <w:r>
          <w:rPr>
            <w:rFonts w:eastAsia="微软雅黑" w:hint="eastAsia"/>
            <w:snapToGrid/>
            <w:lang w:val="en-US" w:eastAsia="en-US"/>
          </w:rPr>
          <w:t>(一)、政策持续利好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行业发展</w:t>
        </w:r>
        <w:r>
          <w:tab/>
        </w:r>
        <w:r>
          <w:fldChar w:fldCharType="begin"/>
        </w:r>
        <w:r>
          <w:instrText xml:space="preserve"> PAGEREF _Toc31259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212" w:history="1">
        <w:r>
          <w:rPr>
            <w:rFonts w:eastAsia="微软雅黑" w:hint="eastAsia"/>
            <w:snapToGrid/>
            <w:lang w:val="en-US" w:eastAsia="zh-CN"/>
          </w:rPr>
          <w:t>(二)、行业政策体系日趋完善</w:t>
        </w:r>
        <w:r>
          <w:tab/>
        </w:r>
        <w:r>
          <w:fldChar w:fldCharType="begin"/>
        </w:r>
        <w:r>
          <w:instrText xml:space="preserve"> PAGEREF _Toc9212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560" w:history="1">
        <w:r>
          <w:rPr>
            <w:rFonts w:eastAsia="微软雅黑" w:hint="eastAsia"/>
            <w:snapToGrid/>
            <w:lang w:val="en-US" w:eastAsia="zh-CN"/>
          </w:rPr>
          <w:t>(三)、一级市场火热,国内专利不断攀升</w:t>
        </w:r>
        <w:r>
          <w:tab/>
        </w:r>
        <w:r>
          <w:fldChar w:fldCharType="begin"/>
        </w:r>
        <w:r>
          <w:instrText xml:space="preserve"> PAGEREF _Toc16560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626" w:history="1">
        <w:r>
          <w:rPr>
            <w:rFonts w:eastAsia="微软雅黑" w:hint="eastAsia"/>
            <w:snapToGrid/>
            <w:lang w:val="en-US" w:eastAsia="zh-CN"/>
          </w:rPr>
          <w:t>(四)、宏观环境下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行业定位</w:t>
        </w:r>
        <w:r>
          <w:tab/>
        </w:r>
        <w:r>
          <w:fldChar w:fldCharType="begin"/>
        </w:r>
        <w:r>
          <w:instrText xml:space="preserve"> PAGEREF _Toc29626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360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行业绩显著</w:t>
        </w:r>
        <w:r>
          <w:tab/>
        </w:r>
        <w:r>
          <w:fldChar w:fldCharType="begin"/>
        </w:r>
        <w:r>
          <w:instrText xml:space="preserve"> PAGEREF _Toc30360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3246" w:history="1">
        <w:r>
          <w:rPr>
            <w:rFonts w:eastAsia="微软雅黑" w:hint="eastAsia"/>
            <w:snapToGrid/>
            <w:lang w:val="en-US" w:eastAsia="en-US"/>
          </w:rPr>
          <w:t>二、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行业(2024-2029)发展趋势预测</w:t>
        </w:r>
        <w:r>
          <w:tab/>
        </w:r>
        <w:r>
          <w:fldChar w:fldCharType="begin"/>
        </w:r>
        <w:r>
          <w:instrText xml:space="preserve"> PAGEREF _Toc13246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677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行业当下面临的机会和挑战</w:t>
        </w:r>
        <w:r>
          <w:tab/>
        </w:r>
        <w:r>
          <w:fldChar w:fldCharType="begin"/>
        </w:r>
        <w:r>
          <w:instrText xml:space="preserve"> PAGEREF _Toc7677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928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行业经营理念快速转变的意义</w:t>
        </w:r>
        <w:r>
          <w:tab/>
        </w:r>
        <w:r>
          <w:fldChar w:fldCharType="begin"/>
        </w:r>
        <w:r>
          <w:instrText xml:space="preserve"> PAGEREF _Toc24928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983" w:history="1">
        <w:r>
          <w:rPr>
            <w:rFonts w:eastAsia="微软雅黑" w:hint="eastAsia"/>
            <w:snapToGrid/>
            <w:lang w:val="en-US" w:eastAsia="zh-CN"/>
          </w:rPr>
          <w:t>(三)、整合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行业的技术服务</w:t>
        </w:r>
        <w:r>
          <w:tab/>
        </w:r>
        <w:r>
          <w:fldChar w:fldCharType="begin"/>
        </w:r>
        <w:r>
          <w:instrText xml:space="preserve"> PAGEREF _Toc6983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8" w:history="1">
        <w:r>
          <w:rPr>
            <w:rFonts w:eastAsia="微软雅黑" w:hint="eastAsia"/>
            <w:snapToGrid/>
            <w:lang w:val="en-US" w:eastAsia="zh-CN"/>
          </w:rPr>
          <w:t>(四)、迅速转变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行业企业的增长动力</w:t>
        </w:r>
        <w:r>
          <w:tab/>
        </w:r>
        <w:r>
          <w:fldChar w:fldCharType="begin"/>
        </w:r>
        <w:r>
          <w:instrText xml:space="preserve"> PAGEREF _Toc528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201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行业企业差异化突破战略</w:t>
        </w:r>
        <w:r>
          <w:tab/>
        </w:r>
        <w:r>
          <w:fldChar w:fldCharType="begin"/>
        </w:r>
        <w:r>
          <w:instrText xml:space="preserve"> PAGEREF _Toc28201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339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行业产品差异化获取“商机”</w:t>
        </w:r>
        <w:r>
          <w:tab/>
        </w:r>
        <w:r>
          <w:fldChar w:fldCharType="begin"/>
        </w:r>
        <w:r>
          <w:instrText xml:space="preserve"> PAGEREF _Toc28339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653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行业市场分化赢得“商机”</w:t>
        </w:r>
        <w:r>
          <w:tab/>
        </w:r>
        <w:r>
          <w:fldChar w:fldCharType="begin"/>
        </w:r>
        <w:r>
          <w:instrText xml:space="preserve"> PAGEREF _Toc27653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202" w:history="1">
        <w:r>
          <w:rPr>
            <w:rFonts w:eastAsia="微软雅黑" w:hint="eastAsia"/>
            <w:snapToGrid/>
            <w:lang w:val="en-US" w:eastAsia="zh-CN"/>
          </w:rPr>
          <w:t>(三)、以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行业服务差异化“抓住”商机</w:t>
        </w:r>
        <w:r>
          <w:tab/>
        </w:r>
        <w:r>
          <w:fldChar w:fldCharType="begin"/>
        </w:r>
        <w:r>
          <w:instrText xml:space="preserve"> PAGEREF _Toc20202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127" w:history="1">
        <w:r>
          <w:rPr>
            <w:rFonts w:eastAsia="微软雅黑" w:hint="eastAsia"/>
            <w:snapToGrid/>
            <w:lang w:val="en-US" w:eastAsia="zh-CN"/>
          </w:rPr>
          <w:t>(四)、用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行业客户差异化“抓住”商机</w:t>
        </w:r>
        <w:r>
          <w:tab/>
        </w:r>
        <w:r>
          <w:fldChar w:fldCharType="begin"/>
        </w:r>
        <w:r>
          <w:instrText xml:space="preserve"> PAGEREF _Toc20127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525" w:history="1">
        <w:r>
          <w:rPr>
            <w:rFonts w:eastAsia="微软雅黑" w:hint="eastAsia"/>
            <w:snapToGrid/>
            <w:lang w:val="en-US" w:eastAsia="zh-CN"/>
          </w:rPr>
          <w:t>(五)、以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行业渠道差异化“争取”商机</w:t>
        </w:r>
        <w:r>
          <w:tab/>
        </w:r>
        <w:r>
          <w:fldChar w:fldCharType="begin"/>
        </w:r>
        <w:r>
          <w:instrText xml:space="preserve"> PAGEREF _Toc27525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6691" w:history="1">
        <w:r>
          <w:rPr>
            <w:rFonts w:eastAsia="微软雅黑" w:hint="eastAsia"/>
            <w:snapToGrid/>
            <w:lang w:val="en-US" w:eastAsia="en-US"/>
          </w:rPr>
          <w:t>四、2024-2029年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_Toc16691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160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_Toc31160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088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_Toc10088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660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_Toc19660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882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_Toc29882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44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_Toc2644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652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_Toc24652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485" w:history="1">
        <w:r>
          <w:rPr>
            <w:rFonts w:eastAsia="微软雅黑" w:hint="eastAsia"/>
            <w:snapToGrid/>
            <w:lang w:val="en-US" w:eastAsia="en-US"/>
          </w:rPr>
          <w:t>五、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_Toc7485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65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_Toc24651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969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_Toc17969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8987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_Toc28987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580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_Toc23580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33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_Toc4332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9689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行业发展状况及市场分析</w:t>
        </w:r>
        <w:r>
          <w:tab/>
        </w:r>
        <w:r>
          <w:fldChar w:fldCharType="begin"/>
        </w:r>
        <w:r>
          <w:instrText xml:space="preserve"> PAGEREF _Toc9689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972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行业市场行业驱动因素分析</w:t>
        </w:r>
        <w:r>
          <w:tab/>
        </w:r>
        <w:r>
          <w:fldChar w:fldCharType="begin"/>
        </w:r>
        <w:r>
          <w:instrText xml:space="preserve"> PAGEREF _Toc20972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95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行业结构分析</w:t>
        </w:r>
        <w:r>
          <w:tab/>
        </w:r>
        <w:r>
          <w:fldChar w:fldCharType="begin"/>
        </w:r>
        <w:r>
          <w:instrText xml:space="preserve"> PAGEREF _Toc15954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424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行业各因素(PEST)分析</w:t>
        </w:r>
        <w:r>
          <w:tab/>
        </w:r>
        <w:r>
          <w:fldChar w:fldCharType="begin"/>
        </w:r>
        <w:r>
          <w:instrText xml:space="preserve"> PAGEREF _Toc21424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16025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_Toc16025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268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_Toc3268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472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_Toc1472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2709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_Toc32709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818" w:history="1">
        <w:r>
          <w:rPr>
            <w:rFonts w:eastAsia="微软雅黑" w:hint="eastAsia"/>
            <w:snapToGrid/>
            <w:lang w:val="en-US" w:eastAsia="zh-CN"/>
          </w:rPr>
          <w:t>(四)、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行业市场规模分析</w:t>
        </w:r>
        <w:r>
          <w:tab/>
        </w:r>
        <w:r>
          <w:fldChar w:fldCharType="begin"/>
        </w:r>
        <w:r>
          <w:instrText xml:space="preserve"> PAGEREF _Toc29818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969" w:history="1">
        <w:r>
          <w:rPr>
            <w:rFonts w:eastAsia="微软雅黑" w:hint="eastAsia"/>
            <w:snapToGrid/>
            <w:lang w:val="en-US" w:eastAsia="zh-CN"/>
          </w:rPr>
          <w:t>(五)、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行业特征分析</w:t>
        </w:r>
        <w:r>
          <w:tab/>
        </w:r>
        <w:r>
          <w:fldChar w:fldCharType="begin"/>
        </w:r>
        <w:r>
          <w:instrText xml:space="preserve"> PAGEREF _Toc30969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299" w:history="1">
        <w:r>
          <w:rPr>
            <w:rFonts w:eastAsia="微软雅黑" w:hint="eastAsia"/>
            <w:snapToGrid/>
            <w:lang w:val="en-US" w:eastAsia="zh-CN"/>
          </w:rPr>
          <w:t>(六)、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行业相关政策体系不健全</w:t>
        </w:r>
        <w:r>
          <w:tab/>
        </w:r>
        <w:r>
          <w:fldChar w:fldCharType="begin"/>
        </w:r>
        <w:r>
          <w:instrText xml:space="preserve"> PAGEREF _Toc25299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8628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_Toc8628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64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_Toc2164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567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_Toc24567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208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_Toc5208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621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_Toc27621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239" w:history="1">
        <w:r>
          <w:rPr>
            <w:rFonts w:eastAsia="微软雅黑" w:hint="eastAsia"/>
            <w:snapToGrid/>
            <w:lang w:val="en-US" w:eastAsia="en-US"/>
          </w:rPr>
          <w:t>九、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行业存在的问题分析</w:t>
        </w:r>
        <w:r>
          <w:tab/>
        </w:r>
        <w:r>
          <w:fldChar w:fldCharType="begin"/>
        </w:r>
        <w:r>
          <w:instrText xml:space="preserve"> PAGEREF _Toc22239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611" w:history="1">
        <w:r>
          <w:rPr>
            <w:rFonts w:eastAsia="微软雅黑" w:hint="eastAsia"/>
            <w:snapToGrid/>
            <w:lang w:val="en-US" w:eastAsia="en-US"/>
          </w:rPr>
          <w:t>(一)、基础工作薄弱</w:t>
        </w:r>
        <w:r>
          <w:tab/>
        </w:r>
        <w:r>
          <w:fldChar w:fldCharType="begin"/>
        </w:r>
        <w:r>
          <w:instrText xml:space="preserve"> PAGEREF _Toc4611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738" w:history="1">
        <w:r>
          <w:rPr>
            <w:rFonts w:eastAsia="微软雅黑" w:hint="eastAsia"/>
            <w:snapToGrid/>
            <w:lang w:val="en-US" w:eastAsia="zh-CN"/>
          </w:rPr>
          <w:t>(二)、地方认识不足,激励作用有限</w:t>
        </w:r>
        <w:r>
          <w:tab/>
        </w:r>
        <w:r>
          <w:fldChar w:fldCharType="begin"/>
        </w:r>
        <w:r>
          <w:instrText xml:space="preserve"> PAGEREF _Toc14738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194" w:history="1">
        <w:r>
          <w:rPr>
            <w:rFonts w:eastAsia="微软雅黑" w:hint="eastAsia"/>
            <w:snapToGrid/>
            <w:lang w:val="en-US" w:eastAsia="zh-CN"/>
          </w:rPr>
          <w:t>(三)、产业结构调整进展缓慢</w:t>
        </w:r>
        <w:r>
          <w:tab/>
        </w:r>
        <w:r>
          <w:fldChar w:fldCharType="begin"/>
        </w:r>
        <w:r>
          <w:instrText xml:space="preserve"> PAGEREF _Toc4194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3082" w:history="1">
        <w:r>
          <w:rPr>
            <w:rFonts w:eastAsia="微软雅黑" w:hint="eastAsia"/>
            <w:snapToGrid/>
            <w:lang w:val="en-US" w:eastAsia="zh-CN"/>
          </w:rPr>
          <w:t>(四)、技术相对落后</w:t>
        </w:r>
        <w:r>
          <w:tab/>
        </w:r>
        <w:r>
          <w:fldChar w:fldCharType="begin"/>
        </w:r>
        <w:r>
          <w:instrText xml:space="preserve"> PAGEREF _Toc23082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806" w:history="1">
        <w:r>
          <w:rPr>
            <w:rFonts w:eastAsia="微软雅黑" w:hint="eastAsia"/>
            <w:snapToGrid/>
            <w:lang w:val="en-US" w:eastAsia="zh-CN"/>
          </w:rPr>
          <w:t>(五)、隐私安全问题</w:t>
        </w:r>
        <w:r>
          <w:tab/>
        </w:r>
        <w:r>
          <w:fldChar w:fldCharType="begin"/>
        </w:r>
        <w:r>
          <w:instrText xml:space="preserve"> PAGEREF _Toc11806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98" w:history="1">
        <w:r>
          <w:rPr>
            <w:rFonts w:eastAsia="微软雅黑" w:hint="eastAsia"/>
            <w:snapToGrid/>
            <w:lang w:val="en-US" w:eastAsia="zh-CN"/>
          </w:rPr>
          <w:t>(六)、与用户的互动需不断增强</w:t>
        </w:r>
        <w:r>
          <w:tab/>
        </w:r>
        <w:r>
          <w:fldChar w:fldCharType="begin"/>
        </w:r>
        <w:r>
          <w:instrText xml:space="preserve"> PAGEREF _Toc2698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588" w:history="1">
        <w:r>
          <w:rPr>
            <w:rFonts w:eastAsia="微软雅黑" w:hint="eastAsia"/>
            <w:snapToGrid/>
            <w:lang w:val="en-US" w:eastAsia="zh-CN"/>
          </w:rPr>
          <w:t>(七)、管理效率低</w:t>
        </w:r>
        <w:r>
          <w:tab/>
        </w:r>
        <w:r>
          <w:fldChar w:fldCharType="begin"/>
        </w:r>
        <w:r>
          <w:instrText xml:space="preserve"> PAGEREF _Toc26588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871" w:history="1">
        <w:r>
          <w:rPr>
            <w:rFonts w:eastAsia="微软雅黑" w:hint="eastAsia"/>
            <w:snapToGrid/>
            <w:lang w:val="en-US" w:eastAsia="zh-CN"/>
          </w:rPr>
          <w:t>(八)、盈利点单一</w:t>
        </w:r>
        <w:r>
          <w:tab/>
        </w:r>
        <w:r>
          <w:fldChar w:fldCharType="begin"/>
        </w:r>
        <w:r>
          <w:instrText xml:space="preserve"> PAGEREF _Toc17871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492" w:history="1">
        <w:r>
          <w:rPr>
            <w:rFonts w:eastAsia="微软雅黑" w:hint="eastAsia"/>
            <w:snapToGrid/>
            <w:lang w:val="en-US" w:eastAsia="zh-CN"/>
          </w:rPr>
          <w:t>(九)、过于依赖政府,缺乏主观能动性</w:t>
        </w:r>
        <w:r>
          <w:tab/>
        </w:r>
        <w:r>
          <w:fldChar w:fldCharType="begin"/>
        </w:r>
        <w:r>
          <w:instrText xml:space="preserve"> PAGEREF _Toc8492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303" w:history="1">
        <w:r>
          <w:rPr>
            <w:rFonts w:eastAsia="微软雅黑" w:hint="eastAsia"/>
            <w:snapToGrid/>
            <w:lang w:val="en-US" w:eastAsia="zh-CN"/>
          </w:rPr>
          <w:t>(十)、法律风险</w:t>
        </w:r>
        <w:r>
          <w:tab/>
        </w:r>
        <w:r>
          <w:fldChar w:fldCharType="begin"/>
        </w:r>
        <w:r>
          <w:instrText xml:space="preserve"> PAGEREF _Toc27303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47" w:history="1">
        <w:r>
          <w:rPr>
            <w:rFonts w:eastAsia="微软雅黑" w:hint="eastAsia"/>
            <w:snapToGrid/>
            <w:lang w:val="en-US" w:eastAsia="zh-CN"/>
          </w:rPr>
          <w:t>(十一)、供给不足,产业化程度较低</w:t>
        </w:r>
        <w:r>
          <w:tab/>
        </w:r>
        <w:r>
          <w:fldChar w:fldCharType="begin"/>
        </w:r>
        <w:r>
          <w:instrText xml:space="preserve"> PAGEREF _Toc2547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9846" w:history="1">
        <w:r>
          <w:rPr>
            <w:rFonts w:eastAsia="微软雅黑" w:hint="eastAsia"/>
            <w:snapToGrid/>
            <w:lang w:val="en-US" w:eastAsia="zh-CN"/>
          </w:rPr>
          <w:t>(十二)、人才问题</w:t>
        </w:r>
        <w:r>
          <w:tab/>
        </w:r>
        <w:r>
          <w:fldChar w:fldCharType="begin"/>
        </w:r>
        <w:r>
          <w:instrText xml:space="preserve"> PAGEREF _Toc19846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277" w:history="1">
        <w:r>
          <w:rPr>
            <w:rFonts w:eastAsia="微软雅黑" w:hint="eastAsia"/>
            <w:snapToGrid/>
            <w:lang w:val="en-US" w:eastAsia="zh-CN"/>
          </w:rPr>
          <w:t>(十三)、产品质量问题</w:t>
        </w:r>
        <w:r>
          <w:tab/>
        </w:r>
        <w:r>
          <w:fldChar w:fldCharType="begin"/>
        </w:r>
        <w:r>
          <w:instrText xml:space="preserve"> PAGEREF _Toc8277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430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产业投资分析</w:t>
        </w:r>
        <w:r>
          <w:tab/>
        </w:r>
        <w:r>
          <w:fldChar w:fldCharType="begin"/>
        </w:r>
        <w:r>
          <w:instrText xml:space="preserve"> PAGEREF _Toc2430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026" w:history="1">
        <w:r>
          <w:rPr>
            <w:rFonts w:eastAsia="微软雅黑" w:hint="eastAsia"/>
            <w:snapToGrid/>
            <w:lang w:val="en-US" w:eastAsia="en-US"/>
          </w:rPr>
          <w:t>(一)、中国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行业技术投资趋势分析</w:t>
        </w:r>
        <w:r>
          <w:tab/>
        </w:r>
        <w:r>
          <w:fldChar w:fldCharType="begin"/>
        </w:r>
        <w:r>
          <w:instrText xml:space="preserve"> PAGEREF _T</w:instrText>
        </w:r>
        <w:r>
          <w:instrText xml:space="preserve">oc15026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7834" w:history="1">
        <w:r>
          <w:rPr>
            <w:rFonts w:eastAsia="微软雅黑" w:hint="eastAsia"/>
            <w:snapToGrid/>
            <w:lang w:val="en-US" w:eastAsia="zh-CN"/>
          </w:rPr>
          <w:t>(二)、大项目招商时代已过,精准招商愈发时兴</w:t>
        </w:r>
        <w:r>
          <w:tab/>
        </w:r>
        <w:r>
          <w:fldChar w:fldCharType="begin"/>
        </w:r>
        <w:r>
          <w:instrText xml:space="preserve"> PAGEREF _Toc27834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876" w:history="1">
        <w:r>
          <w:rPr>
            <w:rFonts w:eastAsia="微软雅黑" w:hint="eastAsia"/>
            <w:snapToGrid/>
            <w:lang w:val="en-US" w:eastAsia="zh-CN"/>
          </w:rPr>
          <w:t>(三)、中国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行业投资风险</w:t>
        </w:r>
        <w:r>
          <w:tab/>
        </w:r>
        <w:r>
          <w:fldChar w:fldCharType="begin"/>
        </w:r>
        <w:r>
          <w:instrText xml:space="preserve"> PAGEREF _Toc8876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15" w:history="1">
        <w:r>
          <w:rPr>
            <w:rFonts w:eastAsia="微软雅黑" w:hint="eastAsia"/>
            <w:snapToGrid/>
            <w:lang w:val="en-US" w:eastAsia="zh-CN"/>
          </w:rPr>
          <w:t>(四)、中国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行业投资收益</w:t>
        </w:r>
        <w:r>
          <w:tab/>
        </w:r>
        <w:r>
          <w:fldChar w:fldCharType="begin"/>
        </w:r>
        <w:r>
          <w:instrText xml:space="preserve"> PAGEREF _Toc1515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0825" w:history="1">
        <w:r>
          <w:rPr>
            <w:rFonts w:eastAsia="微软雅黑" w:hint="eastAsia"/>
            <w:snapToGrid/>
            <w:lang w:val="en-US" w:eastAsia="en-US"/>
          </w:rPr>
          <w:t>十一、“疫情”对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行业可持续发展目标的影响及对策</w:t>
        </w:r>
        <w:r>
          <w:tab/>
        </w:r>
        <w:r>
          <w:fldChar w:fldCharType="begin"/>
        </w:r>
        <w:r>
          <w:instrText xml:space="preserve"> PAGEREF _Toc20825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953" w:history="1">
        <w:r>
          <w:rPr>
            <w:rFonts w:eastAsia="微软雅黑" w:hint="eastAsia"/>
            <w:snapToGrid/>
            <w:lang w:val="en-US" w:eastAsia="zh-CN"/>
          </w:rPr>
          <w:t>(一)、国内有关政府机构对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行业的建议</w:t>
        </w:r>
        <w:r>
          <w:tab/>
        </w:r>
        <w:r>
          <w:fldChar w:fldCharType="begin"/>
        </w:r>
        <w:r>
          <w:instrText xml:space="preserve"> PAGEREF _Toc16953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694" w:history="1">
        <w:r>
          <w:rPr>
            <w:rFonts w:eastAsia="微软雅黑" w:hint="eastAsia"/>
            <w:snapToGrid/>
            <w:lang w:val="en-US" w:eastAsia="zh-CN"/>
          </w:rPr>
          <w:t>(二)、关于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产业上下游产业合作的建议</w:t>
        </w:r>
        <w:r>
          <w:tab/>
        </w:r>
        <w:r>
          <w:fldChar w:fldCharType="begin"/>
        </w:r>
        <w:r>
          <w:instrText xml:space="preserve"> PAGEREF _Toc7694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273" w:history="1">
        <w:r>
          <w:rPr>
            <w:rFonts w:eastAsia="微软雅黑" w:hint="eastAsia"/>
            <w:snapToGrid/>
            <w:lang w:val="en-US" w:eastAsia="zh-CN"/>
          </w:rPr>
          <w:t>(三)、突破</w:t>
        </w:r>
        <w:r>
          <w:rPr>
            <w:rFonts w:eastAsia="微软雅黑" w:hint="eastAsia"/>
            <w:snapToGrid/>
            <w:lang w:val="en-US" w:eastAsia="zh-CN"/>
          </w:rPr>
          <w:t>光学保护膜</w:t>
        </w:r>
        <w:r>
          <w:rPr>
            <w:rFonts w:eastAsia="微软雅黑" w:hint="eastAsia"/>
            <w:snapToGrid/>
            <w:lang w:val="en-US" w:eastAsia="zh-CN"/>
          </w:rPr>
          <w:t>行业企业疫情的策略</w:t>
        </w:r>
        <w:r>
          <w:tab/>
        </w:r>
        <w:r>
          <w:fldChar w:fldCharType="begin"/>
        </w:r>
        <w:r>
          <w:instrText xml:space="preserve"> PAGEREF _Toc18273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1840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光学保护膜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_Toc31840 \h </w:instrText>
        </w:r>
        <w:r>
          <w:fldChar w:fldCharType="separate"/>
        </w:r>
        <w:r>
          <w:t>35</w:t>
        </w:r>
        <w:r>
          <w:fldChar w:fldCharType="end"/>
        </w:r>
      </w:hyperlink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https://d.book118.com/456120001125010031</w:t>
        </w:r>
      </w:hyperlink>
    </w:p>
    <w:p>
      <w:pPr>
        <w:pStyle w:val="TOC1"/>
        <w:tabs>
          <w:tab w:val="right" w:leader="dot" w:pos="8958"/>
        </w:tabs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5612000112501003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