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9"/>
        </w:rPr>
      </w:pPr>
    </w:p>
    <w:p>
      <w:pPr>
        <w:pStyle w:val="Title"/>
      </w:pPr>
      <w:r>
        <w:t>铆工基础知识</w:t>
      </w:r>
    </w:p>
    <w:p>
      <w:pPr>
        <w:pStyle w:val="BodyText"/>
        <w:spacing w:before="9"/>
        <w:rPr>
          <w:rFonts w:ascii="宋体"/>
          <w:b/>
          <w:sz w:val="74"/>
        </w:rPr>
      </w:pPr>
    </w:p>
    <w:p>
      <w:pPr>
        <w:pStyle w:val="BodyText"/>
        <w:spacing w:line="338" w:lineRule="auto"/>
        <w:ind w:left="2340" w:right="1617"/>
      </w:pPr>
      <w:r>
        <w:t>铆工的工作内容比较多，但主要的就是看图下料、冷热加工、构件拼装、结构装配等。</w:t>
      </w:r>
      <w:r>
        <w:rPr>
          <w:spacing w:val="-10"/>
        </w:rPr>
        <w:t>所谓看图下料就是指放样、展开和下料；冷热加工是指钢材裁割开来，并加工成为一定形</w:t>
      </w:r>
    </w:p>
    <w:p>
      <w:pPr>
        <w:pStyle w:val="BodyText"/>
        <w:spacing w:line="338" w:lineRule="auto"/>
        <w:ind w:left="1620" w:right="1619"/>
        <w:jc w:val="both"/>
      </w:pPr>
      <w:r>
        <w:rPr>
          <w:spacing w:val="-12"/>
        </w:rPr>
        <w:t>状的零件；构件拼装和结构装配是指采用焊接或铆接的工艺方法将零件拼装成部件和构件，并</w:t>
      </w:r>
      <w:r>
        <w:rPr>
          <w:spacing w:val="-9"/>
        </w:rPr>
        <w:t>进一步装配成分段和完整的钢结构。所以，从放样开始直到总装、交检的整个过程都是铆工的</w:t>
      </w:r>
      <w:r>
        <w:t>工作范围。</w:t>
      </w:r>
    </w:p>
    <w:p>
      <w:pPr>
        <w:pStyle w:val="Heading1"/>
        <w:spacing w:before="158"/>
        <w:ind w:left="1620" w:firstLine="0"/>
        <w:jc w:val="both"/>
      </w:pPr>
      <w:r>
        <w:t>— 、钢结构的基本知识</w:t>
      </w:r>
    </w:p>
    <w:p>
      <w:pPr>
        <w:pStyle w:val="ListParagraph"/>
        <w:numPr>
          <w:ilvl w:val="0"/>
          <w:numId w:val="5"/>
        </w:numPr>
        <w:tabs>
          <w:tab w:val="left" w:pos="2053"/>
        </w:tabs>
        <w:spacing w:before="440" w:after="0" w:line="240" w:lineRule="auto"/>
        <w:ind w:left="2052" w:right="0" w:hanging="433"/>
        <w:jc w:val="both"/>
        <w:rPr>
          <w:b/>
          <w:sz w:val="48"/>
        </w:rPr>
      </w:pPr>
      <w:r>
        <w:rPr>
          <w:b/>
          <w:sz w:val="48"/>
        </w:rPr>
        <w:t>按钢的用途分类:（</w:t>
      </w:r>
      <w:r>
        <w:rPr>
          <w:b/>
          <w:spacing w:val="-3"/>
          <w:sz w:val="48"/>
        </w:rPr>
        <w:t xml:space="preserve">钢是含碳量小于 </w:t>
      </w:r>
      <w:r>
        <w:rPr>
          <w:b/>
          <w:sz w:val="48"/>
        </w:rPr>
        <w:t>2.11</w:t>
      </w:r>
      <w:r>
        <w:rPr>
          <w:b/>
          <w:spacing w:val="-34"/>
          <w:sz w:val="48"/>
        </w:rPr>
        <w:t>%的铁碳合金。</w:t>
      </w:r>
      <w:r>
        <w:rPr>
          <w:b/>
          <w:sz w:val="48"/>
        </w:rPr>
        <w:t>）</w:t>
      </w:r>
    </w:p>
    <w:p>
      <w:pPr>
        <w:pStyle w:val="BodyText"/>
        <w:spacing w:before="5"/>
        <w:rPr>
          <w:b/>
          <w:sz w:val="30"/>
        </w:rPr>
      </w:pPr>
    </w:p>
    <w:p>
      <w:pPr>
        <w:spacing w:before="0" w:line="290" w:lineRule="auto"/>
        <w:ind w:left="1620" w:right="1494" w:firstLine="843"/>
        <w:jc w:val="left"/>
        <w:rPr>
          <w:sz w:val="42"/>
        </w:rPr>
      </w:pPr>
      <w:r>
        <w:rPr>
          <w:sz w:val="42"/>
        </w:rPr>
        <w:t>建筑结构、冶金设备结构、化工设备结构、机械设备结构、吊运起重设备结构和交通运输设备结构等。</w:t>
      </w:r>
    </w:p>
    <w:p>
      <w:pPr>
        <w:spacing w:before="28"/>
        <w:ind w:left="5652" w:right="0" w:firstLine="0"/>
        <w:jc w:val="left"/>
        <w:rPr>
          <w:sz w:val="42"/>
        </w:rPr>
      </w:pPr>
      <w:r>
        <w:drawing>
          <wp:anchor distT="0" distB="0" distL="0" distR="0" simplePos="0" relativeHeight="251658240" behindDoc="1" locked="0" layoutInCell="1" allowOverlap="1">
            <wp:simplePos x="0" y="0"/>
            <wp:positionH relativeFrom="page">
              <wp:posOffset>876300</wp:posOffset>
            </wp:positionH>
            <wp:positionV relativeFrom="paragraph">
              <wp:posOffset>34751</wp:posOffset>
            </wp:positionV>
            <wp:extent cx="9766300" cy="5549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766300" cy="5549900"/>
                    </a:xfrm>
                    <a:prstGeom prst="rect">
                      <a:avLst/>
                    </a:prstGeom>
                  </pic:spPr>
                </pic:pic>
              </a:graphicData>
            </a:graphic>
          </wp:anchor>
        </w:drawing>
      </w:r>
      <w:r>
        <w:rPr>
          <w:sz w:val="42"/>
        </w:rPr>
        <w:t>低碳钢（含碳量小于或等于 0.25%）</w:t>
      </w:r>
    </w:p>
    <w:p>
      <w:pPr>
        <w:pStyle w:val="BodyText"/>
        <w:spacing w:before="15"/>
        <w:rPr>
          <w:sz w:val="10"/>
        </w:rPr>
      </w:pPr>
    </w:p>
    <w:p>
      <w:pPr>
        <w:spacing w:after="0"/>
        <w:rPr>
          <w:sz w:val="10"/>
        </w:rPr>
        <w:sectPr>
          <w:headerReference w:type="default" r:id="rId5"/>
          <w:footerReference w:type="default" r:id="rId6"/>
          <w:type w:val="continuous"/>
          <w:pgSz w:w="17860" w:h="25260"/>
          <w:pgMar w:top="1320" w:right="0" w:bottom="1880" w:left="0" w:header="1121" w:footer="1688"/>
          <w:cols w:space="708"/>
        </w:sectPr>
      </w:pPr>
    </w:p>
    <w:p>
      <w:pPr>
        <w:pStyle w:val="BodyText"/>
        <w:spacing w:before="5"/>
        <w:rPr>
          <w:sz w:val="41"/>
        </w:rPr>
      </w:pPr>
    </w:p>
    <w:p>
      <w:pPr>
        <w:spacing w:before="0" w:line="223" w:lineRule="auto"/>
        <w:ind w:left="1620" w:right="0" w:firstLine="0"/>
        <w:jc w:val="both"/>
        <w:rPr>
          <w:sz w:val="42"/>
        </w:rPr>
      </w:pPr>
      <w:r>
        <w:rPr>
          <w:sz w:val="42"/>
        </w:rPr>
        <w:t>按化学成分分类</w:t>
      </w:r>
    </w:p>
    <w:p>
      <w:pPr>
        <w:spacing w:before="0" w:line="766" w:lineRule="exact"/>
        <w:ind w:left="389" w:right="0" w:firstLine="0"/>
        <w:jc w:val="left"/>
        <w:rPr>
          <w:sz w:val="42"/>
        </w:rPr>
      </w:pPr>
      <w:r>
        <w:br w:type="column"/>
      </w:r>
      <w:r>
        <w:rPr>
          <w:spacing w:val="-7"/>
          <w:sz w:val="42"/>
        </w:rPr>
        <w:t>碳素钢</w:t>
      </w:r>
    </w:p>
    <w:p>
      <w:pPr>
        <w:pStyle w:val="BodyText"/>
        <w:rPr>
          <w:sz w:val="56"/>
        </w:rPr>
      </w:pPr>
    </w:p>
    <w:p>
      <w:pPr>
        <w:pStyle w:val="BodyText"/>
        <w:spacing w:before="4"/>
        <w:rPr>
          <w:sz w:val="59"/>
        </w:rPr>
      </w:pPr>
    </w:p>
    <w:p>
      <w:pPr>
        <w:spacing w:before="0"/>
        <w:ind w:left="389" w:right="0" w:firstLine="0"/>
        <w:jc w:val="left"/>
        <w:rPr>
          <w:sz w:val="42"/>
        </w:rPr>
      </w:pPr>
      <w:r>
        <w:rPr>
          <w:spacing w:val="-7"/>
          <w:sz w:val="42"/>
        </w:rPr>
        <w:t>合金钢</w:t>
      </w:r>
    </w:p>
    <w:p>
      <w:pPr>
        <w:spacing w:before="0" w:line="300" w:lineRule="auto"/>
        <w:ind w:left="924" w:right="5248" w:firstLine="0"/>
        <w:jc w:val="left"/>
        <w:rPr>
          <w:sz w:val="42"/>
        </w:rPr>
      </w:pPr>
      <w:r>
        <w:br w:type="column"/>
      </w:r>
      <w:r>
        <w:rPr>
          <w:sz w:val="42"/>
        </w:rPr>
        <w:t>中碳钢（含碳量大于 0.25%～0.6%） 高碳钢（含碳量大于 0.6%）</w:t>
      </w:r>
    </w:p>
    <w:p>
      <w:pPr>
        <w:spacing w:before="0" w:line="300" w:lineRule="auto"/>
        <w:ind w:left="924" w:right="3470" w:firstLine="0"/>
        <w:jc w:val="both"/>
        <w:rPr>
          <w:sz w:val="42"/>
        </w:rPr>
      </w:pPr>
      <w:r>
        <w:rPr>
          <w:sz w:val="42"/>
        </w:rPr>
        <w:t>低合金钢（</w:t>
      </w:r>
      <w:r>
        <w:rPr>
          <w:spacing w:val="-2"/>
          <w:sz w:val="42"/>
        </w:rPr>
        <w:t xml:space="preserve">含合金元素总含量小于或等与 </w:t>
      </w:r>
      <w:r>
        <w:rPr>
          <w:sz w:val="42"/>
        </w:rPr>
        <w:t>5%） 中合金钢（</w:t>
      </w:r>
      <w:r>
        <w:rPr>
          <w:spacing w:val="-2"/>
          <w:sz w:val="42"/>
        </w:rPr>
        <w:t xml:space="preserve">含合金元素总含量大于 </w:t>
      </w:r>
      <w:r>
        <w:rPr>
          <w:spacing w:val="-3"/>
          <w:sz w:val="42"/>
        </w:rPr>
        <w:t xml:space="preserve">5%～10%） </w:t>
      </w:r>
      <w:r>
        <w:rPr>
          <w:sz w:val="42"/>
        </w:rPr>
        <w:t>高合金钢（</w:t>
      </w:r>
      <w:r>
        <w:rPr>
          <w:spacing w:val="-4"/>
          <w:sz w:val="42"/>
        </w:rPr>
        <w:t xml:space="preserve">含合金元素总含量大于 </w:t>
      </w:r>
      <w:r>
        <w:rPr>
          <w:sz w:val="42"/>
        </w:rPr>
        <w:t>10%）</w:t>
      </w:r>
    </w:p>
    <w:p>
      <w:pPr>
        <w:spacing w:after="0" w:line="300" w:lineRule="auto"/>
        <w:jc w:val="both"/>
        <w:rPr>
          <w:sz w:val="42"/>
        </w:rPr>
        <w:sectPr>
          <w:headerReference w:type="default" r:id="rId7"/>
          <w:footerReference w:type="default" r:id="rId8"/>
          <w:type w:val="continuous"/>
          <w:pgSz w:w="17860" w:h="25260"/>
          <w:pgMar w:top="1320" w:right="0" w:bottom="1880" w:left="0" w:header="708" w:footer="708"/>
          <w:pgNumType w:start="2"/>
          <w:cols w:num="3" w:space="708" w:equalWidth="0">
            <w:col w:w="2995" w:space="40"/>
            <w:col w:w="1654" w:space="39"/>
            <w:col w:w="13132" w:space="0"/>
          </w:cols>
        </w:sectPr>
      </w:pPr>
    </w:p>
    <w:p>
      <w:pPr>
        <w:pStyle w:val="BodyText"/>
        <w:spacing w:before="5"/>
        <w:rPr>
          <w:sz w:val="34"/>
        </w:rPr>
      </w:pPr>
    </w:p>
    <w:p>
      <w:pPr>
        <w:spacing w:before="0" w:line="223" w:lineRule="auto"/>
        <w:ind w:left="1620" w:right="0" w:firstLine="0"/>
        <w:jc w:val="left"/>
        <w:rPr>
          <w:sz w:val="42"/>
        </w:rPr>
      </w:pPr>
      <w:r>
        <w:rPr>
          <w:sz w:val="42"/>
        </w:rPr>
        <w:t>按品质分类</w:t>
      </w:r>
    </w:p>
    <w:p>
      <w:pPr>
        <w:spacing w:before="0" w:line="759" w:lineRule="exact"/>
        <w:ind w:left="389" w:right="0" w:firstLine="0"/>
        <w:jc w:val="left"/>
        <w:rPr>
          <w:sz w:val="42"/>
        </w:rPr>
      </w:pPr>
      <w:r>
        <w:br w:type="column"/>
      </w:r>
      <w:r>
        <w:rPr>
          <w:sz w:val="42"/>
        </w:rPr>
        <w:t>普通碳素钢（含磷量小于或等于 0.045%，含硫量小于或等于 0.055%）</w:t>
      </w:r>
    </w:p>
    <w:p>
      <w:pPr>
        <w:spacing w:before="194"/>
        <w:ind w:left="389" w:right="0" w:firstLine="0"/>
        <w:jc w:val="left"/>
        <w:rPr>
          <w:sz w:val="42"/>
        </w:rPr>
      </w:pPr>
      <w:r>
        <w:rPr>
          <w:sz w:val="42"/>
        </w:rPr>
        <w:t>优质碳素钢（含磷量不大于 0.04%，含硫量不大于 0.045%）</w:t>
      </w:r>
    </w:p>
    <w:p>
      <w:pPr>
        <w:spacing w:before="190"/>
        <w:ind w:left="389" w:right="0" w:firstLine="0"/>
        <w:jc w:val="left"/>
        <w:rPr>
          <w:sz w:val="42"/>
        </w:rPr>
      </w:pPr>
      <w:r>
        <w:rPr>
          <w:spacing w:val="-31"/>
          <w:w w:val="100"/>
          <w:sz w:val="42"/>
        </w:rPr>
        <w:t>高级优质碳素钢</w:t>
      </w:r>
      <w:r>
        <w:rPr>
          <w:w w:val="100"/>
          <w:sz w:val="42"/>
        </w:rPr>
        <w:t>（</w:t>
      </w:r>
      <w:r>
        <w:rPr>
          <w:spacing w:val="6"/>
          <w:w w:val="100"/>
          <w:sz w:val="42"/>
        </w:rPr>
        <w:t>含磷量小于或等于</w:t>
      </w:r>
      <w:r>
        <w:rPr>
          <w:spacing w:val="-1"/>
          <w:w w:val="100"/>
          <w:sz w:val="42"/>
        </w:rPr>
        <w:t>0.035</w:t>
      </w:r>
      <w:r>
        <w:rPr>
          <w:spacing w:val="-18"/>
          <w:w w:val="100"/>
          <w:sz w:val="42"/>
        </w:rPr>
        <w:t>%，含硫量小于或等于</w:t>
      </w:r>
      <w:r>
        <w:rPr>
          <w:spacing w:val="-1"/>
          <w:w w:val="100"/>
          <w:sz w:val="42"/>
        </w:rPr>
        <w:t>0.03</w:t>
      </w:r>
      <w:r>
        <w:rPr>
          <w:spacing w:val="-4"/>
          <w:w w:val="100"/>
          <w:sz w:val="42"/>
        </w:rPr>
        <w:t>%</w:t>
      </w:r>
      <w:r>
        <w:rPr>
          <w:w w:val="100"/>
          <w:sz w:val="42"/>
        </w:rPr>
        <w:t>）</w:t>
      </w:r>
    </w:p>
    <w:p>
      <w:pPr>
        <w:spacing w:after="0"/>
        <w:jc w:val="left"/>
        <w:rPr>
          <w:sz w:val="42"/>
        </w:rPr>
        <w:sectPr>
          <w:headerReference w:type="default" r:id="rId9"/>
          <w:footerReference w:type="default" r:id="rId10"/>
          <w:type w:val="continuous"/>
          <w:pgSz w:w="17860" w:h="25260"/>
          <w:pgMar w:top="1320" w:right="0" w:bottom="1880" w:left="0" w:header="708" w:footer="708"/>
          <w:pgNumType w:start="3"/>
          <w:cols w:num="2" w:space="708" w:equalWidth="0">
            <w:col w:w="2995" w:space="40"/>
            <w:col w:w="14825" w:space="0"/>
          </w:cols>
        </w:sectPr>
      </w:pPr>
    </w:p>
    <w:p>
      <w:pPr>
        <w:pStyle w:val="BodyText"/>
        <w:spacing w:before="13"/>
        <w:rPr>
          <w:sz w:val="27"/>
        </w:rPr>
      </w:pPr>
    </w:p>
    <w:p>
      <w:pPr>
        <w:spacing w:after="0"/>
        <w:rPr>
          <w:sz w:val="27"/>
        </w:rPr>
        <w:sectPr>
          <w:headerReference w:type="default" r:id="rId11"/>
          <w:footerReference w:type="default" r:id="rId12"/>
          <w:pgSz w:w="17860" w:h="25260"/>
          <w:pgMar w:top="1320" w:right="0" w:bottom="1880" w:left="0" w:header="1121" w:footer="1688"/>
          <w:pgNumType w:start="4"/>
          <w:cols w:space="708"/>
        </w:sectPr>
      </w:pPr>
    </w:p>
    <w:p>
      <w:pPr>
        <w:pStyle w:val="BodyText"/>
        <w:rPr>
          <w:sz w:val="56"/>
        </w:rPr>
      </w:pPr>
    </w:p>
    <w:p>
      <w:pPr>
        <w:pStyle w:val="BodyText"/>
        <w:spacing w:before="10"/>
        <w:rPr>
          <w:sz w:val="83"/>
        </w:rPr>
      </w:pPr>
    </w:p>
    <w:p>
      <w:pPr>
        <w:spacing w:before="0" w:line="223" w:lineRule="auto"/>
        <w:ind w:left="1620" w:right="0" w:firstLine="0"/>
        <w:jc w:val="left"/>
        <w:rPr>
          <w:sz w:val="42"/>
        </w:rPr>
      </w:pPr>
      <w:r>
        <w:rPr>
          <w:sz w:val="42"/>
        </w:rPr>
        <w:t>按用途分类</w:t>
      </w:r>
    </w:p>
    <w:p>
      <w:pPr>
        <w:spacing w:before="477" w:line="597" w:lineRule="auto"/>
        <w:ind w:left="389" w:right="419" w:firstLine="0"/>
        <w:jc w:val="left"/>
        <w:rPr>
          <w:sz w:val="42"/>
        </w:rPr>
      </w:pPr>
      <w:r>
        <w:br w:type="column"/>
      </w:r>
      <w:r>
        <w:rPr>
          <w:sz w:val="42"/>
        </w:rPr>
        <w:t>结构钢工具钢</w:t>
      </w:r>
    </w:p>
    <w:p>
      <w:pPr>
        <w:spacing w:before="173" w:line="223" w:lineRule="auto"/>
        <w:ind w:left="389" w:right="0" w:firstLine="0"/>
        <w:jc w:val="left"/>
        <w:rPr>
          <w:sz w:val="42"/>
        </w:rPr>
      </w:pPr>
      <w:r>
        <w:rPr>
          <w:sz w:val="42"/>
        </w:rPr>
        <w:t>特殊性能钢</w:t>
      </w:r>
    </w:p>
    <w:p>
      <w:pPr>
        <w:spacing w:before="0" w:line="300" w:lineRule="auto"/>
        <w:ind w:left="503" w:right="0" w:firstLine="0"/>
        <w:jc w:val="both"/>
        <w:rPr>
          <w:sz w:val="42"/>
        </w:rPr>
      </w:pPr>
      <w:r>
        <w:br w:type="column"/>
      </w:r>
      <w:r>
        <w:rPr>
          <w:spacing w:val="-4"/>
          <w:sz w:val="42"/>
        </w:rPr>
        <w:t>碳素结构钢合金结构钢碳素工具钢合金工具钢</w:t>
      </w:r>
      <w:r>
        <w:rPr>
          <w:sz w:val="42"/>
        </w:rPr>
        <w:t>不锈钢</w:t>
      </w:r>
    </w:p>
    <w:p>
      <w:pPr>
        <w:spacing w:before="0" w:line="300" w:lineRule="auto"/>
        <w:ind w:left="503" w:right="840" w:firstLine="0"/>
        <w:jc w:val="left"/>
        <w:rPr>
          <w:sz w:val="42"/>
        </w:rPr>
      </w:pPr>
      <w:r>
        <w:drawing>
          <wp:anchor distT="0" distB="0" distL="0" distR="0" simplePos="0" relativeHeight="251659264" behindDoc="1" locked="0" layoutInCell="1" allowOverlap="1">
            <wp:simplePos x="0" y="0"/>
            <wp:positionH relativeFrom="page">
              <wp:posOffset>876300</wp:posOffset>
            </wp:positionH>
            <wp:positionV relativeFrom="paragraph">
              <wp:posOffset>-3046649</wp:posOffset>
            </wp:positionV>
            <wp:extent cx="9766300" cy="8610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3" cstate="print"/>
                    <a:stretch>
                      <a:fillRect/>
                    </a:stretch>
                  </pic:blipFill>
                  <pic:spPr>
                    <a:xfrm>
                      <a:off x="0" y="0"/>
                      <a:ext cx="9766300" cy="8610600"/>
                    </a:xfrm>
                    <a:prstGeom prst="rect">
                      <a:avLst/>
                    </a:prstGeom>
                  </pic:spPr>
                </pic:pic>
              </a:graphicData>
            </a:graphic>
          </wp:anchor>
        </w:drawing>
      </w:r>
      <w:r>
        <w:rPr>
          <w:spacing w:val="-6"/>
          <w:sz w:val="42"/>
        </w:rPr>
        <w:t>耐热钢耐磨钢</w:t>
      </w:r>
    </w:p>
    <w:p>
      <w:pPr>
        <w:pStyle w:val="BodyText"/>
        <w:rPr>
          <w:sz w:val="56"/>
        </w:rPr>
      </w:pPr>
      <w:r>
        <w:br w:type="column"/>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14"/>
        <w:rPr>
          <w:sz w:val="30"/>
        </w:rPr>
      </w:pPr>
    </w:p>
    <w:p>
      <w:pPr>
        <w:spacing w:before="0"/>
        <w:ind w:left="1001" w:right="0" w:firstLine="0"/>
        <w:jc w:val="left"/>
        <w:rPr>
          <w:sz w:val="42"/>
        </w:rPr>
      </w:pPr>
      <w:r>
        <w:rPr>
          <w:sz w:val="42"/>
        </w:rPr>
        <w:t>平炉钢</w:t>
      </w:r>
    </w:p>
    <w:p>
      <w:pPr>
        <w:pStyle w:val="BodyText"/>
        <w:rPr>
          <w:sz w:val="56"/>
        </w:rPr>
      </w:pPr>
      <w:r>
        <w:br w:type="column"/>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2"/>
        <w:rPr>
          <w:sz w:val="83"/>
        </w:rPr>
      </w:pPr>
    </w:p>
    <w:p>
      <w:pPr>
        <w:spacing w:before="0" w:line="591" w:lineRule="exact"/>
        <w:ind w:left="1296" w:right="0" w:firstLine="0"/>
        <w:jc w:val="left"/>
        <w:rPr>
          <w:sz w:val="42"/>
        </w:rPr>
      </w:pPr>
      <w:r>
        <w:rPr>
          <w:sz w:val="42"/>
        </w:rPr>
        <w:t>酸性炉钢</w:t>
      </w:r>
    </w:p>
    <w:p>
      <w:pPr>
        <w:spacing w:after="0" w:line="591" w:lineRule="exact"/>
        <w:jc w:val="left"/>
        <w:rPr>
          <w:sz w:val="42"/>
        </w:rPr>
        <w:sectPr>
          <w:headerReference w:type="default" r:id="rId14"/>
          <w:footerReference w:type="default" r:id="rId15"/>
          <w:type w:val="continuous"/>
          <w:pgSz w:w="17860" w:h="25260"/>
          <w:pgMar w:top="1320" w:right="0" w:bottom="1880" w:left="0" w:header="708" w:footer="708"/>
          <w:pgNumType w:start="5"/>
          <w:cols w:num="5" w:space="708" w:equalWidth="0">
            <w:col w:w="2995" w:space="40"/>
            <w:col w:w="2075" w:space="39"/>
            <w:col w:w="2610" w:space="40"/>
            <w:col w:w="2265" w:space="39"/>
            <w:col w:w="7757" w:space="0"/>
          </w:cols>
        </w:sectPr>
      </w:pPr>
    </w:p>
    <w:p>
      <w:pPr>
        <w:pStyle w:val="BodyText"/>
        <w:spacing w:before="15"/>
        <w:rPr>
          <w:sz w:val="72"/>
        </w:rPr>
      </w:pPr>
    </w:p>
    <w:p>
      <w:pPr>
        <w:spacing w:before="0"/>
        <w:ind w:left="1620" w:right="0" w:firstLine="0"/>
        <w:jc w:val="left"/>
        <w:rPr>
          <w:sz w:val="42"/>
        </w:rPr>
      </w:pPr>
      <w:r>
        <w:rPr>
          <w:sz w:val="42"/>
        </w:rPr>
        <w:t>按冶炼方法分类</w:t>
      </w:r>
    </w:p>
    <w:p>
      <w:pPr>
        <w:tabs>
          <w:tab w:val="left" w:pos="4191"/>
        </w:tabs>
        <w:spacing w:before="0" w:line="666" w:lineRule="exact"/>
        <w:ind w:left="687" w:right="0" w:firstLine="0"/>
        <w:jc w:val="left"/>
        <w:rPr>
          <w:sz w:val="42"/>
        </w:rPr>
      </w:pPr>
      <w:r>
        <w:br w:type="column"/>
      </w:r>
      <w:r>
        <w:rPr>
          <w:sz w:val="42"/>
        </w:rPr>
        <w:t>按炉别分</w:t>
        <w:tab/>
        <w:t>转炉钢</w:t>
      </w:r>
    </w:p>
    <w:p>
      <w:pPr>
        <w:pStyle w:val="BodyText"/>
        <w:spacing w:before="13"/>
      </w:pPr>
    </w:p>
    <w:p>
      <w:pPr>
        <w:spacing w:before="0" w:line="300" w:lineRule="auto"/>
        <w:ind w:left="4191" w:right="419" w:firstLine="0"/>
        <w:jc w:val="left"/>
        <w:rPr>
          <w:sz w:val="42"/>
        </w:rPr>
      </w:pPr>
      <w:r>
        <w:rPr>
          <w:spacing w:val="-7"/>
          <w:sz w:val="42"/>
        </w:rPr>
        <w:t>电炉钢沸腾钢</w:t>
      </w:r>
    </w:p>
    <w:p>
      <w:pPr>
        <w:tabs>
          <w:tab w:val="left" w:pos="4191"/>
        </w:tabs>
        <w:spacing w:before="0" w:line="300" w:lineRule="auto"/>
        <w:ind w:left="4191" w:right="0" w:hanging="3504"/>
        <w:jc w:val="left"/>
        <w:rPr>
          <w:sz w:val="42"/>
        </w:rPr>
      </w:pPr>
      <w:r>
        <w:rPr>
          <w:sz w:val="42"/>
        </w:rPr>
        <w:t>按脱氧程度分</w:t>
        <w:tab/>
        <w:t>镇 静 钢 半镇静</w:t>
      </w:r>
      <w:r>
        <w:rPr>
          <w:spacing w:val="-20"/>
          <w:sz w:val="42"/>
        </w:rPr>
        <w:t>钢</w:t>
      </w:r>
    </w:p>
    <w:p>
      <w:pPr>
        <w:spacing w:before="374"/>
        <w:ind w:left="874" w:right="0" w:firstLine="0"/>
        <w:jc w:val="left"/>
        <w:rPr>
          <w:sz w:val="42"/>
        </w:rPr>
      </w:pPr>
      <w:r>
        <w:br w:type="column"/>
      </w:r>
      <w:r>
        <w:rPr>
          <w:sz w:val="42"/>
        </w:rPr>
        <w:t>碱性炉钢</w:t>
      </w:r>
    </w:p>
    <w:p>
      <w:pPr>
        <w:spacing w:after="0"/>
        <w:jc w:val="left"/>
        <w:rPr>
          <w:sz w:val="42"/>
        </w:rPr>
        <w:sectPr>
          <w:headerReference w:type="default" r:id="rId16"/>
          <w:footerReference w:type="default" r:id="rId17"/>
          <w:type w:val="continuous"/>
          <w:pgSz w:w="17860" w:h="25260"/>
          <w:pgMar w:top="1320" w:right="0" w:bottom="1880" w:left="0" w:header="708" w:footer="708"/>
          <w:pgNumType w:start="6"/>
          <w:cols w:num="3" w:space="708" w:equalWidth="0">
            <w:col w:w="4569" w:space="40"/>
            <w:col w:w="5877" w:space="39"/>
            <w:col w:w="7335" w:space="0"/>
          </w:cols>
        </w:sectPr>
      </w:pPr>
    </w:p>
    <w:p>
      <w:pPr>
        <w:pStyle w:val="BodyText"/>
        <w:spacing w:before="5"/>
        <w:rPr>
          <w:sz w:val="16"/>
        </w:rPr>
      </w:pPr>
    </w:p>
    <w:p>
      <w:pPr>
        <w:pStyle w:val="Heading1"/>
        <w:numPr>
          <w:ilvl w:val="0"/>
          <w:numId w:val="5"/>
        </w:numPr>
        <w:tabs>
          <w:tab w:val="left" w:pos="2053"/>
        </w:tabs>
        <w:spacing w:before="0" w:after="0" w:line="859" w:lineRule="exact"/>
        <w:ind w:left="2052" w:right="0" w:hanging="433"/>
        <w:jc w:val="left"/>
      </w:pPr>
      <w:r>
        <w:t>按钢所用材料分类:</w:t>
      </w:r>
    </w:p>
    <w:p>
      <w:pPr>
        <w:pStyle w:val="BodyText"/>
        <w:spacing w:before="10"/>
        <w:rPr>
          <w:b/>
        </w:rPr>
      </w:pPr>
    </w:p>
    <w:p>
      <w:pPr>
        <w:pStyle w:val="BodyText"/>
        <w:spacing w:line="338" w:lineRule="auto"/>
        <w:ind w:left="1620" w:right="1439" w:firstLine="720"/>
      </w:pPr>
      <w:r>
        <w:rPr>
          <w:spacing w:val="-13"/>
        </w:rPr>
        <w:t>材料大体上有两大类,一种是板材,一种是型材。按其横断面的形状特征可分为板材</w:t>
      </w:r>
      <w:r>
        <w:t>（钢板</w:t>
      </w:r>
      <w:r>
        <w:rPr>
          <w:spacing w:val="-180"/>
        </w:rPr>
        <w:t>）</w:t>
      </w:r>
      <w:r>
        <w:rPr>
          <w:spacing w:val="-13"/>
        </w:rPr>
        <w:t>、</w:t>
      </w:r>
      <w:r>
        <w:t>管材（钢管</w:t>
      </w:r>
      <w:r>
        <w:rPr>
          <w:spacing w:val="-180"/>
        </w:rPr>
        <w:t>）</w:t>
      </w:r>
      <w:r>
        <w:t>、型材（型钢</w:t>
      </w:r>
      <w:r>
        <w:rPr>
          <w:spacing w:val="-180"/>
        </w:rPr>
        <w:t>）</w:t>
      </w:r>
      <w:r>
        <w:t>、和线材（钢丝）四大类。</w:t>
      </w:r>
    </w:p>
    <w:p>
      <w:pPr>
        <w:pStyle w:val="Heading2"/>
      </w:pPr>
      <w:r>
        <w:t>钢板</w:t>
      </w:r>
    </w:p>
    <w:p>
      <w:pPr>
        <w:pStyle w:val="BodyText"/>
        <w:tabs>
          <w:tab w:val="left" w:pos="3571"/>
          <w:tab w:val="left" w:pos="7194"/>
          <w:tab w:val="left" w:pos="10726"/>
          <w:tab w:val="left" w:pos="15018"/>
        </w:tabs>
        <w:spacing w:before="273" w:line="338" w:lineRule="auto"/>
        <w:ind w:left="1620" w:right="1616"/>
      </w:pPr>
      <w:r>
        <w:t>薄钢板</w:t>
        <w:tab/>
        <w:t>按国标规定，厚度在</w:t>
        <w:tab/>
      </w:r>
      <w:r>
        <w:rPr>
          <w:spacing w:val="8"/>
        </w:rPr>
        <w:t>0.2～4mm，</w:t>
      </w:r>
      <w:r>
        <w:t>宽度为</w:t>
        <w:tab/>
      </w:r>
      <w:r>
        <w:rPr>
          <w:spacing w:val="6"/>
        </w:rPr>
        <w:t>500～1500mm，</w:t>
      </w:r>
      <w:r>
        <w:t>长度为</w:t>
        <w:tab/>
        <w:t>1000～ 4000mm。标记方法为：厚度×宽度×长度。</w:t>
      </w:r>
    </w:p>
    <w:p>
      <w:pPr>
        <w:pStyle w:val="BodyText"/>
        <w:tabs>
          <w:tab w:val="left" w:pos="3420"/>
        </w:tabs>
        <w:ind w:left="1620"/>
      </w:pPr>
      <w:r>
        <w:t>厚钢板</w:t>
        <w:tab/>
        <w:t>厚度大于</w:t>
      </w:r>
      <w:r>
        <w:rPr>
          <w:spacing w:val="-18"/>
        </w:rPr>
        <w:t xml:space="preserve"> </w:t>
      </w:r>
      <w:r>
        <w:t>4mm</w:t>
      </w:r>
      <w:r>
        <w:rPr>
          <w:spacing w:val="-12"/>
        </w:rPr>
        <w:t xml:space="preserve"> </w:t>
      </w:r>
      <w:r>
        <w:t>以上，通常又把</w:t>
      </w:r>
      <w:r>
        <w:rPr>
          <w:spacing w:val="-42"/>
        </w:rPr>
        <w:t xml:space="preserve"> </w:t>
      </w:r>
      <w:r>
        <w:t>4-25mm</w:t>
      </w:r>
      <w:r>
        <w:rPr>
          <w:spacing w:val="-14"/>
        </w:rPr>
        <w:t xml:space="preserve"> </w:t>
      </w:r>
      <w:r>
        <w:t>厚的为中板</w:t>
      </w:r>
      <w:r>
        <w:rPr>
          <w:spacing w:val="-7"/>
        </w:rPr>
        <w:t>，25mm</w:t>
      </w:r>
      <w:r>
        <w:rPr>
          <w:spacing w:val="-11"/>
        </w:rPr>
        <w:t xml:space="preserve"> </w:t>
      </w:r>
      <w:r>
        <w:t>以上为厚板。标记</w:t>
      </w:r>
    </w:p>
    <w:p>
      <w:pPr>
        <w:spacing w:after="0"/>
        <w:sectPr>
          <w:headerReference w:type="default" r:id="rId18"/>
          <w:footerReference w:type="default" r:id="rId19"/>
          <w:type w:val="continuous"/>
          <w:pgSz w:w="17860" w:h="25260"/>
          <w:pgMar w:top="1320" w:right="0" w:bottom="1880" w:left="0" w:header="708" w:footer="708"/>
          <w:pgNumType w:start="7"/>
          <w:cols w:space="708"/>
        </w:sectPr>
      </w:pPr>
    </w:p>
    <w:p>
      <w:pPr>
        <w:pStyle w:val="BodyText"/>
        <w:rPr>
          <w:sz w:val="20"/>
        </w:rPr>
      </w:pPr>
    </w:p>
    <w:p>
      <w:pPr>
        <w:pStyle w:val="BodyText"/>
        <w:rPr>
          <w:sz w:val="12"/>
        </w:rPr>
      </w:pPr>
    </w:p>
    <w:p>
      <w:pPr>
        <w:pStyle w:val="BodyText"/>
        <w:spacing w:before="6"/>
        <w:ind w:left="1620"/>
      </w:pPr>
      <w:r>
        <w:t>方法与薄板相同。</w:t>
      </w:r>
    </w:p>
    <w:p>
      <w:pPr>
        <w:pStyle w:val="Heading2"/>
        <w:spacing w:before="272"/>
      </w:pPr>
      <w:r>
        <w:t>型钢</w:t>
      </w:r>
    </w:p>
    <w:p>
      <w:pPr>
        <w:pStyle w:val="BodyText"/>
        <w:spacing w:before="9"/>
        <w:rPr>
          <w:b/>
          <w:sz w:val="14"/>
        </w:rPr>
      </w:pPr>
    </w:p>
    <w:p>
      <w:pPr>
        <w:pStyle w:val="BodyText"/>
        <w:spacing w:before="6" w:line="338" w:lineRule="auto"/>
        <w:ind w:left="1620" w:right="1476" w:firstLine="720"/>
      </w:pPr>
      <w:r>
        <w:t>按其断面形状，可分为简单断面型钢和复杂断面型钢。简单断面型钢有圆钢、方钢、六角钢、扁钢、角钢；复杂断面型钢有槽钢、工字钢、钢轨及其他异型钢材等。</w:t>
      </w:r>
    </w:p>
    <w:p>
      <w:pPr>
        <w:pStyle w:val="BodyText"/>
        <w:ind w:left="3420"/>
      </w:pPr>
      <w:r>
        <w:drawing>
          <wp:anchor distT="0" distB="0" distL="0" distR="0" simplePos="0" relativeHeight="251661312" behindDoc="1" locked="0" layoutInCell="1" allowOverlap="1">
            <wp:simplePos x="0" y="0"/>
            <wp:positionH relativeFrom="page">
              <wp:posOffset>2108200</wp:posOffset>
            </wp:positionH>
            <wp:positionV relativeFrom="paragraph">
              <wp:posOffset>393279</wp:posOffset>
            </wp:positionV>
            <wp:extent cx="1511300" cy="101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20" cstate="print"/>
                    <a:stretch>
                      <a:fillRect/>
                    </a:stretch>
                  </pic:blipFill>
                  <pic:spPr>
                    <a:xfrm>
                      <a:off x="0" y="0"/>
                      <a:ext cx="1511300" cy="101600"/>
                    </a:xfrm>
                    <a:prstGeom prst="rect">
                      <a:avLst/>
                    </a:prstGeom>
                  </pic:spPr>
                </pic:pic>
              </a:graphicData>
            </a:graphic>
          </wp:anchor>
        </w:drawing>
      </w:r>
      <w:r>
        <w:t>型号标识方法：扁钢（厚度×宽度×长度）</w:t>
      </w:r>
    </w:p>
    <w:p>
      <w:pPr>
        <w:pStyle w:val="BodyText"/>
        <w:spacing w:before="273" w:line="338" w:lineRule="auto"/>
        <w:ind w:left="5941" w:right="5688"/>
      </w:pPr>
      <w:r>
        <w:t>工字钢和槽钢（型号×10 表示其高度） 角钢</w:t>
      </w:r>
    </w:p>
    <w:p>
      <w:pPr>
        <w:tabs>
          <w:tab w:val="left" w:pos="3420"/>
        </w:tabs>
        <w:spacing w:before="1"/>
        <w:ind w:left="1620" w:right="0" w:firstLine="0"/>
        <w:jc w:val="left"/>
        <w:rPr>
          <w:sz w:val="36"/>
        </w:rPr>
      </w:pPr>
      <w:r>
        <w:drawing>
          <wp:anchor distT="0" distB="0" distL="0" distR="0" simplePos="0" relativeHeight="251662336" behindDoc="1" locked="0" layoutInCell="1" allowOverlap="1">
            <wp:simplePos x="0" y="0"/>
            <wp:positionH relativeFrom="page">
              <wp:posOffset>3251200</wp:posOffset>
            </wp:positionH>
            <wp:positionV relativeFrom="paragraph">
              <wp:posOffset>388326</wp:posOffset>
            </wp:positionV>
            <wp:extent cx="1219200" cy="1143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21" cstate="print"/>
                    <a:stretch>
                      <a:fillRect/>
                    </a:stretch>
                  </pic:blipFill>
                  <pic:spPr>
                    <a:xfrm>
                      <a:off x="0" y="0"/>
                      <a:ext cx="1219200" cy="114300"/>
                    </a:xfrm>
                    <a:prstGeom prst="rect">
                      <a:avLst/>
                    </a:prstGeom>
                  </pic:spPr>
                </pic:pic>
              </a:graphicData>
            </a:graphic>
          </wp:anchor>
        </w:drawing>
      </w:r>
      <w:r>
        <w:rPr>
          <w:b/>
          <w:sz w:val="36"/>
        </w:rPr>
        <w:t>钢管</w:t>
        <w:tab/>
      </w:r>
      <w:r>
        <w:rPr>
          <w:sz w:val="36"/>
        </w:rPr>
        <w:t>焊接钢管（内径×壁厚）</w:t>
      </w:r>
    </w:p>
    <w:p>
      <w:pPr>
        <w:pStyle w:val="BodyText"/>
        <w:spacing w:before="273"/>
        <w:ind w:left="3420"/>
      </w:pPr>
      <w:r>
        <w:drawing>
          <wp:anchor distT="0" distB="0" distL="0" distR="0" simplePos="0" relativeHeight="251663360" behindDoc="1" locked="0" layoutInCell="1" allowOverlap="1">
            <wp:simplePos x="0" y="0"/>
            <wp:positionH relativeFrom="page">
              <wp:posOffset>3708400</wp:posOffset>
            </wp:positionH>
            <wp:positionV relativeFrom="paragraph">
              <wp:posOffset>566760</wp:posOffset>
            </wp:positionV>
            <wp:extent cx="1219200" cy="101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22" cstate="print"/>
                    <a:stretch>
                      <a:fillRect/>
                    </a:stretch>
                  </pic:blipFill>
                  <pic:spPr>
                    <a:xfrm>
                      <a:off x="0" y="0"/>
                      <a:ext cx="1219200" cy="101600"/>
                    </a:xfrm>
                    <a:prstGeom prst="rect">
                      <a:avLst/>
                    </a:prstGeom>
                  </pic:spPr>
                </pic:pic>
              </a:graphicData>
            </a:graphic>
          </wp:anchor>
        </w:drawing>
      </w:r>
      <w:r>
        <w:t>常用无缝钢管（外径×壁厚）</w:t>
      </w:r>
    </w:p>
    <w:p>
      <w:pPr>
        <w:pStyle w:val="Heading1"/>
        <w:numPr>
          <w:ilvl w:val="0"/>
          <w:numId w:val="5"/>
        </w:numPr>
        <w:tabs>
          <w:tab w:val="left" w:pos="2053"/>
        </w:tabs>
        <w:spacing w:before="427" w:after="0" w:line="240" w:lineRule="auto"/>
        <w:ind w:left="2052" w:right="0" w:hanging="433"/>
        <w:jc w:val="left"/>
      </w:pPr>
      <w:r>
        <w:t>按连接方法分类:</w:t>
      </w:r>
    </w:p>
    <w:p>
      <w:pPr>
        <w:pStyle w:val="BodyText"/>
        <w:spacing w:before="14"/>
        <w:rPr>
          <w:b/>
        </w:rPr>
      </w:pPr>
    </w:p>
    <w:p>
      <w:pPr>
        <w:pStyle w:val="BodyText"/>
        <w:tabs>
          <w:tab w:val="left" w:pos="3600"/>
        </w:tabs>
        <w:ind w:left="1620"/>
      </w:pPr>
      <w:r>
        <w:t>铆接结构</w:t>
        <w:tab/>
        <w:t>(优点:变形小、强度高、便于拆卸更、换抗震</w:t>
      </w:r>
      <w:r>
        <w:rPr>
          <w:spacing w:val="5"/>
        </w:rPr>
        <w:t>等</w:t>
      </w:r>
      <w:r>
        <w:t>)</w:t>
      </w:r>
    </w:p>
    <w:p>
      <w:pPr>
        <w:pStyle w:val="BodyText"/>
        <w:tabs>
          <w:tab w:val="left" w:pos="3600"/>
          <w:tab w:val="left" w:pos="4140"/>
        </w:tabs>
        <w:spacing w:before="273" w:line="338" w:lineRule="auto"/>
        <w:ind w:left="1620" w:right="4609"/>
      </w:pPr>
      <w:r>
        <w:t>焊接结构</w:t>
        <w:tab/>
        <w:t>(</w:t>
      </w:r>
      <w:r>
        <w:rPr>
          <w:spacing w:val="68"/>
        </w:rPr>
        <w:t xml:space="preserve"> </w:t>
      </w:r>
      <w:r>
        <w:t>优点:生产速度</w:t>
      </w:r>
      <w:r>
        <w:rPr>
          <w:spacing w:val="4"/>
        </w:rPr>
        <w:t>快</w:t>
      </w:r>
      <w:r>
        <w:t>,质量好,施工方便,不受其它外界条件限制</w:t>
      </w:r>
      <w:r>
        <w:rPr>
          <w:spacing w:val="-15"/>
        </w:rPr>
        <w:t>等</w:t>
      </w:r>
      <w:r>
        <w:t>螺栓连接结构</w:t>
        <w:tab/>
        <w:t>(对特殊技术要求的结构部分,便于拆卸等)</w:t>
      </w:r>
    </w:p>
    <w:p>
      <w:pPr>
        <w:pStyle w:val="Heading1"/>
        <w:numPr>
          <w:ilvl w:val="0"/>
          <w:numId w:val="5"/>
        </w:numPr>
        <w:tabs>
          <w:tab w:val="left" w:pos="2053"/>
        </w:tabs>
        <w:spacing w:before="156" w:after="0" w:line="240" w:lineRule="auto"/>
        <w:ind w:left="2052" w:right="0" w:hanging="433"/>
        <w:jc w:val="left"/>
      </w:pPr>
      <w:r>
        <w:t>钢结构的生产程序:</w:t>
      </w:r>
    </w:p>
    <w:p>
      <w:pPr>
        <w:pStyle w:val="BodyText"/>
        <w:spacing w:before="10"/>
        <w:rPr>
          <w:b/>
        </w:rPr>
      </w:pPr>
    </w:p>
    <w:p>
      <w:pPr>
        <w:pStyle w:val="ListParagraph"/>
        <w:numPr>
          <w:ilvl w:val="0"/>
          <w:numId w:val="4"/>
        </w:numPr>
        <w:tabs>
          <w:tab w:val="left" w:pos="1907"/>
        </w:tabs>
        <w:spacing w:before="0" w:after="0" w:line="240" w:lineRule="auto"/>
        <w:ind w:left="1906" w:right="0" w:hanging="287"/>
        <w:jc w:val="left"/>
        <w:rPr>
          <w:sz w:val="36"/>
        </w:rPr>
      </w:pPr>
      <w:r>
        <w:rPr>
          <w:sz w:val="36"/>
        </w:rPr>
        <w:t>备料：审图、材料核对、材料矫正、放样、排料、号料、切料、预加工</w:t>
      </w:r>
    </w:p>
    <w:p>
      <w:pPr>
        <w:pStyle w:val="BodyText"/>
        <w:spacing w:before="272"/>
        <w:ind w:left="1620"/>
      </w:pPr>
      <w:r>
        <w:pict>
          <v:group id="_x0000_s1025" style="width:893pt;height:154pt;margin-top:92.76pt;margin-left:0;mso-position-horizontal-relative:page;position:absolute;z-index:251660288" coordorigin="0,1855" coordsize="17860,3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980;position:absolute;top:1915" stroked="f">
              <v:imagedata r:id="rId23" o:title=""/>
            </v:shape>
            <v:shape id="_x0000_s1027" type="#_x0000_t75" style="width:17860;height:3080;position:absolute;top:1855" stroked="f">
              <v:imagedata r:id="rId24" o:title=""/>
            </v:shape>
          </v:group>
        </w:pict>
      </w:r>
      <w:r>
        <w:t>（包括坡口和孔加工）</w:t>
      </w:r>
    </w:p>
    <w:p>
      <w:pPr>
        <w:spacing w:after="0"/>
        <w:sectPr>
          <w:headerReference w:type="default" r:id="rId25"/>
          <w:footerReference w:type="default" r:id="rId26"/>
          <w:pgSz w:w="17860" w:h="25260"/>
          <w:pgMar w:top="1320" w:right="0" w:bottom="1880" w:left="0" w:header="1121" w:footer="1688"/>
          <w:pgNumType w:start="8"/>
          <w:cols w:space="708"/>
        </w:sectPr>
      </w:pPr>
    </w:p>
    <w:p>
      <w:pPr>
        <w:pStyle w:val="BodyText"/>
        <w:rPr>
          <w:sz w:val="20"/>
        </w:rPr>
      </w:pPr>
    </w:p>
    <w:p>
      <w:pPr>
        <w:pStyle w:val="BodyText"/>
        <w:rPr>
          <w:sz w:val="20"/>
        </w:rPr>
      </w:pPr>
    </w:p>
    <w:p>
      <w:pPr>
        <w:pStyle w:val="BodyText"/>
        <w:spacing w:before="7"/>
        <w:rPr>
          <w:sz w:val="17"/>
        </w:rPr>
      </w:pPr>
    </w:p>
    <w:p>
      <w:pPr>
        <w:pStyle w:val="ListParagraph"/>
        <w:numPr>
          <w:ilvl w:val="0"/>
          <w:numId w:val="4"/>
        </w:numPr>
        <w:tabs>
          <w:tab w:val="left" w:pos="1938"/>
        </w:tabs>
        <w:spacing w:before="6" w:after="0" w:line="338" w:lineRule="auto"/>
        <w:ind w:left="1620" w:right="1521" w:firstLine="0"/>
        <w:jc w:val="left"/>
        <w:rPr>
          <w:sz w:val="36"/>
        </w:rPr>
      </w:pPr>
      <w:r>
        <w:rPr>
          <w:spacing w:val="-1"/>
          <w:sz w:val="36"/>
        </w:rPr>
        <w:t>构件成型加工：弯曲与压延、冷作、热作、除锈、拼装、定位焊接、螺纹连接、铆接、组合</w:t>
      </w:r>
      <w:r>
        <w:rPr>
          <w:sz w:val="36"/>
        </w:rPr>
        <w:t>连接、焊接、矫正、检验、除锈防腐.</w:t>
      </w:r>
    </w:p>
    <w:p>
      <w:pPr>
        <w:pStyle w:val="BodyText"/>
        <w:spacing w:before="1" w:line="338" w:lineRule="auto"/>
        <w:ind w:left="1620" w:right="3802" w:firstLine="360"/>
      </w:pPr>
      <w:r>
        <w:t>(检验包括:几何尺寸检查、气密试验、水压试验、χ射线检验、超声波检验等) d.安装：</w:t>
      </w:r>
    </w:p>
    <w:p>
      <w:pPr>
        <w:pStyle w:val="BodyText"/>
        <w:spacing w:line="338" w:lineRule="auto"/>
        <w:ind w:left="1980" w:right="7148"/>
      </w:pPr>
      <w:r>
        <w:t>安装准备工作：安装方案的选择，现场布置，基础复核. 吊装:整体吊装、解体吊装、正装、倒装。</w:t>
      </w:r>
    </w:p>
    <w:p>
      <w:pPr>
        <w:pStyle w:val="BodyText"/>
        <w:spacing w:before="2"/>
        <w:ind w:left="1980"/>
      </w:pPr>
      <w:r>
        <w:t>找正、整体检验、试运转、除锈、涂漆、竣工验收。</w:t>
      </w:r>
    </w:p>
    <w:p>
      <w:pPr>
        <w:pStyle w:val="Heading1"/>
        <w:numPr>
          <w:ilvl w:val="0"/>
          <w:numId w:val="5"/>
        </w:numPr>
        <w:tabs>
          <w:tab w:val="left" w:pos="2053"/>
        </w:tabs>
        <w:spacing w:before="428" w:after="0" w:line="240" w:lineRule="auto"/>
        <w:ind w:left="2052" w:right="0" w:hanging="433"/>
        <w:jc w:val="left"/>
      </w:pPr>
      <w:r>
        <w:t>金属材料的机械性能:</w:t>
      </w:r>
    </w:p>
    <w:p>
      <w:pPr>
        <w:pStyle w:val="BodyText"/>
        <w:spacing w:before="9"/>
        <w:rPr>
          <w:b/>
        </w:rPr>
      </w:pPr>
    </w:p>
    <w:p>
      <w:pPr>
        <w:pStyle w:val="BodyText"/>
        <w:spacing w:before="1" w:line="338" w:lineRule="auto"/>
        <w:ind w:left="1620" w:right="1618" w:firstLine="720"/>
      </w:pPr>
      <w:r>
        <w:t>金属材料在外力的作用下抵抗变形或破坏的能力,钢通常在钢结构上所受到的外力可分:拉伸、压缩、剪切、扭转和弯曲等。</w:t>
      </w:r>
    </w:p>
    <w:p>
      <w:pPr>
        <w:pStyle w:val="BodyText"/>
        <w:spacing w:before="1"/>
        <w:ind w:left="2340"/>
      </w:pPr>
      <w:r>
        <w:t>机械性能的基本指标有强度、塑性、硬度、冲击韧性和疲劳强度等。</w:t>
      </w:r>
    </w:p>
    <w:p>
      <w:pPr>
        <w:pStyle w:val="Heading1"/>
        <w:numPr>
          <w:ilvl w:val="0"/>
          <w:numId w:val="5"/>
        </w:numPr>
        <w:tabs>
          <w:tab w:val="left" w:pos="2053"/>
        </w:tabs>
        <w:spacing w:before="428" w:after="0" w:line="240" w:lineRule="auto"/>
        <w:ind w:left="2052" w:right="0" w:hanging="433"/>
        <w:jc w:val="left"/>
      </w:pPr>
      <w:r>
        <w:t>钢材的工艺性能：</w:t>
      </w:r>
    </w:p>
    <w:p>
      <w:pPr>
        <w:pStyle w:val="BodyText"/>
        <w:spacing w:before="13"/>
        <w:rPr>
          <w:b/>
        </w:rPr>
      </w:pPr>
    </w:p>
    <w:p>
      <w:pPr>
        <w:pStyle w:val="BodyText"/>
        <w:spacing w:line="338" w:lineRule="auto"/>
        <w:ind w:left="1620" w:right="1611" w:firstLine="720"/>
      </w:pPr>
      <w:r>
        <w:t>铆工在钢结构产品制造过程中，构件的冷热加工和钢材的焊接，是工艺内容的主要部分 . 如弯曲锻压、切削、展延、冷压及焊接等，能否适应以上加工要求的能力.</w:t>
      </w:r>
    </w:p>
    <w:p>
      <w:pPr>
        <w:pStyle w:val="Heading1"/>
        <w:numPr>
          <w:ilvl w:val="0"/>
          <w:numId w:val="5"/>
        </w:numPr>
        <w:tabs>
          <w:tab w:val="left" w:pos="2053"/>
        </w:tabs>
        <w:spacing w:before="156" w:after="0" w:line="240" w:lineRule="auto"/>
        <w:ind w:left="2052" w:right="0" w:hanging="433"/>
        <w:jc w:val="left"/>
      </w:pPr>
      <w:r>
        <w:t>工程图的分类:</w:t>
      </w:r>
    </w:p>
    <w:p>
      <w:pPr>
        <w:pStyle w:val="BodyText"/>
        <w:spacing w:before="15"/>
        <w:rPr>
          <w:b/>
        </w:rPr>
      </w:pPr>
    </w:p>
    <w:p>
      <w:pPr>
        <w:pStyle w:val="BodyText"/>
        <w:ind w:left="1620"/>
      </w:pPr>
      <w:r>
        <w:t>a.零件图:</w:t>
      </w:r>
    </w:p>
    <w:p>
      <w:pPr>
        <w:pStyle w:val="BodyText"/>
        <w:spacing w:before="272" w:line="338" w:lineRule="auto"/>
        <w:ind w:left="1620" w:right="1632" w:firstLine="720"/>
      </w:pPr>
      <w:r>
        <w:t>一组图形(包括视图、剖视图、剖面图……等） ,把零件的内外部分结构形状准确、完整而又清晰表达出来.</w:t>
      </w:r>
    </w:p>
    <w:p>
      <w:pPr>
        <w:pStyle w:val="BodyText"/>
        <w:spacing w:before="1"/>
        <w:ind w:left="2340"/>
      </w:pPr>
      <w:r>
        <w:t>完整的尺寸:要正确、完整、清晰、合理地标注出该零件制造和检验时必须依据的尺寸。</w:t>
      </w:r>
    </w:p>
    <w:p>
      <w:pPr>
        <w:spacing w:after="0"/>
        <w:sectPr>
          <w:headerReference w:type="default" r:id="rId27"/>
          <w:footerReference w:type="default" r:id="rId28"/>
          <w:pgSz w:w="17860" w:h="25260"/>
          <w:pgMar w:top="1320" w:right="0" w:bottom="1880" w:left="0" w:header="1121" w:footer="1688"/>
          <w:pgNumType w:start="9"/>
          <w:cols w:space="708"/>
        </w:sectPr>
      </w:pPr>
    </w:p>
    <w:p>
      <w:pPr>
        <w:pStyle w:val="BodyText"/>
        <w:rPr>
          <w:sz w:val="20"/>
        </w:rPr>
      </w:pPr>
    </w:p>
    <w:p>
      <w:pPr>
        <w:pStyle w:val="BodyText"/>
        <w:rPr>
          <w:sz w:val="12"/>
        </w:rPr>
      </w:pPr>
    </w:p>
    <w:p>
      <w:pPr>
        <w:pStyle w:val="BodyText"/>
        <w:spacing w:before="6" w:line="338" w:lineRule="auto"/>
        <w:ind w:left="1620" w:right="1476" w:firstLine="720"/>
      </w:pPr>
      <w:r>
        <w:t>技术要求：标明零件在制造、检验、装配和调整过程中，应达到的技术要求。如粗糙度、公差、热处理等，及其它的附加条件。</w:t>
      </w:r>
    </w:p>
    <w:p>
      <w:pPr>
        <w:pStyle w:val="BodyText"/>
        <w:spacing w:before="1" w:line="338" w:lineRule="auto"/>
        <w:ind w:left="1800" w:right="6876" w:firstLine="540"/>
      </w:pPr>
      <w:r>
        <w:t>标题栏：标明零件名称、图号、材料、数量、比例等。b.装配图：</w:t>
      </w:r>
    </w:p>
    <w:p>
      <w:pPr>
        <w:pStyle w:val="BodyText"/>
        <w:spacing w:line="338" w:lineRule="auto"/>
        <w:ind w:left="1620" w:right="1476" w:firstLine="720"/>
      </w:pPr>
      <w:r>
        <w:rPr>
          <w:spacing w:val="-1"/>
        </w:rPr>
        <w:t>标题栏：明细表和零件编号，用来说明部件或设备的名称、作图比例、零件的名称、材料</w:t>
      </w:r>
      <w:r>
        <w:t>和数量等。</w:t>
      </w:r>
    </w:p>
    <w:p>
      <w:pPr>
        <w:pStyle w:val="BodyText"/>
        <w:spacing w:before="2" w:line="338" w:lineRule="auto"/>
        <w:ind w:left="1620" w:right="1617" w:firstLine="720"/>
      </w:pPr>
      <w:r>
        <w:rPr>
          <w:spacing w:val="-13"/>
        </w:rPr>
        <w:t>一组视图：表示部件或设备的组成结构、主要零件的基本形状、零件间的相对位置及使用</w:t>
      </w:r>
      <w:r>
        <w:t>情况说明。</w:t>
      </w:r>
    </w:p>
    <w:p>
      <w:pPr>
        <w:pStyle w:val="BodyText"/>
        <w:spacing w:before="1" w:line="338" w:lineRule="auto"/>
        <w:ind w:left="1980" w:right="5076"/>
      </w:pPr>
      <w:r>
        <w:t>必要的尺寸：用来表示零件的配合、连接关系、规格及外形尺寸等。技术要求：说明装配、检验、防腐、试压等方面的要求。</w:t>
      </w:r>
    </w:p>
    <w:p>
      <w:pPr>
        <w:pStyle w:val="BodyText"/>
        <w:ind w:left="1980"/>
      </w:pPr>
      <w:r>
        <w:t>材料表：用来表示材料尺寸、规格、材质、重量、数量等。</w:t>
      </w:r>
    </w:p>
    <w:p>
      <w:pPr>
        <w:pStyle w:val="BodyText"/>
        <w:rPr>
          <w:sz w:val="57"/>
        </w:rPr>
      </w:pPr>
    </w:p>
    <w:p>
      <w:pPr>
        <w:pStyle w:val="Heading1"/>
        <w:spacing w:before="1" w:line="360" w:lineRule="auto"/>
        <w:ind w:left="1620" w:right="12843" w:firstLine="0"/>
      </w:pPr>
      <w:r>
        <w:t>二、放样与号料1.放样:</w:t>
      </w:r>
    </w:p>
    <w:p>
      <w:pPr>
        <w:pStyle w:val="BodyText"/>
        <w:spacing w:before="232"/>
        <w:ind w:left="2340"/>
      </w:pPr>
      <w:r>
        <w:t>所谓放样，就是在施工图的基础上，根据产品的结构特点、施工需要等条件，按一定比例</w:t>
      </w:r>
    </w:p>
    <w:p>
      <w:pPr>
        <w:pStyle w:val="BodyText"/>
        <w:spacing w:before="273" w:line="338" w:lineRule="auto"/>
        <w:ind w:left="1620" w:right="1642"/>
      </w:pPr>
      <w:r>
        <w:t>（通常 1∶1）准确绘制结构的全部或部分投影图，进行结构的工艺性处理，有时还要进行展开和必要的计算，最后获得施工所需要的数据、样板、样杆和草图。</w:t>
      </w:r>
    </w:p>
    <w:p>
      <w:pPr>
        <w:pStyle w:val="BodyText"/>
        <w:spacing w:before="1" w:line="338" w:lineRule="auto"/>
        <w:ind w:left="1620" w:right="1476" w:firstLine="720"/>
      </w:pPr>
      <w:r>
        <w:t>通俗的讲，就是把图纸中规定的零件规格、形状及实际尺寸，展放在地板（或平台）上， 即“放实样”。在这过程中首先要正确找出基准坐标线。</w:t>
      </w:r>
    </w:p>
    <w:p>
      <w:pPr>
        <w:pStyle w:val="Heading2"/>
      </w:pPr>
      <w:r>
        <w:t>放样的目的或作用</w:t>
      </w:r>
    </w:p>
    <w:p>
      <w:pPr>
        <w:pStyle w:val="BodyText"/>
        <w:spacing w:before="272"/>
        <w:ind w:left="1980"/>
      </w:pPr>
      <w:r>
        <w:t>①可以检验图纸中的尺寸和有关连接位置是否正确；</w:t>
      </w:r>
    </w:p>
    <w:p>
      <w:pPr>
        <w:spacing w:after="0"/>
        <w:sectPr>
          <w:headerReference w:type="default" r:id="rId29"/>
          <w:footerReference w:type="default" r:id="rId30"/>
          <w:pgSz w:w="17860" w:h="25260"/>
          <w:pgMar w:top="1320" w:right="0" w:bottom="1880" w:left="0" w:header="1121" w:footer="1688"/>
          <w:pgNumType w:start="10"/>
          <w:cols w:space="708"/>
        </w:sectPr>
      </w:pPr>
    </w:p>
    <w:p>
      <w:pPr>
        <w:pStyle w:val="BodyText"/>
        <w:rPr>
          <w:sz w:val="20"/>
        </w:rPr>
      </w:pPr>
    </w:p>
    <w:p>
      <w:pPr>
        <w:pStyle w:val="BodyText"/>
        <w:rPr>
          <w:sz w:val="12"/>
        </w:rPr>
      </w:pPr>
    </w:p>
    <w:p>
      <w:pPr>
        <w:pStyle w:val="BodyText"/>
        <w:spacing w:before="6"/>
        <w:ind w:left="1980"/>
      </w:pPr>
      <w:r>
        <w:t>②可以确认图纸中尺寸变动和材料代用等情况；</w:t>
      </w:r>
    </w:p>
    <w:p>
      <w:pPr>
        <w:pStyle w:val="BodyText"/>
        <w:tabs>
          <w:tab w:val="left" w:pos="14806"/>
        </w:tabs>
        <w:spacing w:before="272" w:line="338" w:lineRule="auto"/>
        <w:ind w:left="1620" w:right="1611" w:firstLine="360"/>
      </w:pPr>
      <w:r>
        <w:t>③对于图纸上某些不易计算准确的零件尺寸，经过放实样，可以得出正确的尺</w:t>
        <w:tab/>
        <w:t>寸和各</w:t>
      </w:r>
      <w:r>
        <w:rPr>
          <w:spacing w:val="-18"/>
        </w:rPr>
        <w:t>连</w:t>
      </w:r>
      <w:r>
        <w:t>接位置的准确；</w:t>
      </w:r>
    </w:p>
    <w:p>
      <w:pPr>
        <w:pStyle w:val="BodyText"/>
        <w:spacing w:before="1"/>
        <w:ind w:left="1980"/>
      </w:pPr>
      <w:r>
        <w:t>④对某些难以检验的尺寸，通过制作样板进行快速有效的检查。</w:t>
      </w:r>
    </w:p>
    <w:p>
      <w:pPr>
        <w:pStyle w:val="Heading2"/>
        <w:spacing w:before="272"/>
      </w:pPr>
      <w:r>
        <w:t>样板、样杆的制作</w:t>
      </w:r>
    </w:p>
    <w:p>
      <w:pPr>
        <w:pStyle w:val="BodyText"/>
        <w:spacing w:before="273"/>
        <w:ind w:left="1620"/>
      </w:pPr>
      <w:r>
        <w:t>样板的分类</w:t>
      </w:r>
    </w:p>
    <w:p>
      <w:pPr>
        <w:pStyle w:val="BodyText"/>
        <w:spacing w:before="273"/>
        <w:ind w:left="1620"/>
      </w:pPr>
      <w:r>
        <w:t>按其用途通常分一下几类。</w:t>
      </w:r>
    </w:p>
    <w:p>
      <w:pPr>
        <w:pStyle w:val="BodyText"/>
        <w:spacing w:before="273"/>
        <w:ind w:left="1980"/>
      </w:pPr>
      <w:r>
        <w:t>①号料样板。供号料或号料同时号孔的样板</w:t>
      </w:r>
    </w:p>
    <w:p>
      <w:pPr>
        <w:pStyle w:val="BodyText"/>
        <w:tabs>
          <w:tab w:val="left" w:pos="15882"/>
        </w:tabs>
        <w:spacing w:before="272" w:line="338" w:lineRule="auto"/>
        <w:ind w:left="1620" w:right="1616" w:firstLine="360"/>
      </w:pPr>
      <w:r>
        <w:t>②成型样板</w:t>
      </w:r>
      <w:r>
        <w:rPr>
          <w:spacing w:val="-108"/>
        </w:rPr>
        <w:t>。</w:t>
      </w:r>
      <w:r>
        <w:t>主要用于检验成型加工的零件的形状</w:t>
      </w:r>
      <w:r>
        <w:rPr>
          <w:spacing w:val="-109"/>
        </w:rPr>
        <w:t>、</w:t>
      </w:r>
      <w:r>
        <w:t>角度</w:t>
      </w:r>
      <w:r>
        <w:rPr>
          <w:spacing w:val="-108"/>
        </w:rPr>
        <w:t>、</w:t>
      </w:r>
      <w:r>
        <w:t>曲率半径及尺寸的</w:t>
        <w:tab/>
      </w:r>
      <w:r>
        <w:rPr>
          <w:spacing w:val="-19"/>
        </w:rPr>
        <w:t>样</w:t>
      </w:r>
      <w:r>
        <w:t>板。</w:t>
      </w:r>
    </w:p>
    <w:p>
      <w:pPr>
        <w:pStyle w:val="BodyText"/>
        <w:spacing w:before="1" w:line="338" w:lineRule="auto"/>
        <w:ind w:left="1620" w:right="1476" w:firstLine="360"/>
      </w:pPr>
      <w:r>
        <w:t>③定位样板。用于确定构件之间相对位置（如装配线、角度、斜度）</w:t>
      </w:r>
      <w:r>
        <w:rPr>
          <w:spacing w:val="-2"/>
        </w:rPr>
        <w:t>和各种孔口的位置和形</w:t>
      </w:r>
      <w:r>
        <w:t>状。</w:t>
      </w:r>
    </w:p>
    <w:p>
      <w:pPr>
        <w:pStyle w:val="BodyText"/>
        <w:spacing w:before="1"/>
        <w:ind w:left="1980"/>
      </w:pPr>
      <w:r>
        <w:t>④样杆。主要用于定位或简单零件的号料。</w:t>
      </w:r>
    </w:p>
    <w:p>
      <w:pPr>
        <w:pStyle w:val="Heading2"/>
        <w:spacing w:before="272"/>
      </w:pPr>
      <w:r>
        <w:t>样板、样杆的材料</w:t>
      </w:r>
    </w:p>
    <w:p>
      <w:pPr>
        <w:pStyle w:val="BodyText"/>
        <w:spacing w:before="273" w:line="338" w:lineRule="auto"/>
        <w:ind w:left="1620" w:right="1616" w:firstLine="720"/>
      </w:pPr>
      <w:r>
        <w:rPr>
          <w:spacing w:val="-2"/>
        </w:rPr>
        <w:t xml:space="preserve">制作样板的材料一般采用 </w:t>
      </w:r>
      <w:r>
        <w:t>0.5-2mm</w:t>
      </w:r>
      <w:r>
        <w:rPr>
          <w:spacing w:val="-11"/>
        </w:rPr>
        <w:t xml:space="preserve"> 的薄钢板，对精度要求不高的可以用黄板纸和油毡纸</w:t>
      </w:r>
      <w:r>
        <w:t>制作。</w:t>
      </w:r>
    </w:p>
    <w:p>
      <w:pPr>
        <w:pStyle w:val="Heading2"/>
      </w:pPr>
      <w:r>
        <w:t>样板、样杆的制作</w:t>
      </w:r>
    </w:p>
    <w:p>
      <w:pPr>
        <w:pStyle w:val="BodyText"/>
        <w:spacing w:before="272"/>
        <w:ind w:left="1620"/>
      </w:pPr>
      <w:r>
        <w:t>样板、样杆是画样后加工而成的。其画样方法主要有两种：</w:t>
      </w:r>
    </w:p>
    <w:p>
      <w:pPr>
        <w:pStyle w:val="BodyText"/>
        <w:spacing w:before="273" w:line="338" w:lineRule="auto"/>
        <w:ind w:left="1620" w:right="1620" w:firstLine="360"/>
      </w:pPr>
      <w:r>
        <w:rPr>
          <w:spacing w:val="-13"/>
        </w:rPr>
        <w:t>①直接画样法，即直接在样板料上画出所求样板的图样，展开放样号料样板及一些小型平面</w:t>
      </w:r>
      <w:r>
        <w:t>零件样板多用此法制作。</w:t>
      </w:r>
    </w:p>
    <w:p>
      <w:pPr>
        <w:pStyle w:val="BodyText"/>
        <w:spacing w:before="1" w:line="338" w:lineRule="auto"/>
        <w:ind w:left="1620" w:right="1647" w:firstLine="360"/>
      </w:pPr>
      <w:r>
        <w:t>②过渡画样法（又称过样法</w:t>
      </w:r>
      <w:r>
        <w:rPr>
          <w:spacing w:val="-171"/>
        </w:rPr>
        <w:t>）</w:t>
      </w:r>
      <w:r>
        <w:rPr>
          <w:spacing w:val="-1"/>
        </w:rPr>
        <w:t>，它有不覆盖过样和覆盖过样之分，多用于制作简单平面图形</w:t>
      </w:r>
      <w:r>
        <w:t>零件的号料样板和一般加工样板。</w:t>
      </w:r>
    </w:p>
    <w:p>
      <w:pPr>
        <w:spacing w:after="0" w:line="338" w:lineRule="auto"/>
        <w:sectPr>
          <w:headerReference w:type="default" r:id="rId31"/>
          <w:footerReference w:type="default" r:id="rId32"/>
          <w:pgSz w:w="17860" w:h="25260"/>
          <w:pgMar w:top="1320" w:right="0" w:bottom="1880" w:left="0" w:header="1121" w:footer="1688"/>
          <w:pgNumType w:start="11"/>
          <w:cols w:space="708"/>
        </w:sectPr>
      </w:pPr>
    </w:p>
    <w:p>
      <w:pPr>
        <w:pStyle w:val="BodyText"/>
        <w:rPr>
          <w:sz w:val="20"/>
        </w:rPr>
      </w:pPr>
    </w:p>
    <w:p>
      <w:pPr>
        <w:pStyle w:val="BodyText"/>
        <w:rPr>
          <w:sz w:val="12"/>
        </w:rPr>
      </w:pPr>
    </w:p>
    <w:p>
      <w:pPr>
        <w:pStyle w:val="BodyText"/>
        <w:spacing w:before="6"/>
        <w:ind w:left="1620"/>
      </w:pPr>
      <w:r>
        <w:t>在制作样板和进行号料时，经常使用各种符号，但目前尚未统一。</w:t>
      </w:r>
    </w:p>
    <w:p>
      <w:pPr>
        <w:pStyle w:val="BodyText"/>
        <w:spacing w:before="272" w:line="338" w:lineRule="auto"/>
        <w:ind w:left="1620" w:right="1477"/>
        <w:jc w:val="both"/>
      </w:pPr>
      <w:r>
        <w:rPr>
          <w:spacing w:val="-8"/>
        </w:rPr>
        <w:t>对于弯曲及拉伸件样板的制作，一般都采取实样过线法。应根据工件的规格、形状的不同而采</w:t>
      </w:r>
      <w:r>
        <w:rPr>
          <w:spacing w:val="-9"/>
        </w:rPr>
        <w:t>取相应的过线方法。另外，型钢号切样板的制作，应根据型钢规格、插口形式，用薄铁皮作成</w:t>
      </w:r>
      <w:r>
        <w:t>展开样板，然后将展剪好的样板，曲线制成被号型钢件的形状。</w:t>
      </w:r>
    </w:p>
    <w:p>
      <w:pPr>
        <w:pStyle w:val="Heading2"/>
      </w:pPr>
      <w:r>
        <w:t>工艺余量与放样允许误差</w:t>
      </w:r>
    </w:p>
    <w:p>
      <w:pPr>
        <w:pStyle w:val="BodyText"/>
        <w:spacing w:before="273" w:line="338" w:lineRule="auto"/>
        <w:ind w:left="1620" w:right="1617" w:firstLine="720"/>
      </w:pPr>
      <w:r>
        <w:rPr>
          <w:spacing w:val="-12"/>
        </w:rPr>
        <w:t>工艺余量，即为了消除制作过程中的施工误差、变形和损耗对在制品的影响，保证产品制</w:t>
      </w:r>
      <w:r>
        <w:t>成后的形状和尺寸达到规定的精度，而采取加放余量的措施。</w:t>
      </w:r>
    </w:p>
    <w:p>
      <w:pPr>
        <w:pStyle w:val="BodyText"/>
        <w:spacing w:before="1"/>
        <w:ind w:left="1620"/>
      </w:pPr>
      <w:r>
        <w:t>在确定工艺余量时，主要考虑下列因素：</w:t>
      </w:r>
    </w:p>
    <w:p>
      <w:pPr>
        <w:pStyle w:val="BodyText"/>
        <w:spacing w:before="273"/>
        <w:ind w:left="1980"/>
      </w:pPr>
      <w:r>
        <w:t>①放样误差的影响，包括放样和号料过程中的误差；</w:t>
      </w:r>
    </w:p>
    <w:p>
      <w:pPr>
        <w:pStyle w:val="BodyText"/>
        <w:spacing w:before="272"/>
        <w:ind w:left="1980"/>
      </w:pPr>
      <w:r>
        <w:t>②零件加工过程中的误差影响，包括切割、边缘加工及各种成型加工过程中的误差；</w:t>
      </w:r>
    </w:p>
    <w:p>
      <w:pPr>
        <w:pStyle w:val="BodyText"/>
        <w:spacing w:before="273" w:line="338" w:lineRule="auto"/>
        <w:ind w:left="1620" w:right="1620" w:firstLine="360"/>
      </w:pPr>
      <w:r>
        <w:rPr>
          <w:spacing w:val="-13"/>
        </w:rPr>
        <w:t>③装配误差的影响，包括装配边缘的修整和装配间隙的控制、部件装配和总装的装配公差以</w:t>
      </w:r>
      <w:r>
        <w:t>及必要的反变形值等；</w:t>
      </w:r>
    </w:p>
    <w:p>
      <w:pPr>
        <w:pStyle w:val="BodyText"/>
        <w:spacing w:before="1"/>
        <w:ind w:left="1980"/>
      </w:pPr>
      <w:r>
        <w:t>④焊接变形的影响，包括拼接的、构件之间的焊缝收缩量以及焊后引起的各种变形；</w:t>
      </w:r>
    </w:p>
    <w:p>
      <w:pPr>
        <w:pStyle w:val="BodyText"/>
        <w:spacing w:before="272"/>
        <w:ind w:left="1980"/>
      </w:pPr>
      <w:r>
        <w:t>⑤进行火工矫正变形时所产生的收缩量。</w:t>
      </w:r>
    </w:p>
    <w:p>
      <w:pPr>
        <w:pStyle w:val="Heading2"/>
        <w:spacing w:before="273"/>
      </w:pPr>
      <w:r>
        <w:t>放样允许误差</w:t>
      </w:r>
    </w:p>
    <w:p>
      <w:pPr>
        <w:pStyle w:val="BodyText"/>
        <w:spacing w:before="272" w:line="338" w:lineRule="auto"/>
        <w:ind w:left="1620" w:right="1477" w:firstLine="720"/>
        <w:jc w:val="both"/>
      </w:pPr>
      <w:r>
        <w:rPr>
          <w:spacing w:val="-12"/>
        </w:rPr>
        <w:t>放样过程中，由于受到放样量具、工具的精度以及操作水平等因素的影响，实样图会出现</w:t>
      </w:r>
      <w:r>
        <w:rPr>
          <w:spacing w:val="-13"/>
        </w:rPr>
        <w:t>一定的尺寸偏差，把这种偏差限制在一定范围内，就叫做放样的允许误差。实际生产中，放样</w:t>
      </w:r>
      <w:r>
        <w:t>允许误差值往往随产品的类型、尺寸大小和精度要求而异。</w:t>
      </w:r>
    </w:p>
    <w:p>
      <w:pPr>
        <w:pStyle w:val="Heading1"/>
        <w:numPr>
          <w:ilvl w:val="0"/>
          <w:numId w:val="3"/>
        </w:numPr>
        <w:tabs>
          <w:tab w:val="left" w:pos="2053"/>
        </w:tabs>
        <w:spacing w:before="157" w:after="0" w:line="240" w:lineRule="auto"/>
        <w:ind w:left="2052" w:right="0" w:hanging="433"/>
        <w:jc w:val="left"/>
      </w:pPr>
      <w:r>
        <w:t>号料</w:t>
      </w:r>
    </w:p>
    <w:p>
      <w:pPr>
        <w:pStyle w:val="BodyText"/>
        <w:spacing w:before="14"/>
        <w:rPr>
          <w:b/>
        </w:rPr>
      </w:pPr>
    </w:p>
    <w:p>
      <w:pPr>
        <w:pStyle w:val="BodyText"/>
        <w:spacing w:line="338" w:lineRule="auto"/>
        <w:ind w:left="1620" w:right="1477" w:firstLine="720"/>
      </w:pPr>
      <w:r>
        <w:rPr>
          <w:spacing w:val="-12"/>
        </w:rPr>
        <w:t>利用样板、样杆、号料图及放样得出的数据，在板料或型钢上画出零件真实的轮廓和孔口</w:t>
      </w:r>
      <w:r>
        <w:rPr>
          <w:spacing w:val="-13"/>
        </w:rPr>
        <w:t>的真实形状及于之连接构件的位置线、加工线等，并标出加工符号，这一工作过程称为号料。</w:t>
      </w:r>
    </w:p>
    <w:p>
      <w:pPr>
        <w:spacing w:after="0" w:line="338" w:lineRule="auto"/>
        <w:sectPr>
          <w:headerReference w:type="default" r:id="rId33"/>
          <w:footerReference w:type="default" r:id="rId34"/>
          <w:pgSz w:w="17860" w:h="25260"/>
          <w:pgMar w:top="1320" w:right="0" w:bottom="1880" w:left="0" w:header="1121" w:footer="1688"/>
          <w:pgNumType w:start="12"/>
          <w:cols w:space="708"/>
        </w:sectPr>
      </w:pPr>
    </w:p>
    <w:p>
      <w:pPr>
        <w:pStyle w:val="BodyText"/>
        <w:rPr>
          <w:sz w:val="20"/>
        </w:rPr>
      </w:pPr>
    </w:p>
    <w:p>
      <w:pPr>
        <w:pStyle w:val="BodyText"/>
        <w:rPr>
          <w:sz w:val="12"/>
        </w:rPr>
      </w:pPr>
    </w:p>
    <w:p>
      <w:pPr>
        <w:pStyle w:val="Heading2"/>
        <w:spacing w:before="6"/>
      </w:pPr>
      <w:r>
        <w:t>号料的一般技术要求</w:t>
      </w:r>
    </w:p>
    <w:p>
      <w:pPr>
        <w:pStyle w:val="BodyText"/>
        <w:spacing w:before="272" w:line="338" w:lineRule="auto"/>
        <w:ind w:left="1620" w:right="1440"/>
      </w:pPr>
      <w:r>
        <w:rPr>
          <w:spacing w:val="-17"/>
        </w:rPr>
        <w:t xml:space="preserve">①熟悉施工图样和产品制造工艺，合理安排各零件号料的先后次序，零件在材料上的排布位置， </w:t>
      </w:r>
      <w:r>
        <w:t>应符合制造工艺的要求；</w:t>
      </w:r>
    </w:p>
    <w:p>
      <w:pPr>
        <w:pStyle w:val="BodyText"/>
        <w:spacing w:before="1" w:line="338" w:lineRule="auto"/>
        <w:ind w:left="1620" w:right="1477"/>
      </w:pPr>
      <w:r>
        <w:t>②根据施工图样，验明样板、样杆、草图及号料数据，核对钢材的牌号、规格，保证图样、样板、材料三者的一致；</w:t>
      </w:r>
    </w:p>
    <w:p>
      <w:pPr>
        <w:pStyle w:val="BodyText"/>
        <w:spacing w:before="1" w:line="338" w:lineRule="auto"/>
        <w:ind w:left="1620" w:right="1477"/>
      </w:pPr>
      <w:r>
        <w:t>③检查材料有无裂纹、夹层、表面疤痕或厚度不均匀等缺陷，并根据产品的技术要求，酌情处理。当材料有较大变形，影响号料精度时，应先进行矫正；</w:t>
      </w:r>
    </w:p>
    <w:p>
      <w:pPr>
        <w:pStyle w:val="BodyText"/>
        <w:spacing w:before="1" w:line="338" w:lineRule="auto"/>
        <w:ind w:left="1620" w:right="1617"/>
      </w:pPr>
      <w:r>
        <w:rPr>
          <w:spacing w:val="-10"/>
        </w:rPr>
        <w:t>④号料前应将材料垫放平整、稳妥，既要利于号料画线和保证精度，又要保证安全和不影响他</w:t>
      </w:r>
      <w:r>
        <w:t>人工作；</w:t>
      </w:r>
    </w:p>
    <w:p>
      <w:pPr>
        <w:pStyle w:val="BodyText"/>
        <w:spacing w:before="1"/>
        <w:ind w:left="1620"/>
      </w:pPr>
      <w:r>
        <w:t>⑤正确的合理的使用号料工具、量具、样板和样杆，尽量减小因操作引起的号料偏差；</w:t>
      </w:r>
    </w:p>
    <w:p>
      <w:pPr>
        <w:pStyle w:val="BodyText"/>
        <w:spacing w:before="272"/>
        <w:ind w:left="1620"/>
      </w:pPr>
      <w:r>
        <w:t>⑥号料画线后，在零件的加工线、接缝线以及孔的中心位置等处，应根据加工需要打上样冲眼。</w:t>
      </w:r>
    </w:p>
    <w:p>
      <w:pPr>
        <w:pStyle w:val="Heading1"/>
        <w:numPr>
          <w:ilvl w:val="0"/>
          <w:numId w:val="3"/>
        </w:numPr>
        <w:tabs>
          <w:tab w:val="left" w:pos="2053"/>
        </w:tabs>
        <w:spacing w:before="429" w:after="0" w:line="240" w:lineRule="auto"/>
        <w:ind w:left="2052" w:right="0" w:hanging="433"/>
        <w:jc w:val="left"/>
      </w:pPr>
      <w:r>
        <w:t>下料方法:</w:t>
      </w:r>
    </w:p>
    <w:p>
      <w:pPr>
        <w:pStyle w:val="BodyText"/>
        <w:spacing w:before="13"/>
        <w:rPr>
          <w:b/>
        </w:rPr>
      </w:pPr>
    </w:p>
    <w:p>
      <w:pPr>
        <w:pStyle w:val="BodyText"/>
        <w:ind w:left="2340"/>
      </w:pPr>
      <w:r>
        <w:t>看图下料、计算下料、展开下料、放样下料、实物下料。</w:t>
      </w:r>
    </w:p>
    <w:p>
      <w:pPr>
        <w:pStyle w:val="Heading1"/>
        <w:numPr>
          <w:ilvl w:val="0"/>
          <w:numId w:val="3"/>
        </w:numPr>
        <w:tabs>
          <w:tab w:val="left" w:pos="2053"/>
        </w:tabs>
        <w:spacing w:before="428" w:after="0" w:line="240" w:lineRule="auto"/>
        <w:ind w:left="2052" w:right="0" w:hanging="433"/>
        <w:jc w:val="left"/>
      </w:pPr>
      <w:r>
        <w:t>下料量具:</w:t>
      </w:r>
    </w:p>
    <w:p>
      <w:pPr>
        <w:pStyle w:val="BodyText"/>
        <w:spacing w:before="10"/>
        <w:rPr>
          <w:b/>
        </w:rPr>
      </w:pPr>
    </w:p>
    <w:p>
      <w:pPr>
        <w:pStyle w:val="BodyText"/>
        <w:ind w:left="2340"/>
      </w:pPr>
      <w:r>
        <w:t>钢结构常用量具有直角尺、直尺、钢盘尺、钢卷尺和卡钳等。</w:t>
      </w:r>
    </w:p>
    <w:p>
      <w:pPr>
        <w:pStyle w:val="Heading1"/>
        <w:numPr>
          <w:ilvl w:val="0"/>
          <w:numId w:val="3"/>
        </w:numPr>
        <w:tabs>
          <w:tab w:val="left" w:pos="2053"/>
        </w:tabs>
        <w:spacing w:before="428" w:after="0" w:line="240" w:lineRule="auto"/>
        <w:ind w:left="2052" w:right="0" w:hanging="433"/>
        <w:jc w:val="left"/>
      </w:pPr>
      <w:r>
        <w:t>下料划线工具:</w:t>
      </w:r>
    </w:p>
    <w:p>
      <w:pPr>
        <w:pStyle w:val="BodyText"/>
        <w:spacing w:before="14"/>
        <w:rPr>
          <w:b/>
        </w:rPr>
      </w:pPr>
    </w:p>
    <w:p>
      <w:pPr>
        <w:pStyle w:val="BodyText"/>
        <w:ind w:left="2340"/>
      </w:pPr>
      <w:r>
        <w:t>铆工从事钢结构制作和安装常用的划线工具主要有</w:t>
      </w:r>
    </w:p>
    <w:p>
      <w:pPr>
        <w:pStyle w:val="BodyText"/>
        <w:tabs>
          <w:tab w:val="left" w:pos="3960"/>
        </w:tabs>
        <w:spacing w:before="273"/>
        <w:ind w:left="1620"/>
      </w:pPr>
      <w:r>
        <w:rPr>
          <w:b/>
        </w:rPr>
        <w:t>常用量具</w:t>
        <w:tab/>
      </w:r>
      <w:r>
        <w:t>钢板尺、钢卷尺、直角尺、内外卡钳、游标卡尺等</w:t>
      </w:r>
    </w:p>
    <w:p>
      <w:pPr>
        <w:pStyle w:val="BodyText"/>
        <w:tabs>
          <w:tab w:val="left" w:pos="3960"/>
        </w:tabs>
        <w:spacing w:before="272" w:line="338" w:lineRule="auto"/>
        <w:ind w:left="1620" w:right="1431"/>
      </w:pPr>
      <w:r>
        <w:rPr>
          <w:b/>
        </w:rPr>
        <w:t>常用工具</w:t>
        <w:tab/>
      </w:r>
      <w:r>
        <w:t>画规、地规、样冲、划针、手锤、粉线多用棉质细线、细钢丝</w:t>
      </w:r>
      <w:r>
        <w:rPr>
          <w:spacing w:val="-203"/>
        </w:rPr>
        <w:t>（</w:t>
      </w:r>
      <w:r>
        <w:rPr>
          <w:spacing w:val="-1"/>
        </w:rPr>
        <w:t>0.5</w:t>
      </w:r>
      <w:r>
        <w:t>～</w:t>
      </w:r>
      <w:r>
        <w:rPr>
          <w:spacing w:val="-1"/>
        </w:rPr>
        <w:t>1.0m</w:t>
      </w:r>
      <w:r>
        <w:rPr>
          <w:spacing w:val="1"/>
        </w:rPr>
        <w:t>m</w:t>
      </w:r>
      <w:r>
        <w:rPr>
          <w:spacing w:val="-184"/>
        </w:rPr>
        <w:t>）</w:t>
      </w:r>
      <w:r>
        <w:rPr>
          <w:spacing w:val="-11"/>
        </w:rPr>
        <w:t>、</w:t>
      </w:r>
      <w:r>
        <w:t>线坠、座弯尺、勒子等其他辅助工具。</w:t>
      </w:r>
    </w:p>
    <w:p>
      <w:pPr>
        <w:spacing w:after="0" w:line="338" w:lineRule="auto"/>
        <w:sectPr>
          <w:headerReference w:type="default" r:id="rId35"/>
          <w:footerReference w:type="default" r:id="rId36"/>
          <w:pgSz w:w="17860" w:h="25260"/>
          <w:pgMar w:top="1320" w:right="0" w:bottom="1880" w:left="0" w:header="1121" w:footer="1688"/>
          <w:pgNumType w:start="13"/>
          <w:cols w:space="708"/>
        </w:sectPr>
      </w:pPr>
    </w:p>
    <w:p>
      <w:pPr>
        <w:pStyle w:val="BodyText"/>
        <w:rPr>
          <w:sz w:val="20"/>
        </w:rPr>
      </w:pPr>
    </w:p>
    <w:p>
      <w:pPr>
        <w:pStyle w:val="BodyText"/>
        <w:rPr>
          <w:sz w:val="12"/>
        </w:rPr>
      </w:pPr>
    </w:p>
    <w:p>
      <w:pPr>
        <w:pStyle w:val="BodyText"/>
        <w:tabs>
          <w:tab w:val="left" w:pos="3971"/>
        </w:tabs>
        <w:spacing w:before="6" w:line="338" w:lineRule="auto"/>
        <w:ind w:left="1620" w:right="1646"/>
      </w:pPr>
      <w:r>
        <w:rPr>
          <w:b/>
        </w:rPr>
        <w:t>铆工夹具</w:t>
        <w:tab/>
      </w:r>
      <w:r>
        <w:t>主要是在装配组对时对工件起到夹紧、压紧、拉紧、顶紧的作用，根据组成</w:t>
      </w:r>
      <w:r>
        <w:rPr>
          <w:spacing w:val="-18"/>
        </w:rPr>
        <w:t>夹</w:t>
      </w:r>
      <w:r>
        <w:t>具的元件性质不同，可分为：丝杆夹具</w:t>
      </w:r>
    </w:p>
    <w:p>
      <w:pPr>
        <w:pStyle w:val="BodyText"/>
        <w:spacing w:before="1"/>
        <w:ind w:left="2520"/>
      </w:pPr>
      <w:r>
        <w:t>螺旋拉紧器、螺旋推撑器等。</w:t>
      </w:r>
    </w:p>
    <w:p>
      <w:pPr>
        <w:pStyle w:val="Heading1"/>
        <w:numPr>
          <w:ilvl w:val="0"/>
          <w:numId w:val="3"/>
        </w:numPr>
        <w:tabs>
          <w:tab w:val="left" w:pos="2053"/>
        </w:tabs>
        <w:spacing w:before="427" w:after="0" w:line="240" w:lineRule="auto"/>
        <w:ind w:left="2052" w:right="0" w:hanging="433"/>
        <w:jc w:val="left"/>
      </w:pPr>
      <w:r>
        <w:t>合理用料:</w:t>
      </w:r>
    </w:p>
    <w:p>
      <w:pPr>
        <w:pStyle w:val="BodyText"/>
        <w:spacing w:before="14"/>
        <w:rPr>
          <w:b/>
        </w:rPr>
      </w:pPr>
    </w:p>
    <w:p>
      <w:pPr>
        <w:pStyle w:val="BodyText"/>
        <w:spacing w:line="338" w:lineRule="auto"/>
        <w:ind w:left="1620" w:right="1643" w:firstLine="720"/>
        <w:jc w:val="both"/>
      </w:pPr>
      <w:r>
        <w:t>首先进行的工作是备料和实现合理的用料.因此要求一线下料人员在下料操作过程中要节约成本合理下料,这项工作是非常重要的,在限额领料用料的基础上,做到合理.要不就要给公司工程用料造成不必要的损失.</w:t>
      </w:r>
    </w:p>
    <w:p>
      <w:pPr>
        <w:pStyle w:val="BodyText"/>
        <w:spacing w:before="2"/>
        <w:ind w:left="1620"/>
      </w:pPr>
      <w:r>
        <w:t>合理用料有如下四种方法:</w:t>
      </w:r>
    </w:p>
    <w:p>
      <w:pPr>
        <w:pStyle w:val="BodyText"/>
        <w:spacing w:before="272" w:line="338" w:lineRule="auto"/>
        <w:ind w:left="1620" w:right="1749" w:firstLine="720"/>
      </w:pPr>
      <w:r>
        <w:rPr>
          <w:spacing w:val="-1"/>
        </w:rPr>
        <w:t>集中下料法:为了提高生产效率,减少材料的浪费,应把相同厚度的钢板零件和相同规格的</w:t>
      </w:r>
      <w:r>
        <w:t>型钢零件集中在一起下料.</w:t>
      </w:r>
    </w:p>
    <w:p>
      <w:pPr>
        <w:pStyle w:val="BodyText"/>
        <w:spacing w:before="1" w:line="338" w:lineRule="auto"/>
        <w:ind w:left="1620" w:right="1634" w:firstLine="720"/>
      </w:pPr>
      <w:r>
        <w:t>统计计算下料法:使用于型钢较多,由于零件长度不一,原材料有一定的规格尺寸,统计计算将整根料充分利用为止.</w:t>
      </w:r>
    </w:p>
    <w:p>
      <w:pPr>
        <w:pStyle w:val="BodyText"/>
        <w:spacing w:before="1" w:line="338" w:lineRule="auto"/>
        <w:ind w:left="1620" w:right="1658" w:firstLine="720"/>
      </w:pPr>
      <w:r>
        <w:t>巧裁套料法:为了使每张钢板充分得到有效的利用 ,在板面上尽量消灭空料.同时还要考虑方便下道工序的剪切、气割加工，需要在下料时精心排板图形位置，如裁服装一样.</w:t>
      </w:r>
    </w:p>
    <w:p>
      <w:pPr>
        <w:pStyle w:val="BodyText"/>
        <w:spacing w:before="1" w:line="338" w:lineRule="auto"/>
        <w:ind w:left="1620" w:right="1637"/>
      </w:pPr>
      <w:r>
        <w:t>余料统一下料法:下料后经常会出现大小不同的余料,把这些余料按材质形状、厚度、规格大致基本相同的集中在一起，将部分较小零件放在余料上进行下料。</w:t>
      </w:r>
    </w:p>
    <w:p>
      <w:pPr>
        <w:pStyle w:val="Heading2"/>
      </w:pPr>
      <w:r>
        <w:t>划线</w:t>
      </w:r>
    </w:p>
    <w:p>
      <w:pPr>
        <w:pStyle w:val="BodyText"/>
        <w:spacing w:before="9"/>
        <w:rPr>
          <w:b/>
          <w:sz w:val="14"/>
        </w:rPr>
      </w:pPr>
    </w:p>
    <w:p>
      <w:pPr>
        <w:pStyle w:val="BodyText"/>
        <w:tabs>
          <w:tab w:val="left" w:leader="hyphen" w:pos="5076"/>
        </w:tabs>
        <w:spacing w:before="6"/>
        <w:ind w:left="2340"/>
      </w:pPr>
      <w:r>
        <w:t>覆盖法划线</w:t>
        <w:tab/>
        <w:t>就是用实物的实形来进行划线、开孔、作样板和下料的一种简易方法，</w:t>
      </w:r>
    </w:p>
    <w:p>
      <w:pPr>
        <w:pStyle w:val="BodyText"/>
        <w:spacing w:before="272"/>
        <w:ind w:right="12277"/>
        <w:jc w:val="right"/>
      </w:pPr>
      <w:r>
        <w:t>其简单易行，快而准确。</w:t>
      </w:r>
    </w:p>
    <w:p>
      <w:pPr>
        <w:pStyle w:val="BodyText"/>
        <w:spacing w:before="273"/>
        <w:ind w:right="12278"/>
        <w:jc w:val="right"/>
      </w:pPr>
      <w:r>
        <w:t>型钢的划线</w:t>
      </w:r>
    </w:p>
    <w:p>
      <w:pPr>
        <w:pStyle w:val="Heading2"/>
        <w:spacing w:before="272"/>
      </w:pPr>
      <w:r>
        <w:t>型钢弯曲件的号料</w:t>
      </w:r>
    </w:p>
    <w:p>
      <w:pPr>
        <w:spacing w:after="0"/>
        <w:sectPr>
          <w:headerReference w:type="default" r:id="rId37"/>
          <w:footerReference w:type="default" r:id="rId38"/>
          <w:pgSz w:w="17860" w:h="25260"/>
          <w:pgMar w:top="1320" w:right="0" w:bottom="1880" w:left="0" w:header="1121" w:footer="1688"/>
          <w:pgNumType w:start="14"/>
          <w:cols w:space="708"/>
        </w:sectPr>
      </w:pPr>
    </w:p>
    <w:p>
      <w:pPr>
        <w:pStyle w:val="BodyText"/>
        <w:rPr>
          <w:b/>
          <w:sz w:val="20"/>
        </w:rPr>
      </w:pPr>
    </w:p>
    <w:p>
      <w:pPr>
        <w:pStyle w:val="BodyText"/>
        <w:rPr>
          <w:b/>
          <w:sz w:val="12"/>
        </w:rPr>
      </w:pPr>
    </w:p>
    <w:p>
      <w:pPr>
        <w:pStyle w:val="BodyText"/>
        <w:spacing w:before="6"/>
        <w:ind w:left="1620"/>
      </w:pPr>
      <w:r>
        <w:t>型钢弯曲的形式</w:t>
      </w:r>
    </w:p>
    <w:p>
      <w:pPr>
        <w:pStyle w:val="BodyText"/>
        <w:spacing w:before="272"/>
        <w:ind w:left="2340"/>
      </w:pPr>
      <w:r>
        <w:t>内弯与外弯---曲率半径在角钢（或槽钢）内侧的弯曲角内弯，在外侧的叫外弯；</w:t>
      </w:r>
    </w:p>
    <w:p>
      <w:pPr>
        <w:pStyle w:val="BodyText"/>
        <w:spacing w:before="273" w:line="338" w:lineRule="auto"/>
        <w:ind w:left="1620" w:right="1712" w:firstLine="720"/>
      </w:pPr>
      <w:r>
        <w:t>平弯与立弯---曲率半径与工字钢（或槽钢）的腹板处在同一平面内的弯曲，叫平弯，在垂直位置时叫立弯；</w:t>
      </w:r>
    </w:p>
    <w:p>
      <w:pPr>
        <w:pStyle w:val="BodyText"/>
        <w:spacing w:line="338" w:lineRule="auto"/>
        <w:ind w:left="1620" w:right="1699" w:firstLine="720"/>
      </w:pPr>
      <w:r>
        <w:drawing>
          <wp:anchor distT="0" distB="0" distL="0" distR="0" simplePos="0" relativeHeight="251664384" behindDoc="0" locked="0" layoutInCell="1" allowOverlap="1">
            <wp:simplePos x="0" y="0"/>
            <wp:positionH relativeFrom="page">
              <wp:posOffset>0</wp:posOffset>
            </wp:positionH>
            <wp:positionV relativeFrom="paragraph">
              <wp:posOffset>1510879</wp:posOffset>
            </wp:positionV>
            <wp:extent cx="11340845" cy="3505073"/>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39" cstate="print"/>
                    <a:stretch>
                      <a:fillRect/>
                    </a:stretch>
                  </pic:blipFill>
                  <pic:spPr>
                    <a:xfrm>
                      <a:off x="0" y="0"/>
                      <a:ext cx="11340845" cy="3505073"/>
                    </a:xfrm>
                    <a:prstGeom prst="rect">
                      <a:avLst/>
                    </a:prstGeom>
                  </pic:spPr>
                </pic:pic>
              </a:graphicData>
            </a:graphic>
          </wp:anchor>
        </w:drawing>
      </w:r>
      <w:r>
        <w:t>切口弯与不加切口弯---在型钢弯曲处需要切口的叫切口弯曲，不需要的叫不切口弯曲。切口的外弯都需要加补料。</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4"/>
        </w:rPr>
      </w:pPr>
    </w:p>
    <w:p>
      <w:pPr>
        <w:pStyle w:val="BodyText"/>
        <w:spacing w:before="6"/>
        <w:ind w:left="1980"/>
      </w:pPr>
      <w:r>
        <w:pict>
          <v:group id="_x0000_s1028" style="width:893pt;height:233.6pt;margin-top:-253.08pt;margin-left:0;mso-position-horizontal-relative:page;position:absolute;z-index:251665408" coordorigin="0,-5062" coordsize="17860,4672">
            <v:shape id="_x0000_s1029" type="#_x0000_t75" style="width:17860;height:4660;position:absolute;top:-5062" stroked="f">
              <v:imagedata r:id="rId40" o:title=""/>
            </v:shape>
            <v:shapetype id="_x0000_t202" coordsize="21600,21600" o:spt="202" path="m,l,21600r21600,l21600,xe">
              <v:stroke joinstyle="miter"/>
              <v:path gradientshapeok="t" o:connecttype="rect"/>
            </v:shapetype>
            <v:shape id="_x0000_s1030" type="#_x0000_t202" style="width:3260;height:360;left:1620;position:absolute;top:-751" filled="f" stroked="f">
              <v:textbox inset="0,0,0,0">
                <w:txbxContent>
                  <w:p>
                    <w:pPr>
                      <w:spacing w:before="0" w:line="360" w:lineRule="exact"/>
                      <w:ind w:left="0" w:right="0" w:firstLine="0"/>
                      <w:jc w:val="left"/>
                      <w:rPr>
                        <w:rFonts w:ascii="幼圆" w:eastAsia="幼圆" w:hint="eastAsia"/>
                        <w:b/>
                        <w:sz w:val="36"/>
                      </w:rPr>
                    </w:pPr>
                    <w:r>
                      <w:rPr>
                        <w:rFonts w:ascii="幼圆" w:eastAsia="幼圆" w:hint="eastAsia"/>
                        <w:b/>
                        <w:sz w:val="36"/>
                      </w:rPr>
                      <w:t>型钢切口弯曲的号料</w:t>
                    </w:r>
                  </w:p>
                </w:txbxContent>
              </v:textbox>
            </v:shape>
          </v:group>
        </w:pict>
      </w:r>
      <w:r>
        <w:t>型钢直线切口内弯号料与计算</w:t>
      </w:r>
    </w:p>
    <w:p>
      <w:pPr>
        <w:spacing w:after="0"/>
        <w:sectPr>
          <w:headerReference w:type="default" r:id="rId41"/>
          <w:footerReference w:type="default" r:id="rId42"/>
          <w:pgSz w:w="17860" w:h="25260"/>
          <w:pgMar w:top="1320" w:right="0" w:bottom="1880" w:left="0" w:header="1121" w:footer="168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
        <w:rPr>
          <w:sz w:val="25"/>
        </w:rPr>
      </w:pPr>
    </w:p>
    <w:p>
      <w:pPr>
        <w:pStyle w:val="BodyText"/>
        <w:spacing w:before="6" w:line="338" w:lineRule="auto"/>
        <w:ind w:left="1620" w:right="1615" w:firstLine="720"/>
      </w:pPr>
      <w:r>
        <w:pict>
          <v:group id="_x0000_s1031" style="width:893pt;height:285pt;margin-top:-293.19pt;margin-left:0;mso-position-horizontal-relative:page;position:absolute;z-index:251666432" coordorigin="0,-5864" coordsize="17860,5700">
            <v:shape id="_x0000_s1032" type="#_x0000_t75" style="width:17860;height:3700;position:absolute;top:-5644" stroked="f">
              <v:imagedata r:id="rId43" o:title=""/>
            </v:shape>
            <v:shape id="_x0000_s1033" type="#_x0000_t75" style="width:17860;height:5700;position:absolute;top:-5864" stroked="f">
              <v:imagedata r:id="rId44" o:title=""/>
            </v:shape>
          </v:group>
        </w:pict>
      </w:r>
      <w:r>
        <w:rPr>
          <w:spacing w:val="9"/>
        </w:rPr>
        <w:t>通过作实样图先求出</w:t>
      </w:r>
      <w:r>
        <w:rPr>
          <w:spacing w:val="-1"/>
        </w:rPr>
        <w:t>L</w:t>
      </w:r>
      <w:r>
        <w:rPr>
          <w:spacing w:val="-40"/>
        </w:rPr>
        <w:t xml:space="preserve">，再画切口。切口角 </w:t>
      </w:r>
      <w:r>
        <w:rPr>
          <w:spacing w:val="-1"/>
        </w:rPr>
        <w:t>β=180°－</w:t>
      </w:r>
      <w:r>
        <w:rPr>
          <w:spacing w:val="-175"/>
        </w:rPr>
        <w:t>α</w:t>
      </w:r>
      <w:r>
        <w:t>（</w:t>
      </w:r>
      <w:r>
        <w:rPr>
          <w:spacing w:val="-19"/>
        </w:rPr>
        <w:t xml:space="preserve">  </w:t>
      </w:r>
      <w:r>
        <w:t>α</w:t>
      </w:r>
      <w:r>
        <w:rPr>
          <w:spacing w:val="-6"/>
        </w:rPr>
        <w:t xml:space="preserve">  为已知弯曲角</w:t>
      </w:r>
      <w:r>
        <w:rPr>
          <w:spacing w:val="-184"/>
        </w:rPr>
        <w:t>）</w:t>
      </w:r>
      <w:r>
        <w:rPr>
          <w:spacing w:val="-41"/>
        </w:rPr>
        <w:t xml:space="preserve">，切口宽 </w:t>
      </w:r>
      <w:r>
        <w:rPr>
          <w:spacing w:val="-1"/>
        </w:rPr>
        <w:t>L=2fg,</w:t>
      </w:r>
      <w:r>
        <w:rPr>
          <w:spacing w:val="-3"/>
        </w:rPr>
        <w:t xml:space="preserve">见上图中的矩形 </w:t>
      </w:r>
      <w:r>
        <w:t>Ongf</w:t>
      </w:r>
      <w:r>
        <w:rPr>
          <w:spacing w:val="-4"/>
        </w:rPr>
        <w:t xml:space="preserve">；或者 </w:t>
      </w:r>
      <w:r>
        <w:t>L=2（b－t）tanα/2。</w:t>
      </w:r>
    </w:p>
    <w:p>
      <w:pPr>
        <w:pStyle w:val="BodyText"/>
        <w:spacing w:before="1" w:line="338" w:lineRule="auto"/>
        <w:ind w:left="1620" w:right="7998"/>
      </w:pPr>
      <w:r>
        <w:pict>
          <v:group id="_x0000_s1034" style="width:893pt;height:348.4pt;margin-top:92.96pt;margin-left:0;mso-position-horizontal-relative:page;position:absolute;z-index:251667456" coordorigin="0,1859" coordsize="17860,6968">
            <v:shape id="_x0000_s1035" type="#_x0000_t75" style="width:17860;height:6960;position:absolute;top:1859" stroked="f">
              <v:imagedata r:id="rId45" o:title=""/>
            </v:shape>
            <v:shape id="_x0000_s1036" type="#_x0000_t202" style="width:4700;height:476;left:1620;position:absolute;top:7414" filled="f" stroked="f">
              <v:textbox inset="0,0,0,0">
                <w:txbxContent>
                  <w:p>
                    <w:pPr>
                      <w:spacing w:before="0" w:line="475" w:lineRule="exact"/>
                      <w:ind w:left="0" w:right="0" w:firstLine="0"/>
                      <w:jc w:val="left"/>
                      <w:rPr>
                        <w:sz w:val="36"/>
                      </w:rPr>
                    </w:pPr>
                    <w:r>
                      <w:rPr>
                        <w:sz w:val="36"/>
                      </w:rPr>
                      <w:t>型钢圆弧切口内弯号料与计算</w:t>
                    </w:r>
                  </w:p>
                </w:txbxContent>
              </v:textbox>
            </v:shape>
            <v:shape id="_x0000_s1037" type="#_x0000_t202" style="width:1100;height:476;left:1620;position:absolute;top:8351" filled="f" stroked="f">
              <v:textbox inset="0,0,0,0">
                <w:txbxContent>
                  <w:p>
                    <w:pPr>
                      <w:spacing w:before="0" w:line="475" w:lineRule="exact"/>
                      <w:ind w:left="0" w:right="0" w:firstLine="0"/>
                      <w:jc w:val="left"/>
                      <w:rPr>
                        <w:sz w:val="36"/>
                      </w:rPr>
                    </w:pPr>
                    <w:r>
                      <w:rPr>
                        <w:sz w:val="36"/>
                      </w:rPr>
                      <w:t>如图：</w:t>
                    </w:r>
                  </w:p>
                </w:txbxContent>
              </v:textbox>
            </v:shape>
          </v:group>
        </w:pict>
      </w:r>
      <w:r>
        <w:t>成量制作时，一般采用切口样板号切口，如上图 c。当内弯 90°角钢框时，如下图：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
        <w:rPr>
          <w:sz w:val="16"/>
        </w:rPr>
      </w:pPr>
    </w:p>
    <w:p>
      <w:pPr>
        <w:pStyle w:val="BodyText"/>
        <w:spacing w:before="6"/>
        <w:ind w:left="1620"/>
      </w:pPr>
      <w:r>
        <w:t>切口宽</w:t>
      </w:r>
    </w:p>
    <w:p>
      <w:pPr>
        <w:pStyle w:val="BodyText"/>
        <w:spacing w:before="272"/>
        <w:ind w:left="1620"/>
      </w:pPr>
      <w:r>
        <w:t>L =0.01745(b-t/2)α</w:t>
      </w:r>
    </w:p>
    <w:p>
      <w:pPr>
        <w:pStyle w:val="BodyText"/>
        <w:spacing w:before="272"/>
        <w:ind w:left="2340"/>
      </w:pPr>
      <w:r>
        <w:t>当 α=90°时,</w:t>
      </w:r>
    </w:p>
    <w:p>
      <w:pPr>
        <w:pStyle w:val="BodyText"/>
        <w:spacing w:before="273"/>
        <w:ind w:left="1620"/>
      </w:pPr>
      <w:r>
        <w:t>切口宽 L=1/2(b-t/2)π</w:t>
      </w:r>
    </w:p>
    <w:p>
      <w:pPr>
        <w:spacing w:after="0"/>
        <w:sectPr>
          <w:headerReference w:type="default" r:id="rId46"/>
          <w:footerReference w:type="default" r:id="rId47"/>
          <w:pgSz w:w="17860" w:h="25260"/>
          <w:pgMar w:top="1320" w:right="0" w:bottom="1880" w:left="0" w:header="1121" w:footer="1688"/>
          <w:pgNumType w:start="16"/>
          <w:cols w:space="708"/>
        </w:sectPr>
      </w:pPr>
    </w:p>
    <w:p>
      <w:pPr>
        <w:pStyle w:val="BodyText"/>
        <w:rPr>
          <w:sz w:val="20"/>
        </w:rPr>
      </w:pPr>
    </w:p>
    <w:p>
      <w:pPr>
        <w:pStyle w:val="BodyText"/>
        <w:rPr>
          <w:sz w:val="20"/>
        </w:rPr>
      </w:pPr>
    </w:p>
    <w:p>
      <w:pPr>
        <w:pStyle w:val="BodyText"/>
        <w:rPr>
          <w:sz w:val="20"/>
        </w:rPr>
      </w:pPr>
    </w:p>
    <w:p>
      <w:pPr>
        <w:pStyle w:val="BodyText"/>
        <w:spacing w:before="1"/>
        <w:rPr>
          <w:sz w:val="10"/>
        </w:rPr>
      </w:pPr>
    </w:p>
    <w:p>
      <w:pPr>
        <w:pStyle w:val="BodyText"/>
        <w:spacing w:before="6" w:line="338" w:lineRule="auto"/>
        <w:ind w:left="1620" w:right="10837"/>
      </w:pPr>
      <w:r>
        <w:pict>
          <v:group id="_x0000_s1038" style="width:893pt;height:273.75pt;margin-top:98.61pt;margin-left:0;mso-position-horizontal-relative:page;position:absolute;z-index:251668480" coordorigin="0,1972" coordsize="17860,5475">
            <v:shape id="_x0000_s1039" type="#_x0000_t75" style="width:17860;height:5300;position:absolute;top:2147" stroked="f">
              <v:imagedata r:id="rId48" o:title=""/>
            </v:shape>
            <v:shape id="_x0000_s1040" type="#_x0000_t202" style="width:2540;height:476;left:1980;position:absolute;top:1972" filled="f" stroked="f">
              <v:textbox inset="0,0,0,0">
                <w:txbxContent>
                  <w:p>
                    <w:pPr>
                      <w:spacing w:before="0" w:line="475" w:lineRule="exact"/>
                      <w:ind w:left="0" w:right="0" w:firstLine="0"/>
                      <w:jc w:val="left"/>
                      <w:rPr>
                        <w:sz w:val="36"/>
                      </w:rPr>
                    </w:pPr>
                    <w:r>
                      <w:rPr>
                        <w:sz w:val="36"/>
                      </w:rPr>
                      <w:t>计算公式如下：</w:t>
                    </w:r>
                  </w:p>
                </w:txbxContent>
              </v:textbox>
            </v:shape>
            <v:shape id="_x0000_s1041" type="#_x0000_t202" style="width:4202;height:476;left:2520;position:absolute;top:2908" filled="f" stroked="f">
              <v:textbox inset="0,0,0,0">
                <w:txbxContent>
                  <w:p>
                    <w:pPr>
                      <w:spacing w:before="0" w:line="475" w:lineRule="exact"/>
                      <w:ind w:left="0" w:right="0" w:firstLine="0"/>
                      <w:jc w:val="left"/>
                      <w:rPr>
                        <w:sz w:val="36"/>
                      </w:rPr>
                    </w:pPr>
                    <w:r>
                      <w:rPr>
                        <w:sz w:val="36"/>
                      </w:rPr>
                      <w:t>L=A+B+0.01745(b-t/2)α</w:t>
                    </w:r>
                  </w:p>
                </w:txbxContent>
              </v:textbox>
            </v:shape>
            <v:shape id="_x0000_s1042" type="#_x0000_t202" style="width:3077;height:476;left:1980;position:absolute;top:3844" filled="f" stroked="f">
              <v:textbox inset="0,0,0,0">
                <w:txbxContent>
                  <w:p>
                    <w:pPr>
                      <w:spacing w:before="0" w:line="475" w:lineRule="exact"/>
                      <w:ind w:left="0" w:right="0" w:firstLine="0"/>
                      <w:jc w:val="left"/>
                      <w:rPr>
                        <w:sz w:val="36"/>
                      </w:rPr>
                    </w:pPr>
                    <w:r>
                      <w:rPr>
                        <w:sz w:val="36"/>
                      </w:rPr>
                      <w:t>当圆心角 α=90°时,</w:t>
                    </w:r>
                  </w:p>
                </w:txbxContent>
              </v:textbox>
            </v:shape>
            <v:shape id="_x0000_s1043" type="#_x0000_t202" style="width:3066;height:476;left:2880;position:absolute;top:4781" filled="f" stroked="f">
              <v:textbox inset="0,0,0,0">
                <w:txbxContent>
                  <w:p>
                    <w:pPr>
                      <w:spacing w:before="0" w:line="475" w:lineRule="exact"/>
                      <w:ind w:left="0" w:right="0" w:firstLine="0"/>
                      <w:jc w:val="left"/>
                      <w:rPr>
                        <w:sz w:val="36"/>
                      </w:rPr>
                    </w:pPr>
                    <w:r>
                      <w:rPr>
                        <w:sz w:val="36"/>
                      </w:rPr>
                      <w:t>L=A+B+1/2(b-t)π</w:t>
                    </w:r>
                  </w:p>
                </w:txbxContent>
              </v:textbox>
            </v:shape>
            <v:shape id="_x0000_s1044" type="#_x0000_t202" style="width:5060;height:360;left:1620;position:absolute;top:6893" filled="f" stroked="f">
              <v:textbox inset="0,0,0,0">
                <w:txbxContent>
                  <w:p>
                    <w:pPr>
                      <w:spacing w:before="0" w:line="360" w:lineRule="exact"/>
                      <w:ind w:left="0" w:right="0" w:firstLine="0"/>
                      <w:jc w:val="left"/>
                      <w:rPr>
                        <w:rFonts w:ascii="幼圆" w:eastAsia="幼圆" w:hint="eastAsia"/>
                        <w:b/>
                        <w:sz w:val="36"/>
                      </w:rPr>
                    </w:pPr>
                    <w:r>
                      <w:rPr>
                        <w:rFonts w:ascii="幼圆" w:eastAsia="幼圆" w:hint="eastAsia"/>
                        <w:b/>
                        <w:w w:val="95"/>
                        <w:sz w:val="36"/>
                      </w:rPr>
                      <w:t>预防加工后尺寸变化的划线方法</w:t>
                    </w:r>
                  </w:p>
                </w:txbxContent>
              </v:textbox>
            </v:shape>
          </v:group>
        </w:pict>
      </w:r>
      <w:r>
        <w:t>角钢圆弧内弯任意角度的零件料长如右图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6"/>
        <w:rPr>
          <w:sz w:val="12"/>
        </w:rPr>
      </w:pPr>
    </w:p>
    <w:p>
      <w:pPr>
        <w:pStyle w:val="BodyText"/>
        <w:spacing w:before="6" w:line="338" w:lineRule="auto"/>
        <w:ind w:left="1620" w:right="1476" w:firstLine="720"/>
        <w:jc w:val="both"/>
      </w:pPr>
      <w:r>
        <w:t>这里所说的加工，主要是指卷制、压制、剪切、热切和焊接等工序的加工，按设计尺寸划线后，经卷制、压制和剪切后尺寸会变大；经热切和焊接后尺寸会变小。切割分冷切和热切， 冷切会使板料伸长，热切会使板料缩短，一边冷切一边热切会使板料弯曲。</w:t>
      </w:r>
    </w:p>
    <w:p>
      <w:pPr>
        <w:pStyle w:val="BodyText"/>
        <w:spacing w:before="1" w:line="338" w:lineRule="auto"/>
        <w:ind w:left="1620" w:right="1442" w:firstLine="720"/>
        <w:jc w:val="both"/>
      </w:pPr>
      <w:r>
        <w:drawing>
          <wp:anchor distT="0" distB="0" distL="0" distR="0" simplePos="0" relativeHeight="251669504" behindDoc="0" locked="0" layoutInCell="1" allowOverlap="1">
            <wp:simplePos x="0" y="0"/>
            <wp:positionH relativeFrom="page">
              <wp:posOffset>0</wp:posOffset>
            </wp:positionH>
            <wp:positionV relativeFrom="paragraph">
              <wp:posOffset>1898737</wp:posOffset>
            </wp:positionV>
            <wp:extent cx="11340845" cy="4368673"/>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49" cstate="print"/>
                    <a:stretch>
                      <a:fillRect/>
                    </a:stretch>
                  </pic:blipFill>
                  <pic:spPr>
                    <a:xfrm>
                      <a:off x="0" y="0"/>
                      <a:ext cx="11340845" cy="4368673"/>
                    </a:xfrm>
                    <a:prstGeom prst="rect">
                      <a:avLst/>
                    </a:prstGeom>
                  </pic:spPr>
                </pic:pic>
              </a:graphicData>
            </a:graphic>
          </wp:anchor>
        </w:drawing>
      </w:r>
      <w:r>
        <w:rPr>
          <w:spacing w:val="-7"/>
        </w:rPr>
        <w:t xml:space="preserve">焊缝的收缩量    钢结构焊接后都会产生收缩，包括纵向收缩和横向收缩，纵向的较小， </w:t>
      </w:r>
      <w:r>
        <w:t>横向的较大，收缩量的大小与各种因素（如板厚、材质、焊接速度、焊接方法、电流大小等） 有关。见下表：</w:t>
      </w:r>
    </w:p>
    <w:p>
      <w:pPr>
        <w:spacing w:after="0" w:line="338" w:lineRule="auto"/>
        <w:jc w:val="both"/>
        <w:sectPr>
          <w:headerReference w:type="default" r:id="rId50"/>
          <w:footerReference w:type="default" r:id="rId51"/>
          <w:pgSz w:w="17860" w:h="25260"/>
          <w:pgMar w:top="1320" w:right="0" w:bottom="1880" w:left="0" w:header="1121" w:footer="1688"/>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Heading2"/>
        <w:spacing w:before="6"/>
      </w:pPr>
      <w:r>
        <w:drawing>
          <wp:anchor distT="0" distB="0" distL="0" distR="0" simplePos="0" relativeHeight="251670528" behindDoc="0" locked="0" layoutInCell="1" allowOverlap="1">
            <wp:simplePos x="0" y="0"/>
            <wp:positionH relativeFrom="page">
              <wp:posOffset>0</wp:posOffset>
            </wp:positionH>
            <wp:positionV relativeFrom="paragraph">
              <wp:posOffset>-4679100</wp:posOffset>
            </wp:positionV>
            <wp:extent cx="11340845" cy="4609973"/>
            <wp:effectExtent l="0" t="0" r="0" b="0"/>
            <wp:wrapNone/>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52" cstate="print"/>
                    <a:stretch>
                      <a:fillRect/>
                    </a:stretch>
                  </pic:blipFill>
                  <pic:spPr>
                    <a:xfrm>
                      <a:off x="0" y="0"/>
                      <a:ext cx="11340845" cy="4609973"/>
                    </a:xfrm>
                    <a:prstGeom prst="rect">
                      <a:avLst/>
                    </a:prstGeom>
                  </pic:spPr>
                </pic:pic>
              </a:graphicData>
            </a:graphic>
          </wp:anchor>
        </w:drawing>
      </w:r>
      <w:r>
        <w:t>二次号料</w:t>
      </w:r>
    </w:p>
    <w:p>
      <w:pPr>
        <w:pStyle w:val="BodyText"/>
        <w:spacing w:before="272" w:line="338" w:lineRule="auto"/>
        <w:ind w:left="1620" w:right="1623" w:firstLine="720"/>
      </w:pPr>
      <w:r>
        <w:t>对于某些加工前无法准确下料的零件（如某些热加工零件、有余量装配等</w:t>
      </w:r>
      <w:r>
        <w:rPr>
          <w:spacing w:val="-147"/>
        </w:rPr>
        <w:t>）</w:t>
      </w:r>
      <w:r>
        <w:rPr>
          <w:spacing w:val="-3"/>
        </w:rPr>
        <w:t>，往往都在一</w:t>
      </w:r>
      <w:r>
        <w:t>次号料时留有充分的余量，待加工后或装配时再进行二次号料。</w:t>
      </w:r>
    </w:p>
    <w:p>
      <w:pPr>
        <w:pStyle w:val="BodyText"/>
        <w:spacing w:before="1" w:line="338" w:lineRule="auto"/>
        <w:ind w:left="1620" w:right="1619"/>
      </w:pPr>
      <w:r>
        <w:rPr>
          <w:spacing w:val="-11"/>
        </w:rPr>
        <w:t>在进行二次号料前，结构的形状必须矫正准确，消除结构上存在的变形，精确定位制后方可进</w:t>
      </w:r>
      <w:r>
        <w:t>行。</w:t>
      </w:r>
    </w:p>
    <w:p>
      <w:pPr>
        <w:pStyle w:val="Heading1"/>
        <w:numPr>
          <w:ilvl w:val="0"/>
          <w:numId w:val="6"/>
        </w:numPr>
        <w:tabs>
          <w:tab w:val="left" w:pos="2294"/>
        </w:tabs>
        <w:spacing w:before="157" w:after="0" w:line="240" w:lineRule="auto"/>
        <w:ind w:left="2294" w:right="0" w:hanging="433"/>
        <w:jc w:val="left"/>
      </w:pPr>
      <w:r>
        <w:t>施工图、实用几何作图及计算</w:t>
      </w:r>
    </w:p>
    <w:p>
      <w:pPr>
        <w:pStyle w:val="BodyText"/>
        <w:spacing w:before="13"/>
        <w:rPr>
          <w:b/>
        </w:rPr>
      </w:pPr>
    </w:p>
    <w:p>
      <w:pPr>
        <w:pStyle w:val="BodyText"/>
        <w:tabs>
          <w:tab w:val="left" w:pos="3971"/>
        </w:tabs>
        <w:spacing w:line="338" w:lineRule="auto"/>
        <w:ind w:left="1620" w:right="1646" w:firstLine="720"/>
      </w:pPr>
      <w:r>
        <w:t>施工图</w:t>
        <w:tab/>
        <w:t>要想看懂图纸，只懂得投影图的原理是远远不够的，更需要知道图纸上各种</w:t>
      </w:r>
      <w:r>
        <w:rPr>
          <w:spacing w:val="-18"/>
        </w:rPr>
        <w:t>符</w:t>
      </w:r>
      <w:r>
        <w:t>号的含义。例如图纸的比例、剖面符号、型钢符号、焊接符号等。</w:t>
      </w:r>
    </w:p>
    <w:p>
      <w:pPr>
        <w:pStyle w:val="BodyText"/>
        <w:spacing w:before="1" w:line="338" w:lineRule="auto"/>
        <w:ind w:left="1620" w:right="1476" w:firstLine="720"/>
      </w:pPr>
      <w:r>
        <w:t>识图的步骤可以简单概括为：①先看图头，后看图面；②先看主图，后看详图；③弄清材料的规格、数量，抓住构件的连接情况；④图形字表综合理解，辅助说明全面领会。</w:t>
      </w:r>
    </w:p>
    <w:p>
      <w:pPr>
        <w:pStyle w:val="Heading1"/>
        <w:numPr>
          <w:ilvl w:val="0"/>
          <w:numId w:val="6"/>
        </w:numPr>
        <w:tabs>
          <w:tab w:val="left" w:pos="2053"/>
        </w:tabs>
        <w:spacing w:before="157" w:after="0" w:line="240" w:lineRule="auto"/>
        <w:ind w:left="2052" w:right="0" w:hanging="433"/>
        <w:jc w:val="left"/>
      </w:pPr>
      <w:r>
        <w:t>实用几何作图</w:t>
      </w:r>
    </w:p>
    <w:p>
      <w:pPr>
        <w:pStyle w:val="BodyText"/>
        <w:spacing w:before="10"/>
        <w:rPr>
          <w:b/>
        </w:rPr>
      </w:pPr>
    </w:p>
    <w:p>
      <w:pPr>
        <w:pStyle w:val="BodyText"/>
        <w:spacing w:line="338" w:lineRule="auto"/>
        <w:ind w:left="1620" w:right="1620" w:firstLine="720"/>
      </w:pPr>
      <w:r>
        <w:rPr>
          <w:spacing w:val="-7"/>
        </w:rPr>
        <w:t>几何作图是金属结构制造中不可缺少的重要基础知识，特别是在下料工序中尤其重要，如</w:t>
      </w:r>
      <w:r>
        <w:t>放样、作各种形式样板、异形件展开号料和弯曲、拉伸胎膜的制作以及组装工序放实样等。</w:t>
      </w:r>
    </w:p>
    <w:p>
      <w:pPr>
        <w:spacing w:after="0" w:line="33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https://d.book118.com/456211105204010053</w:t>
        </w:r>
      </w:hyperlink>
    </w:p>
    <w:p>
      <w:pPr>
        <w:spacing w:after="0" w:line="338" w:lineRule="auto"/>
      </w:pPr>
    </w:p>
    <w:sectPr>
      <w:headerReference w:type="default" r:id="rId54"/>
      <w:footerReference w:type="default" r:id="rId55"/>
      <w:pgSz w:w="17860" w:h="25260"/>
      <w:pgMar w:top="1320" w:right="0" w:bottom="1880" w:left="0" w:header="1121" w:footer="168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2.25pt;height:9.6pt;margin-top:1167.49pt;margin-left:430.53pt;mso-position-horizontal-relative:page;mso-position-vertical-relative:page;position:absolute;z-index:-2516582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2.25pt;height:9.6pt;margin-top:1167.49pt;margin-left:430.53pt;mso-position-horizontal-relative:page;mso-position-vertical-relative:page;position:absolute;z-index:-2516572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2.25pt;height:9.6pt;margin-top:1167.49pt;margin-left:430.53pt;mso-position-horizontal-relative:page;mso-position-vertical-relative:page;position:absolute;z-index:-2516561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2.25pt;height:9.6pt;margin-top:1167.49pt;margin-left:430.53pt;mso-position-horizontal-relative:page;mso-position-vertical-relative:page;position:absolute;z-index:-2516551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2.25pt;height:9.6pt;margin-top:1167.49pt;margin-left:430.53pt;mso-position-horizontal-relative:page;mso-position-vertical-relative:page;position:absolute;z-index:-2516541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2.25pt;height:9.6pt;margin-top:1167.49pt;margin-left:430.53pt;mso-position-horizontal-relative:page;mso-position-vertical-relative:page;position:absolute;z-index:-2516531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2.25pt;height:9.6pt;margin-top:1167.49pt;margin-left:430.53pt;mso-position-horizontal-relative:page;mso-position-vertical-relative:page;position:absolute;z-index:-2516520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2.25pt;height:9.6pt;margin-top:1167.49pt;margin-left:430.53pt;mso-position-horizontal-relative:page;mso-position-vertical-relative:page;position:absolute;z-index:-2516510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2.25pt;height:9.6pt;margin-top:1167.49pt;margin-left:430.53pt;mso-position-horizontal-relative:page;mso-position-vertical-relative:page;position:absolute;z-index:-2516500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2.25pt;height:9.6pt;margin-top:1167.49pt;margin-left:430.53pt;mso-position-horizontal-relative:page;mso-position-vertical-relative:page;position:absolute;z-index:-2516490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2.25pt;height:9.6pt;margin-top:1167.49pt;margin-left:430.53pt;mso-position-horizontal-relative:page;mso-position-vertical-relative:page;position:absolute;z-index:-2516480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2.25pt;height:9.6pt;margin-top:1167.49pt;margin-left:430.53pt;mso-position-horizontal-relative:page;mso-position-vertical-relative:page;position:absolute;z-index:-25164697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2.25pt;height:9.6pt;margin-top:1167.49pt;margin-left:430.53pt;mso-position-horizontal-relative:page;mso-position-vertical-relative:page;position:absolute;z-index:-25164595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2.25pt;height:9.6pt;margin-top:1167.49pt;margin-left:430.53pt;mso-position-horizontal-relative:page;mso-position-vertical-relative:page;position:absolute;z-index:-25164492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2.25pt;height:9.6pt;margin-top:1167.49pt;margin-left:430.53pt;mso-position-horizontal-relative:page;mso-position-vertical-relative:page;position:absolute;z-index:-25164390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2.25pt;height:9.6pt;margin-top:1167.49pt;margin-left:430.53pt;mso-position-horizontal-relative:page;mso-position-vertical-relative:page;position:absolute;z-index:-25164288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2.25pt;height:9.6pt;margin-top:1167.49pt;margin-left:430.53pt;mso-position-horizontal-relative:page;mso-position-vertical-relative:page;position:absolute;z-index:-25164185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2.25pt;height:9.6pt;margin-top:1167.49pt;margin-left:430.53pt;mso-position-horizontal-relative:page;mso-position-vertical-relative:page;position:absolute;z-index:-25164083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随意编辑</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2.25pt;height:9.6pt;margin-top:57.47pt;margin-left:430.53pt;mso-position-horizontal-relative:page;mso-position-vertical-relative:page;position:absolute;z-index:-2516582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32.25pt;height:9.6pt;margin-top:57.47pt;margin-left:430.53pt;mso-position-horizontal-relative:page;mso-position-vertical-relative:page;position:absolute;z-index:-2516572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32.25pt;height:9.6pt;margin-top:57.47pt;margin-left:430.53pt;mso-position-horizontal-relative:page;mso-position-vertical-relative:page;position:absolute;z-index:-2516561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2.25pt;height:9.6pt;margin-top:57.47pt;margin-left:430.53pt;mso-position-horizontal-relative:page;mso-position-vertical-relative:page;position:absolute;z-index:-2516551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32.25pt;height:9.6pt;margin-top:57.47pt;margin-left:430.53pt;mso-position-horizontal-relative:page;mso-position-vertical-relative:page;position:absolute;z-index:-2516541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32.25pt;height:9.6pt;margin-top:57.47pt;margin-left:430.53pt;mso-position-horizontal-relative:page;mso-position-vertical-relative:page;position:absolute;z-index:-2516531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32.25pt;height:9.6pt;margin-top:57.47pt;margin-left:430.53pt;mso-position-horizontal-relative:page;mso-position-vertical-relative:page;position:absolute;z-index:-2516520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32.25pt;height:9.6pt;margin-top:57.47pt;margin-left:430.53pt;mso-position-horizontal-relative:page;mso-position-vertical-relative:page;position:absolute;z-index:-2516510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32.25pt;height:9.6pt;margin-top:57.47pt;margin-left:430.53pt;mso-position-horizontal-relative:page;mso-position-vertical-relative:page;position:absolute;z-index:-2516500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2.25pt;height:9.6pt;margin-top:57.47pt;margin-left:430.53pt;mso-position-horizontal-relative:page;mso-position-vertical-relative:page;position:absolute;z-index:-2516490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32.25pt;height:9.6pt;margin-top:57.47pt;margin-left:430.53pt;mso-position-horizontal-relative:page;mso-position-vertical-relative:page;position:absolute;z-index:-2516480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32.25pt;height:9.6pt;margin-top:57.47pt;margin-left:430.53pt;mso-position-horizontal-relative:page;mso-position-vertical-relative:page;position:absolute;z-index:-25164697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2.25pt;height:9.6pt;margin-top:57.47pt;margin-left:430.53pt;mso-position-horizontal-relative:page;mso-position-vertical-relative:page;position:absolute;z-index:-25164595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32.25pt;height:9.6pt;margin-top:57.47pt;margin-left:430.53pt;mso-position-horizontal-relative:page;mso-position-vertical-relative:page;position:absolute;z-index:-25164492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32.25pt;height:9.6pt;margin-top:57.47pt;margin-left:430.53pt;mso-position-horizontal-relative:page;mso-position-vertical-relative:page;position:absolute;z-index:-25164390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32.25pt;height:9.6pt;margin-top:57.47pt;margin-left:430.53pt;mso-position-horizontal-relative:page;mso-position-vertical-relative:page;position:absolute;z-index:-25164288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32.25pt;height:9.6pt;margin-top:57.47pt;margin-left:430.53pt;mso-position-horizontal-relative:page;mso-position-vertical-relative:page;position:absolute;z-index:-25164185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32.25pt;height:9.6pt;margin-top:57.47pt;margin-left:430.53pt;mso-position-horizontal-relative:page;mso-position-vertical-relative:page;position:absolute;z-index:-25164083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CCC08"/>
    <w:multiLevelType w:val="hybridMultilevel"/>
    <w:tmpl w:val="00000000"/>
    <w:lvl w:ilvl="0">
      <w:start w:val="1"/>
      <w:numFmt w:val="decimal"/>
      <w:lvlText w:val="%1."/>
      <w:lvlJc w:val="left"/>
      <w:pPr>
        <w:ind w:left="2052" w:hanging="433"/>
        <w:jc w:val="left"/>
      </w:pPr>
      <w:rPr>
        <w:rFonts w:ascii="微软雅黑" w:eastAsia="微软雅黑" w:hAnsi="微软雅黑" w:cs="微软雅黑" w:hint="default"/>
        <w:b/>
        <w:bCs/>
        <w:spacing w:val="-1"/>
        <w:w w:val="99"/>
        <w:sz w:val="46"/>
        <w:szCs w:val="46"/>
      </w:rPr>
    </w:lvl>
    <w:lvl w:ilvl="1">
      <w:start w:val="0"/>
      <w:numFmt w:val="bullet"/>
      <w:lvlText w:val="•"/>
      <w:lvlJc w:val="left"/>
      <w:pPr>
        <w:ind w:left="3639" w:hanging="433"/>
      </w:pPr>
      <w:rPr>
        <w:rFonts w:hint="default"/>
      </w:rPr>
    </w:lvl>
    <w:lvl w:ilvl="2">
      <w:start w:val="0"/>
      <w:numFmt w:val="bullet"/>
      <w:lvlText w:val="•"/>
      <w:lvlJc w:val="left"/>
      <w:pPr>
        <w:ind w:left="5219" w:hanging="433"/>
      </w:pPr>
      <w:rPr>
        <w:rFonts w:hint="default"/>
      </w:rPr>
    </w:lvl>
    <w:lvl w:ilvl="3">
      <w:start w:val="0"/>
      <w:numFmt w:val="bullet"/>
      <w:lvlText w:val="•"/>
      <w:lvlJc w:val="left"/>
      <w:pPr>
        <w:ind w:left="6799" w:hanging="433"/>
      </w:pPr>
      <w:rPr>
        <w:rFonts w:hint="default"/>
      </w:rPr>
    </w:lvl>
    <w:lvl w:ilvl="4">
      <w:start w:val="0"/>
      <w:numFmt w:val="bullet"/>
      <w:lvlText w:val="•"/>
      <w:lvlJc w:val="left"/>
      <w:pPr>
        <w:ind w:left="8379" w:hanging="433"/>
      </w:pPr>
      <w:rPr>
        <w:rFonts w:hint="default"/>
      </w:rPr>
    </w:lvl>
    <w:lvl w:ilvl="5">
      <w:start w:val="0"/>
      <w:numFmt w:val="bullet"/>
      <w:lvlText w:val="•"/>
      <w:lvlJc w:val="left"/>
      <w:pPr>
        <w:ind w:left="9959" w:hanging="433"/>
      </w:pPr>
      <w:rPr>
        <w:rFonts w:hint="default"/>
      </w:rPr>
    </w:lvl>
    <w:lvl w:ilvl="6">
      <w:start w:val="0"/>
      <w:numFmt w:val="bullet"/>
      <w:lvlText w:val="•"/>
      <w:lvlJc w:val="left"/>
      <w:pPr>
        <w:ind w:left="11539" w:hanging="433"/>
      </w:pPr>
      <w:rPr>
        <w:rFonts w:hint="default"/>
      </w:rPr>
    </w:lvl>
    <w:lvl w:ilvl="7">
      <w:start w:val="0"/>
      <w:numFmt w:val="bullet"/>
      <w:lvlText w:val="•"/>
      <w:lvlJc w:val="left"/>
      <w:pPr>
        <w:ind w:left="13119" w:hanging="433"/>
      </w:pPr>
      <w:rPr>
        <w:rFonts w:hint="default"/>
      </w:rPr>
    </w:lvl>
    <w:lvl w:ilvl="8">
      <w:start w:val="0"/>
      <w:numFmt w:val="bullet"/>
      <w:lvlText w:val="•"/>
      <w:lvlJc w:val="left"/>
      <w:pPr>
        <w:ind w:left="14699" w:hanging="433"/>
      </w:pPr>
      <w:rPr>
        <w:rFonts w:hint="default"/>
      </w:rPr>
    </w:lvl>
  </w:abstractNum>
  <w:abstractNum w:abstractNumId="1">
    <w:nsid w:val="3098F85F"/>
    <w:multiLevelType w:val="hybridMultilevel"/>
    <w:tmpl w:val="00000000"/>
    <w:lvl w:ilvl="0">
      <w:start w:val="1"/>
      <w:numFmt w:val="decimal"/>
      <w:lvlText w:val="%1."/>
      <w:lvlJc w:val="left"/>
      <w:pPr>
        <w:ind w:left="2052" w:hanging="433"/>
        <w:jc w:val="right"/>
      </w:pPr>
      <w:rPr>
        <w:rFonts w:hint="default"/>
        <w:b/>
        <w:bCs/>
        <w:spacing w:val="-1"/>
        <w:w w:val="99"/>
      </w:rPr>
    </w:lvl>
    <w:lvl w:ilvl="1">
      <w:start w:val="0"/>
      <w:numFmt w:val="bullet"/>
      <w:lvlText w:val="•"/>
      <w:lvlJc w:val="left"/>
      <w:pPr>
        <w:ind w:left="3639" w:hanging="433"/>
      </w:pPr>
      <w:rPr>
        <w:rFonts w:hint="default"/>
      </w:rPr>
    </w:lvl>
    <w:lvl w:ilvl="2">
      <w:start w:val="0"/>
      <w:numFmt w:val="bullet"/>
      <w:lvlText w:val="•"/>
      <w:lvlJc w:val="left"/>
      <w:pPr>
        <w:ind w:left="5219" w:hanging="433"/>
      </w:pPr>
      <w:rPr>
        <w:rFonts w:hint="default"/>
      </w:rPr>
    </w:lvl>
    <w:lvl w:ilvl="3">
      <w:start w:val="0"/>
      <w:numFmt w:val="bullet"/>
      <w:lvlText w:val="•"/>
      <w:lvlJc w:val="left"/>
      <w:pPr>
        <w:ind w:left="6799" w:hanging="433"/>
      </w:pPr>
      <w:rPr>
        <w:rFonts w:hint="default"/>
      </w:rPr>
    </w:lvl>
    <w:lvl w:ilvl="4">
      <w:start w:val="0"/>
      <w:numFmt w:val="bullet"/>
      <w:lvlText w:val="•"/>
      <w:lvlJc w:val="left"/>
      <w:pPr>
        <w:ind w:left="8379" w:hanging="433"/>
      </w:pPr>
      <w:rPr>
        <w:rFonts w:hint="default"/>
      </w:rPr>
    </w:lvl>
    <w:lvl w:ilvl="5">
      <w:start w:val="0"/>
      <w:numFmt w:val="bullet"/>
      <w:lvlText w:val="•"/>
      <w:lvlJc w:val="left"/>
      <w:pPr>
        <w:ind w:left="9959" w:hanging="433"/>
      </w:pPr>
      <w:rPr>
        <w:rFonts w:hint="default"/>
      </w:rPr>
    </w:lvl>
    <w:lvl w:ilvl="6">
      <w:start w:val="0"/>
      <w:numFmt w:val="bullet"/>
      <w:lvlText w:val="•"/>
      <w:lvlJc w:val="left"/>
      <w:pPr>
        <w:ind w:left="11539" w:hanging="433"/>
      </w:pPr>
      <w:rPr>
        <w:rFonts w:hint="default"/>
      </w:rPr>
    </w:lvl>
    <w:lvl w:ilvl="7">
      <w:start w:val="0"/>
      <w:numFmt w:val="bullet"/>
      <w:lvlText w:val="•"/>
      <w:lvlJc w:val="left"/>
      <w:pPr>
        <w:ind w:left="13119" w:hanging="433"/>
      </w:pPr>
      <w:rPr>
        <w:rFonts w:hint="default"/>
      </w:rPr>
    </w:lvl>
    <w:lvl w:ilvl="8">
      <w:start w:val="0"/>
      <w:numFmt w:val="bullet"/>
      <w:lvlText w:val="•"/>
      <w:lvlJc w:val="left"/>
      <w:pPr>
        <w:ind w:left="14699" w:hanging="433"/>
      </w:pPr>
      <w:rPr>
        <w:rFonts w:hint="default"/>
      </w:rPr>
    </w:lvl>
  </w:abstractNum>
  <w:abstractNum w:abstractNumId="2">
    <w:nsid w:val="5576D1C0"/>
    <w:multiLevelType w:val="hybridMultilevel"/>
    <w:tmpl w:val="00000000"/>
    <w:lvl w:ilvl="0">
      <w:start w:val="1"/>
      <w:numFmt w:val="lowerLetter"/>
      <w:lvlText w:val="%1."/>
      <w:lvlJc w:val="left"/>
      <w:pPr>
        <w:ind w:left="1906"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3495" w:hanging="287"/>
      </w:pPr>
      <w:rPr>
        <w:rFonts w:hint="default"/>
      </w:rPr>
    </w:lvl>
    <w:lvl w:ilvl="2">
      <w:start w:val="0"/>
      <w:numFmt w:val="bullet"/>
      <w:lvlText w:val="•"/>
      <w:lvlJc w:val="left"/>
      <w:pPr>
        <w:ind w:left="5091" w:hanging="287"/>
      </w:pPr>
      <w:rPr>
        <w:rFonts w:hint="default"/>
      </w:rPr>
    </w:lvl>
    <w:lvl w:ilvl="3">
      <w:start w:val="0"/>
      <w:numFmt w:val="bullet"/>
      <w:lvlText w:val="•"/>
      <w:lvlJc w:val="left"/>
      <w:pPr>
        <w:ind w:left="6687" w:hanging="287"/>
      </w:pPr>
      <w:rPr>
        <w:rFonts w:hint="default"/>
      </w:rPr>
    </w:lvl>
    <w:lvl w:ilvl="4">
      <w:start w:val="0"/>
      <w:numFmt w:val="bullet"/>
      <w:lvlText w:val="•"/>
      <w:lvlJc w:val="left"/>
      <w:pPr>
        <w:ind w:left="8283" w:hanging="287"/>
      </w:pPr>
      <w:rPr>
        <w:rFonts w:hint="default"/>
      </w:rPr>
    </w:lvl>
    <w:lvl w:ilvl="5">
      <w:start w:val="0"/>
      <w:numFmt w:val="bullet"/>
      <w:lvlText w:val="•"/>
      <w:lvlJc w:val="left"/>
      <w:pPr>
        <w:ind w:left="9879" w:hanging="287"/>
      </w:pPr>
      <w:rPr>
        <w:rFonts w:hint="default"/>
      </w:rPr>
    </w:lvl>
    <w:lvl w:ilvl="6">
      <w:start w:val="0"/>
      <w:numFmt w:val="bullet"/>
      <w:lvlText w:val="•"/>
      <w:lvlJc w:val="left"/>
      <w:pPr>
        <w:ind w:left="11475" w:hanging="287"/>
      </w:pPr>
      <w:rPr>
        <w:rFonts w:hint="default"/>
      </w:rPr>
    </w:lvl>
    <w:lvl w:ilvl="7">
      <w:start w:val="0"/>
      <w:numFmt w:val="bullet"/>
      <w:lvlText w:val="•"/>
      <w:lvlJc w:val="left"/>
      <w:pPr>
        <w:ind w:left="13071" w:hanging="287"/>
      </w:pPr>
      <w:rPr>
        <w:rFonts w:hint="default"/>
      </w:rPr>
    </w:lvl>
    <w:lvl w:ilvl="8">
      <w:start w:val="0"/>
      <w:numFmt w:val="bullet"/>
      <w:lvlText w:val="•"/>
      <w:lvlJc w:val="left"/>
      <w:pPr>
        <w:ind w:left="14667" w:hanging="287"/>
      </w:pPr>
      <w:rPr>
        <w:rFonts w:hint="default"/>
      </w:rPr>
    </w:lvl>
  </w:abstractNum>
  <w:abstractNum w:abstractNumId="3">
    <w:nsid w:val="685621DB"/>
    <w:multiLevelType w:val="hybridMultilevel"/>
    <w:tmpl w:val="00000000"/>
    <w:lvl w:ilvl="0">
      <w:start w:val="2"/>
      <w:numFmt w:val="decimal"/>
      <w:lvlText w:val="%1."/>
      <w:lvlJc w:val="left"/>
      <w:pPr>
        <w:ind w:left="2052" w:hanging="433"/>
        <w:jc w:val="right"/>
      </w:pPr>
      <w:rPr>
        <w:rFonts w:ascii="微软雅黑" w:eastAsia="微软雅黑" w:hAnsi="微软雅黑" w:cs="微软雅黑" w:hint="default"/>
        <w:b/>
        <w:bCs/>
        <w:spacing w:val="-1"/>
        <w:w w:val="99"/>
        <w:sz w:val="46"/>
        <w:szCs w:val="46"/>
      </w:rPr>
    </w:lvl>
    <w:lvl w:ilvl="1">
      <w:start w:val="2"/>
      <w:numFmt w:val="decimal"/>
      <w:lvlText w:val="%2."/>
      <w:lvlJc w:val="left"/>
      <w:pPr>
        <w:ind w:left="5519" w:hanging="299"/>
        <w:jc w:val="left"/>
      </w:pPr>
      <w:rPr>
        <w:rFonts w:ascii="微软雅黑" w:eastAsia="微软雅黑" w:hAnsi="微软雅黑" w:cs="微软雅黑" w:hint="default"/>
        <w:spacing w:val="-1"/>
        <w:w w:val="100"/>
        <w:sz w:val="34"/>
        <w:szCs w:val="34"/>
      </w:rPr>
    </w:lvl>
    <w:lvl w:ilvl="2">
      <w:start w:val="0"/>
      <w:numFmt w:val="bullet"/>
      <w:lvlText w:val="•"/>
      <w:lvlJc w:val="left"/>
      <w:pPr>
        <w:ind w:left="6891" w:hanging="299"/>
      </w:pPr>
      <w:rPr>
        <w:rFonts w:hint="default"/>
      </w:rPr>
    </w:lvl>
    <w:lvl w:ilvl="3">
      <w:start w:val="0"/>
      <w:numFmt w:val="bullet"/>
      <w:lvlText w:val="•"/>
      <w:lvlJc w:val="left"/>
      <w:pPr>
        <w:ind w:left="8262" w:hanging="299"/>
      </w:pPr>
      <w:rPr>
        <w:rFonts w:hint="default"/>
      </w:rPr>
    </w:lvl>
    <w:lvl w:ilvl="4">
      <w:start w:val="0"/>
      <w:numFmt w:val="bullet"/>
      <w:lvlText w:val="•"/>
      <w:lvlJc w:val="left"/>
      <w:pPr>
        <w:ind w:left="9633" w:hanging="299"/>
      </w:pPr>
      <w:rPr>
        <w:rFonts w:hint="default"/>
      </w:rPr>
    </w:lvl>
    <w:lvl w:ilvl="5">
      <w:start w:val="0"/>
      <w:numFmt w:val="bullet"/>
      <w:lvlText w:val="•"/>
      <w:lvlJc w:val="left"/>
      <w:pPr>
        <w:ind w:left="11004" w:hanging="299"/>
      </w:pPr>
      <w:rPr>
        <w:rFonts w:hint="default"/>
      </w:rPr>
    </w:lvl>
    <w:lvl w:ilvl="6">
      <w:start w:val="0"/>
      <w:numFmt w:val="bullet"/>
      <w:lvlText w:val="•"/>
      <w:lvlJc w:val="left"/>
      <w:pPr>
        <w:ind w:left="12375" w:hanging="299"/>
      </w:pPr>
      <w:rPr>
        <w:rFonts w:hint="default"/>
      </w:rPr>
    </w:lvl>
    <w:lvl w:ilvl="7">
      <w:start w:val="0"/>
      <w:numFmt w:val="bullet"/>
      <w:lvlText w:val="•"/>
      <w:lvlJc w:val="left"/>
      <w:pPr>
        <w:ind w:left="13746" w:hanging="299"/>
      </w:pPr>
      <w:rPr>
        <w:rFonts w:hint="default"/>
      </w:rPr>
    </w:lvl>
    <w:lvl w:ilvl="8">
      <w:start w:val="0"/>
      <w:numFmt w:val="bullet"/>
      <w:lvlText w:val="•"/>
      <w:lvlJc w:val="left"/>
      <w:pPr>
        <w:ind w:left="15117" w:hanging="299"/>
      </w:pPr>
      <w:rPr>
        <w:rFonts w:hint="default"/>
      </w:rPr>
    </w:lvl>
  </w:abstractNum>
  <w:abstractNum w:abstractNumId="4">
    <w:nsid w:val="6FB36C58"/>
    <w:multiLevelType w:val="hybridMultilevel"/>
    <w:tmpl w:val="00000000"/>
    <w:lvl w:ilvl="0">
      <w:start w:val="1"/>
      <w:numFmt w:val="decimal"/>
      <w:lvlText w:val="%1."/>
      <w:lvlJc w:val="left"/>
      <w:pPr>
        <w:ind w:left="1620" w:hanging="437"/>
        <w:jc w:val="left"/>
      </w:pPr>
      <w:rPr>
        <w:rFonts w:ascii="微软雅黑" w:eastAsia="微软雅黑" w:hAnsi="微软雅黑" w:cs="微软雅黑" w:hint="default"/>
        <w:b/>
        <w:bCs/>
        <w:spacing w:val="-1"/>
        <w:w w:val="99"/>
        <w:sz w:val="46"/>
        <w:szCs w:val="46"/>
      </w:rPr>
    </w:lvl>
    <w:lvl w:ilvl="1">
      <w:start w:val="0"/>
      <w:numFmt w:val="bullet"/>
      <w:lvlText w:val="•"/>
      <w:lvlJc w:val="left"/>
      <w:pPr>
        <w:ind w:left="3243" w:hanging="437"/>
      </w:pPr>
      <w:rPr>
        <w:rFonts w:hint="default"/>
      </w:rPr>
    </w:lvl>
    <w:lvl w:ilvl="2">
      <w:start w:val="0"/>
      <w:numFmt w:val="bullet"/>
      <w:lvlText w:val="•"/>
      <w:lvlJc w:val="left"/>
      <w:pPr>
        <w:ind w:left="4867" w:hanging="437"/>
      </w:pPr>
      <w:rPr>
        <w:rFonts w:hint="default"/>
      </w:rPr>
    </w:lvl>
    <w:lvl w:ilvl="3">
      <w:start w:val="0"/>
      <w:numFmt w:val="bullet"/>
      <w:lvlText w:val="•"/>
      <w:lvlJc w:val="left"/>
      <w:pPr>
        <w:ind w:left="6491" w:hanging="437"/>
      </w:pPr>
      <w:rPr>
        <w:rFonts w:hint="default"/>
      </w:rPr>
    </w:lvl>
    <w:lvl w:ilvl="4">
      <w:start w:val="0"/>
      <w:numFmt w:val="bullet"/>
      <w:lvlText w:val="•"/>
      <w:lvlJc w:val="left"/>
      <w:pPr>
        <w:ind w:left="8115" w:hanging="437"/>
      </w:pPr>
      <w:rPr>
        <w:rFonts w:hint="default"/>
      </w:rPr>
    </w:lvl>
    <w:lvl w:ilvl="5">
      <w:start w:val="0"/>
      <w:numFmt w:val="bullet"/>
      <w:lvlText w:val="•"/>
      <w:lvlJc w:val="left"/>
      <w:pPr>
        <w:ind w:left="9739" w:hanging="437"/>
      </w:pPr>
      <w:rPr>
        <w:rFonts w:hint="default"/>
      </w:rPr>
    </w:lvl>
    <w:lvl w:ilvl="6">
      <w:start w:val="0"/>
      <w:numFmt w:val="bullet"/>
      <w:lvlText w:val="•"/>
      <w:lvlJc w:val="left"/>
      <w:pPr>
        <w:ind w:left="11363" w:hanging="437"/>
      </w:pPr>
      <w:rPr>
        <w:rFonts w:hint="default"/>
      </w:rPr>
    </w:lvl>
    <w:lvl w:ilvl="7">
      <w:start w:val="0"/>
      <w:numFmt w:val="bullet"/>
      <w:lvlText w:val="•"/>
      <w:lvlJc w:val="left"/>
      <w:pPr>
        <w:ind w:left="12987" w:hanging="437"/>
      </w:pPr>
      <w:rPr>
        <w:rFonts w:hint="default"/>
      </w:rPr>
    </w:lvl>
    <w:lvl w:ilvl="8">
      <w:start w:val="0"/>
      <w:numFmt w:val="bullet"/>
      <w:lvlText w:val="•"/>
      <w:lvlJc w:val="left"/>
      <w:pPr>
        <w:ind w:left="14611" w:hanging="437"/>
      </w:pPr>
      <w:rPr>
        <w:rFonts w:hint="default"/>
      </w:rPr>
    </w:lvl>
  </w:abstractNum>
  <w:abstractNum w:abstractNumId="5">
    <w:nsid w:val="7FA495F0"/>
    <w:multiLevelType w:val="hybridMultilevel"/>
    <w:tmpl w:val="00000000"/>
    <w:lvl w:ilvl="0">
      <w:start w:val="2"/>
      <w:numFmt w:val="decimal"/>
      <w:lvlText w:val="%1."/>
      <w:lvlJc w:val="left"/>
      <w:pPr>
        <w:ind w:left="2052" w:hanging="433"/>
        <w:jc w:val="right"/>
      </w:pPr>
      <w:rPr>
        <w:rFonts w:ascii="微软雅黑" w:eastAsia="微软雅黑" w:hAnsi="微软雅黑" w:cs="微软雅黑" w:hint="default"/>
        <w:b/>
        <w:bCs/>
        <w:spacing w:val="-1"/>
        <w:w w:val="99"/>
        <w:sz w:val="46"/>
        <w:szCs w:val="46"/>
      </w:rPr>
    </w:lvl>
    <w:lvl w:ilvl="1">
      <w:start w:val="2"/>
      <w:numFmt w:val="decimal"/>
      <w:lvlText w:val="%2."/>
      <w:lvlJc w:val="left"/>
      <w:pPr>
        <w:ind w:left="5519" w:hanging="299"/>
        <w:jc w:val="left"/>
      </w:pPr>
      <w:rPr>
        <w:rFonts w:ascii="微软雅黑" w:eastAsia="微软雅黑" w:hAnsi="微软雅黑" w:cs="微软雅黑" w:hint="default"/>
        <w:spacing w:val="-1"/>
        <w:w w:val="100"/>
        <w:sz w:val="34"/>
        <w:szCs w:val="34"/>
      </w:rPr>
    </w:lvl>
    <w:lvl w:ilvl="2">
      <w:start w:val="0"/>
      <w:numFmt w:val="bullet"/>
      <w:lvlText w:val="•"/>
      <w:lvlJc w:val="left"/>
      <w:pPr>
        <w:ind w:left="6891" w:hanging="299"/>
      </w:pPr>
      <w:rPr>
        <w:rFonts w:hint="default"/>
      </w:rPr>
    </w:lvl>
    <w:lvl w:ilvl="3">
      <w:start w:val="0"/>
      <w:numFmt w:val="bullet"/>
      <w:lvlText w:val="•"/>
      <w:lvlJc w:val="left"/>
      <w:pPr>
        <w:ind w:left="8262" w:hanging="299"/>
      </w:pPr>
      <w:rPr>
        <w:rFonts w:hint="default"/>
      </w:rPr>
    </w:lvl>
    <w:lvl w:ilvl="4">
      <w:start w:val="0"/>
      <w:numFmt w:val="bullet"/>
      <w:lvlText w:val="•"/>
      <w:lvlJc w:val="left"/>
      <w:pPr>
        <w:ind w:left="9633" w:hanging="299"/>
      </w:pPr>
      <w:rPr>
        <w:rFonts w:hint="default"/>
      </w:rPr>
    </w:lvl>
    <w:lvl w:ilvl="5">
      <w:start w:val="0"/>
      <w:numFmt w:val="bullet"/>
      <w:lvlText w:val="•"/>
      <w:lvlJc w:val="left"/>
      <w:pPr>
        <w:ind w:left="11004" w:hanging="299"/>
      </w:pPr>
      <w:rPr>
        <w:rFonts w:hint="default"/>
      </w:rPr>
    </w:lvl>
    <w:lvl w:ilvl="6">
      <w:start w:val="0"/>
      <w:numFmt w:val="bullet"/>
      <w:lvlText w:val="•"/>
      <w:lvlJc w:val="left"/>
      <w:pPr>
        <w:ind w:left="12375" w:hanging="299"/>
      </w:pPr>
      <w:rPr>
        <w:rFonts w:hint="default"/>
      </w:rPr>
    </w:lvl>
    <w:lvl w:ilvl="7">
      <w:start w:val="0"/>
      <w:numFmt w:val="bullet"/>
      <w:lvlText w:val="•"/>
      <w:lvlJc w:val="left"/>
      <w:pPr>
        <w:ind w:left="13746" w:hanging="299"/>
      </w:pPr>
      <w:rPr>
        <w:rFonts w:hint="default"/>
      </w:rPr>
    </w:lvl>
    <w:lvl w:ilvl="8">
      <w:start w:val="0"/>
      <w:numFmt w:val="bullet"/>
      <w:lvlText w:val="•"/>
      <w:lvlJc w:val="left"/>
      <w:pPr>
        <w:ind w:left="15117" w:hanging="299"/>
      </w:pPr>
      <w:rPr>
        <w:rFonts w:hint="default"/>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2052" w:hanging="433"/>
      <w:outlineLvl w:val="0"/>
    </w:pPr>
    <w:rPr>
      <w:rFonts w:ascii="微软雅黑" w:eastAsia="微软雅黑" w:hAnsi="微软雅黑" w:cs="微软雅黑"/>
      <w:b/>
      <w:bCs/>
      <w:sz w:val="48"/>
      <w:szCs w:val="48"/>
    </w:rPr>
  </w:style>
  <w:style w:type="paragraph" w:styleId="Heading2">
    <w:name w:val="heading 2"/>
    <w:basedOn w:val="Normal"/>
    <w:uiPriority w:val="1"/>
    <w:qFormat/>
    <w:pPr>
      <w:spacing w:before="1"/>
      <w:ind w:left="1620"/>
      <w:outlineLvl w:val="1"/>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6"/>
      <w:szCs w:val="36"/>
    </w:rPr>
  </w:style>
  <w:style w:type="paragraph" w:styleId="Title">
    <w:name w:val="Title"/>
    <w:basedOn w:val="Normal"/>
    <w:uiPriority w:val="1"/>
    <w:qFormat/>
    <w:pPr>
      <w:spacing w:before="7"/>
      <w:ind w:left="1620"/>
    </w:pPr>
    <w:rPr>
      <w:rFonts w:ascii="宋体" w:eastAsia="宋体" w:hAnsi="宋体" w:cs="宋体"/>
      <w:b/>
      <w:bCs/>
      <w:sz w:val="66"/>
      <w:szCs w:val="66"/>
    </w:rPr>
  </w:style>
  <w:style w:type="paragraph" w:styleId="ListParagraph">
    <w:name w:val="List Paragraph"/>
    <w:basedOn w:val="Normal"/>
    <w:uiPriority w:val="1"/>
    <w:qFormat/>
    <w:pPr>
      <w:spacing w:before="272"/>
      <w:ind w:left="2052" w:hanging="433"/>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2.pn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image" Target="media/image8.png" /><Relationship Id="rId4" Type="http://schemas.openxmlformats.org/officeDocument/2006/relationships/image" Target="media/image1.png" /><Relationship Id="rId40" Type="http://schemas.openxmlformats.org/officeDocument/2006/relationships/image" Target="media/image9.png"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0.png"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header" Target="head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image" Target="media/image15.png" /><Relationship Id="rId53" Type="http://schemas.openxmlformats.org/officeDocument/2006/relationships/hyperlink" Target="https://d.book118.com/456211105204010053" TargetMode="Externa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2024-02-03T12:24:48Z</dcterms:created>
  <dcterms:modified xsi:type="dcterms:W3CDTF">2024-02-03T12:24:48Z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2024-02-03T00:00:00Z</vt:filetime>
  </property>
</Properties>
</file>