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line="640" w:lineRule="exact"/>
        <w:ind w:firstLine="8200"/>
      </w:pPr>
      <w:r>
        <w:rPr>
          <w:position w:val="-12"/>
        </w:rPr>
        <w:drawing>
          <wp:inline distT="0" distB="0" distL="0" distR="0">
            <wp:extent cx="1822579" cy="40642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22579" cy="406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  <w:sectPr>
          <w:headerReference w:type="default" r:id="rId5"/>
          <w:pgSz w:w="11906" w:h="16838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237" w:line="183" w:lineRule="auto"/>
        <w:ind w:left="915"/>
        <w:outlineLvl w:val="0"/>
        <w:rPr>
          <w:rFonts w:ascii="Verdana" w:eastAsia="Verdana" w:hAnsi="Verdana" w:cs="Verdana"/>
          <w:sz w:val="78"/>
          <w:szCs w:val="78"/>
        </w:rPr>
      </w:pPr>
      <w:r>
        <w:rPr>
          <w:rFonts w:ascii="Verdana" w:eastAsia="Verdana" w:hAnsi="Verdana" w:cs="Verdana"/>
          <w:color w:val="FFFFFF"/>
          <w:spacing w:val="-34"/>
          <w:sz w:val="78"/>
          <w:szCs w:val="78"/>
        </w:rPr>
        <w:t>NEXT-GENERATION</w:t>
      </w:r>
    </w:p>
    <w:p>
      <w:pPr>
        <w:spacing w:before="256" w:line="183" w:lineRule="auto"/>
        <w:ind w:left="894"/>
        <w:rPr>
          <w:rFonts w:ascii="Verdana" w:eastAsia="Verdana" w:hAnsi="Verdana" w:cs="Verdana"/>
          <w:sz w:val="78"/>
          <w:szCs w:val="78"/>
        </w:rPr>
      </w:pPr>
      <w:r>
        <w:rPr>
          <w:rFonts w:ascii="Verdana" w:eastAsia="Verdana" w:hAnsi="Verdana" w:cs="Verdana"/>
          <w:color w:val="FFFFFF"/>
          <w:spacing w:val="-24"/>
          <w:sz w:val="78"/>
          <w:szCs w:val="78"/>
        </w:rPr>
        <w:t>CLINICAL DEVELOPMENT</w:t>
      </w:r>
    </w:p>
    <w:p>
      <w:pPr>
        <w:spacing w:before="203" w:line="237" w:lineRule="auto"/>
        <w:ind w:left="893"/>
        <w:rPr>
          <w:rFonts w:ascii="Verdana" w:eastAsia="Verdana" w:hAnsi="Verdana" w:cs="Verdana"/>
          <w:sz w:val="50"/>
          <w:szCs w:val="50"/>
        </w:rPr>
      </w:pPr>
      <w:r>
        <w:rPr>
          <w:rFonts w:ascii="Verdana" w:eastAsia="Verdana" w:hAnsi="Verdana" w:cs="Verdana"/>
          <w:color w:val="00B9E7"/>
          <w:spacing w:val="-37"/>
          <w:sz w:val="50"/>
          <w:szCs w:val="50"/>
        </w:rPr>
        <w:t>Driving</w:t>
      </w:r>
      <w:r>
        <w:rPr>
          <w:rFonts w:ascii="Verdana" w:eastAsia="Verdana" w:hAnsi="Verdana" w:cs="Verdana"/>
          <w:color w:val="00B9E7"/>
          <w:spacing w:val="-36"/>
          <w:sz w:val="50"/>
          <w:szCs w:val="50"/>
        </w:rPr>
        <w:t xml:space="preserve"> </w:t>
      </w:r>
      <w:r>
        <w:rPr>
          <w:rFonts w:ascii="Verdana" w:eastAsia="Verdana" w:hAnsi="Verdana" w:cs="Verdana"/>
          <w:color w:val="00B9E7"/>
          <w:spacing w:val="-37"/>
          <w:sz w:val="50"/>
          <w:szCs w:val="50"/>
        </w:rPr>
        <w:t>success and time-to-market</w:t>
      </w:r>
    </w:p>
    <w:p>
      <w:pPr>
        <w:spacing w:before="3" w:line="227" w:lineRule="auto"/>
        <w:ind w:left="883"/>
        <w:rPr>
          <w:rFonts w:ascii="Verdana" w:eastAsia="Verdana" w:hAnsi="Verdana" w:cs="Verdana"/>
          <w:sz w:val="50"/>
          <w:szCs w:val="50"/>
        </w:rPr>
      </w:pPr>
      <w:r>
        <w:rPr>
          <w:rFonts w:ascii="Verdana" w:eastAsia="Verdana" w:hAnsi="Verdana" w:cs="Verdana"/>
          <w:color w:val="00B9E7"/>
          <w:spacing w:val="-31"/>
          <w:sz w:val="50"/>
          <w:szCs w:val="50"/>
        </w:rPr>
        <w:t>in clinical</w:t>
      </w:r>
      <w:r>
        <w:rPr>
          <w:rFonts w:ascii="Verdana" w:eastAsia="Verdana" w:hAnsi="Verdana" w:cs="Verdana"/>
          <w:color w:val="00B9E7"/>
          <w:spacing w:val="-33"/>
          <w:sz w:val="50"/>
          <w:szCs w:val="50"/>
        </w:rPr>
        <w:t xml:space="preserve"> </w:t>
      </w:r>
      <w:r>
        <w:rPr>
          <w:rFonts w:ascii="Verdana" w:eastAsia="Verdana" w:hAnsi="Verdana" w:cs="Verdana"/>
          <w:color w:val="00B9E7"/>
          <w:spacing w:val="-31"/>
          <w:sz w:val="50"/>
          <w:szCs w:val="50"/>
        </w:rPr>
        <w:t>drug</w:t>
      </w:r>
      <w:r>
        <w:rPr>
          <w:rFonts w:ascii="Verdana" w:eastAsia="Verdana" w:hAnsi="Verdana" w:cs="Verdana"/>
          <w:color w:val="00B9E7"/>
          <w:spacing w:val="-33"/>
          <w:sz w:val="50"/>
          <w:szCs w:val="50"/>
        </w:rPr>
        <w:t xml:space="preserve"> </w:t>
      </w:r>
      <w:r>
        <w:rPr>
          <w:rFonts w:ascii="Verdana" w:eastAsia="Verdana" w:hAnsi="Verdana" w:cs="Verdana"/>
          <w:color w:val="00B9E7"/>
          <w:spacing w:val="-31"/>
          <w:sz w:val="50"/>
          <w:szCs w:val="50"/>
        </w:rPr>
        <w:t>deve</w:t>
      </w:r>
      <w:r>
        <w:rPr>
          <w:rFonts w:ascii="Verdana" w:eastAsia="Verdana" w:hAnsi="Verdana" w:cs="Verdana"/>
          <w:color w:val="00B9E7"/>
          <w:spacing w:val="-32"/>
          <w:sz w:val="50"/>
          <w:szCs w:val="50"/>
        </w:rPr>
        <w:t>lopment</w:t>
      </w:r>
    </w:p>
    <w:p>
      <w:pPr>
        <w:pStyle w:val="BodyText"/>
        <w:spacing w:line="374" w:lineRule="auto"/>
      </w:pPr>
    </w:p>
    <w:p>
      <w:pPr>
        <w:spacing w:before="71" w:line="228" w:lineRule="auto"/>
        <w:ind w:left="835"/>
        <w:rPr>
          <w:rFonts w:ascii="Verdana" w:eastAsia="Verdana" w:hAnsi="Verdana" w:cs="Verdana"/>
          <w:sz w:val="23"/>
          <w:szCs w:val="23"/>
        </w:rPr>
      </w:pPr>
      <w:r>
        <w:rPr>
          <w:rFonts w:ascii="Verdana" w:eastAsia="Verdana" w:hAnsi="Verdana" w:cs="Verdana"/>
          <w:color w:val="FFFFFF"/>
          <w:spacing w:val="-14"/>
          <w:sz w:val="23"/>
          <w:szCs w:val="23"/>
        </w:rPr>
        <w:t>www.capgemini.com</w:t>
      </w:r>
    </w:p>
    <w:p>
      <w:pPr>
        <w:spacing w:line="228" w:lineRule="auto"/>
        <w:rPr>
          <w:rFonts w:ascii="Verdana" w:eastAsia="Verdana" w:hAnsi="Verdana" w:cs="Verdana"/>
          <w:sz w:val="23"/>
          <w:szCs w:val="23"/>
        </w:rPr>
        <w:sectPr>
          <w:headerReference w:type="default" r:id="rId6"/>
          <w:type w:val="nextPage"/>
          <w:pgSz w:w="11906" w:h="16838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line="6615" w:lineRule="exact"/>
      </w:pPr>
      <w:r>
        <w:rPr>
          <w:position w:val="-132"/>
        </w:rPr>
        <w:drawing>
          <wp:inline distT="0" distB="0" distL="0" distR="0">
            <wp:extent cx="7559992" cy="420068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9992" cy="420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2" w:line="228" w:lineRule="auto"/>
        <w:ind w:left="853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color w:val="FFFFFF"/>
          <w:spacing w:val="-10"/>
          <w:sz w:val="20"/>
          <w:szCs w:val="20"/>
        </w:rPr>
        <w:t>The</w:t>
      </w:r>
      <w:r>
        <w:rPr>
          <w:rFonts w:ascii="Verdana" w:eastAsia="Verdana" w:hAnsi="Verdana" w:cs="Verdana"/>
          <w:color w:val="FFFFFF"/>
          <w:spacing w:val="-17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0"/>
          <w:sz w:val="20"/>
          <w:szCs w:val="20"/>
        </w:rPr>
        <w:t>clinical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0"/>
          <w:sz w:val="20"/>
          <w:szCs w:val="20"/>
        </w:rPr>
        <w:t>drug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0"/>
          <w:sz w:val="20"/>
          <w:szCs w:val="20"/>
        </w:rPr>
        <w:t>develo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pment market is teeming</w:t>
      </w:r>
      <w:r>
        <w:rPr>
          <w:rFonts w:ascii="Verdana" w:eastAsia="Verdana" w:hAnsi="Verdana" w:cs="Verdana"/>
          <w:color w:val="FFFFFF"/>
          <w:spacing w:val="-25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with innovation,</w:t>
      </w:r>
      <w:r>
        <w:rPr>
          <w:rFonts w:ascii="Verdana" w:eastAsia="Verdana" w:hAnsi="Verdana" w:cs="Verdana"/>
          <w:color w:val="FFFFFF"/>
          <w:spacing w:val="-15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including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cell</w:t>
      </w:r>
      <w:r>
        <w:rPr>
          <w:rFonts w:ascii="Verdana" w:eastAsia="Verdana" w:hAnsi="Verdana" w:cs="Verdana"/>
          <w:color w:val="FFFFFF"/>
          <w:spacing w:val="-19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and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gene</w:t>
      </w:r>
      <w:r>
        <w:rPr>
          <w:rFonts w:ascii="Verdana" w:eastAsia="Verdana" w:hAnsi="Verdana" w:cs="Verdana"/>
          <w:color w:val="FFFFFF"/>
          <w:spacing w:val="-13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therapies,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digital</w:t>
      </w:r>
    </w:p>
    <w:p>
      <w:pPr>
        <w:spacing w:before="29" w:line="228" w:lineRule="auto"/>
        <w:ind w:left="865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therapeutics, personalized medicine</w:t>
      </w:r>
      <w:r>
        <w:rPr>
          <w:rFonts w:ascii="Verdana" w:eastAsia="Verdana" w:hAnsi="Verdana" w:cs="Verdana"/>
          <w:color w:val="FFFFFF"/>
          <w:spacing w:val="-19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and biomarkers,</w:t>
      </w:r>
      <w:r>
        <w:rPr>
          <w:rFonts w:ascii="Verdana" w:eastAsia="Verdana" w:hAnsi="Verdana" w:cs="Verdana"/>
          <w:color w:val="FFFFFF"/>
          <w:spacing w:val="-20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and the integration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of</w:t>
      </w:r>
      <w:r>
        <w:rPr>
          <w:rFonts w:ascii="Verdana" w:eastAsia="Verdana" w:hAnsi="Verdana" w:cs="Verdana"/>
          <w:color w:val="FFFFFF"/>
          <w:spacing w:val="-19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drugs</w:t>
      </w:r>
      <w:r>
        <w:rPr>
          <w:rFonts w:ascii="Verdana" w:eastAsia="Verdana" w:hAnsi="Verdana" w:cs="Verdana"/>
          <w:color w:val="FFFFFF"/>
          <w:spacing w:val="-20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a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>nd medical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>devices.</w:t>
      </w:r>
    </w:p>
    <w:p>
      <w:pPr>
        <w:spacing w:before="29" w:line="261" w:lineRule="auto"/>
        <w:ind w:left="858" w:right="1276" w:firstLine="8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color w:val="FFFFFF"/>
          <w:spacing w:val="-10"/>
          <w:sz w:val="20"/>
          <w:szCs w:val="20"/>
        </w:rPr>
        <w:t>However,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0"/>
          <w:sz w:val="20"/>
          <w:szCs w:val="20"/>
        </w:rPr>
        <w:t>despite these br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eakthroughs, many life</w:t>
      </w:r>
      <w:r>
        <w:rPr>
          <w:rFonts w:ascii="Verdana" w:eastAsia="Verdana" w:hAnsi="Verdana" w:cs="Verdana"/>
          <w:color w:val="FFFFFF"/>
          <w:spacing w:val="-20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sciences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organizations</w:t>
      </w:r>
      <w:r>
        <w:rPr>
          <w:rFonts w:ascii="Verdana" w:eastAsia="Verdana" w:hAnsi="Verdana" w:cs="Verdana"/>
          <w:color w:val="FFFFFF"/>
          <w:spacing w:val="-20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are notable</w:t>
      </w:r>
      <w:r>
        <w:rPr>
          <w:rFonts w:ascii="Verdana" w:eastAsia="Verdana" w:hAnsi="Verdana" w:cs="Verdana"/>
          <w:color w:val="FFFFFF"/>
          <w:spacing w:val="-13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to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fully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capitalize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on</w:t>
      </w:r>
      <w:r>
        <w:rPr>
          <w:rFonts w:ascii="Verdana" w:eastAsia="Verdana" w:hAnsi="Verdana" w:cs="Verdana"/>
          <w:color w:val="FFFFFF"/>
          <w:spacing w:val="-13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the</w:t>
      </w:r>
      <w:r>
        <w:rPr>
          <w:rFonts w:ascii="Verdana" w:eastAsia="Verdana" w:hAnsi="Verdana" w:cs="Verdana"/>
          <w:color w:val="FFFFFF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>advancements.</w:t>
      </w:r>
    </w:p>
    <w:p>
      <w:pPr>
        <w:spacing w:before="104" w:line="242" w:lineRule="auto"/>
        <w:ind w:left="862" w:right="1006" w:hanging="11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A</w:t>
      </w:r>
      <w:r>
        <w:rPr>
          <w:rFonts w:ascii="Verdana" w:eastAsia="Verdana" w:hAnsi="Verdana" w:cs="Verdana"/>
          <w:color w:val="FFFFFF"/>
          <w:spacing w:val="-3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dramatic increase in the number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of</w:t>
      </w:r>
      <w:r>
        <w:rPr>
          <w:rFonts w:ascii="Verdana" w:eastAsia="Verdana" w:hAnsi="Verdana" w:cs="Verdana"/>
          <w:color w:val="FFFFFF"/>
          <w:spacing w:val="-20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clinical</w:t>
      </w:r>
      <w:r>
        <w:rPr>
          <w:rFonts w:ascii="Verdana" w:eastAsia="Verdana" w:hAnsi="Verdana" w:cs="Verdana"/>
          <w:color w:val="FFFFFF"/>
          <w:spacing w:val="-13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trials,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compounded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by</w:t>
      </w:r>
      <w:r>
        <w:rPr>
          <w:rFonts w:ascii="Verdana" w:eastAsia="Verdana" w:hAnsi="Verdana" w:cs="Verdana"/>
          <w:color w:val="FFFFFF"/>
          <w:spacing w:val="-13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the</w:t>
      </w:r>
      <w:r>
        <w:rPr>
          <w:rFonts w:ascii="Verdana" w:eastAsia="Verdana" w:hAnsi="Verdana" w:cs="Verdana"/>
          <w:color w:val="FFFFFF"/>
          <w:spacing w:val="-15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intricacies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of</w:t>
      </w:r>
      <w:r>
        <w:rPr>
          <w:rFonts w:ascii="Verdana" w:eastAsia="Verdana" w:hAnsi="Verdana" w:cs="Verdana"/>
          <w:color w:val="FFFFFF"/>
          <w:spacing w:val="-14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new</w:t>
      </w:r>
      <w:r>
        <w:rPr>
          <w:rFonts w:ascii="Verdana" w:eastAsia="Verdana" w:hAnsi="Verdana" w:cs="Verdana"/>
          <w:color w:val="FFFFFF"/>
          <w:spacing w:val="-14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therapeutic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platforms,</w:t>
      </w:r>
      <w:r>
        <w:rPr>
          <w:rFonts w:ascii="Verdana" w:eastAsia="Verdana" w:hAnsi="Verdana" w:cs="Verdana"/>
          <w:color w:val="FFFFFF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0"/>
          <w:sz w:val="20"/>
          <w:szCs w:val="20"/>
        </w:rPr>
        <w:t>increased regulatory</w:t>
      </w:r>
      <w:r>
        <w:rPr>
          <w:rFonts w:ascii="Verdana" w:eastAsia="Verdana" w:hAnsi="Verdana" w:cs="Verdana"/>
          <w:color w:val="FFFFFF"/>
          <w:spacing w:val="-17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0"/>
          <w:sz w:val="20"/>
          <w:szCs w:val="20"/>
        </w:rPr>
        <w:t>constraints,</w:t>
      </w:r>
      <w:r>
        <w:rPr>
          <w:rFonts w:ascii="Verdana" w:eastAsia="Verdana" w:hAnsi="Verdana" w:cs="Verdana"/>
          <w:color w:val="FFFFFF"/>
          <w:spacing w:val="-19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0"/>
          <w:sz w:val="20"/>
          <w:szCs w:val="20"/>
        </w:rPr>
        <w:t>and intensified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0"/>
          <w:sz w:val="20"/>
          <w:szCs w:val="20"/>
        </w:rPr>
        <w:t>competition, has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0"/>
          <w:sz w:val="20"/>
          <w:szCs w:val="20"/>
        </w:rPr>
        <w:t>created unprecedented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0"/>
          <w:sz w:val="20"/>
          <w:szCs w:val="20"/>
        </w:rPr>
        <w:t>complexity for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0"/>
          <w:sz w:val="20"/>
          <w:szCs w:val="20"/>
        </w:rPr>
        <w:t>life</w:t>
      </w:r>
    </w:p>
    <w:p>
      <w:pPr>
        <w:spacing w:before="30" w:line="242" w:lineRule="auto"/>
        <w:ind w:left="860" w:right="1056" w:hanging="2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>sciences organizations.</w:t>
      </w:r>
      <w:r>
        <w:rPr>
          <w:rFonts w:ascii="Verdana" w:eastAsia="Verdana" w:hAnsi="Verdana" w:cs="Verdana"/>
          <w:color w:val="FFFFFF"/>
          <w:spacing w:val="-26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>As</w:t>
      </w:r>
      <w:r>
        <w:rPr>
          <w:rFonts w:ascii="Verdana" w:eastAsia="Verdana" w:hAnsi="Verdana" w:cs="Verdana"/>
          <w:color w:val="FFFFFF"/>
          <w:spacing w:val="-20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>a result, the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>drug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>de</w:t>
      </w:r>
      <w:r>
        <w:rPr>
          <w:rFonts w:ascii="Verdana" w:eastAsia="Verdana" w:hAnsi="Verdana" w:cs="Verdana"/>
          <w:color w:val="FFFFFF"/>
          <w:spacing w:val="-13"/>
          <w:sz w:val="20"/>
          <w:szCs w:val="20"/>
        </w:rPr>
        <w:t>velopment</w:t>
      </w:r>
      <w:r>
        <w:rPr>
          <w:rFonts w:ascii="Verdana" w:eastAsia="Verdana" w:hAnsi="Verdana" w:cs="Verdana"/>
          <w:color w:val="FFFFFF"/>
          <w:spacing w:val="-20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3"/>
          <w:sz w:val="20"/>
          <w:szCs w:val="20"/>
        </w:rPr>
        <w:t>success rate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3"/>
          <w:sz w:val="20"/>
          <w:szCs w:val="20"/>
        </w:rPr>
        <w:t>remains</w:t>
      </w:r>
      <w:r>
        <w:rPr>
          <w:rFonts w:ascii="Verdana" w:eastAsia="Verdana" w:hAnsi="Verdana" w:cs="Verdana"/>
          <w:color w:val="FFFFFF"/>
          <w:spacing w:val="-20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3"/>
          <w:sz w:val="20"/>
          <w:szCs w:val="20"/>
        </w:rPr>
        <w:t>stubbornly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3"/>
          <w:sz w:val="20"/>
          <w:szCs w:val="20"/>
        </w:rPr>
        <w:t>low,</w:t>
      </w:r>
      <w:r>
        <w:rPr>
          <w:rFonts w:ascii="Verdana" w:eastAsia="Verdana" w:hAnsi="Verdana" w:cs="Verdana"/>
          <w:color w:val="FFFFFF"/>
          <w:spacing w:val="-25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3"/>
          <w:sz w:val="20"/>
          <w:szCs w:val="20"/>
        </w:rPr>
        <w:t>with</w:t>
      </w:r>
      <w:r>
        <w:rPr>
          <w:rFonts w:ascii="Verdana" w:eastAsia="Verdana" w:hAnsi="Verdana" w:cs="Verdana"/>
          <w:color w:val="FFFFFF"/>
          <w:spacing w:val="-41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3"/>
          <w:sz w:val="20"/>
          <w:szCs w:val="20"/>
        </w:rPr>
        <w:t>just</w:t>
      </w:r>
      <w:r>
        <w:rPr>
          <w:rFonts w:ascii="Verdana" w:eastAsia="Verdana" w:hAnsi="Verdana" w:cs="Verdana"/>
          <w:color w:val="FFFFFF"/>
          <w:spacing w:val="-10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3"/>
          <w:sz w:val="20"/>
          <w:szCs w:val="20"/>
        </w:rPr>
        <w:t>10-15%</w:t>
      </w:r>
      <w:r>
        <w:rPr>
          <w:rFonts w:ascii="Verdana" w:eastAsia="Verdana" w:hAnsi="Verdana" w:cs="Verdana"/>
          <w:color w:val="FFFFFF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>of new</w:t>
      </w:r>
      <w:r>
        <w:rPr>
          <w:rFonts w:ascii="Verdana" w:eastAsia="Verdana" w:hAnsi="Verdana" w:cs="Verdana"/>
          <w:color w:val="FFFFFF"/>
          <w:spacing w:val="1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>treatments making</w:t>
      </w:r>
      <w:r>
        <w:rPr>
          <w:rFonts w:ascii="Verdana" w:eastAsia="Verdana" w:hAnsi="Verdana" w:cs="Verdana"/>
          <w:color w:val="FFFFFF"/>
          <w:spacing w:val="-15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>it</w:t>
      </w:r>
      <w:r>
        <w:rPr>
          <w:rFonts w:ascii="Verdana" w:eastAsia="Verdana" w:hAnsi="Verdana" w:cs="Verdana"/>
          <w:color w:val="FFFFFF"/>
          <w:spacing w:val="-13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>to market.</w:t>
      </w:r>
    </w:p>
    <w:p>
      <w:pPr>
        <w:spacing w:before="143" w:line="247" w:lineRule="auto"/>
        <w:ind w:left="860" w:right="994" w:firstLine="7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color w:val="FFFFFF"/>
          <w:spacing w:val="-10"/>
          <w:sz w:val="20"/>
          <w:szCs w:val="20"/>
        </w:rPr>
        <w:t>In this</w:t>
      </w:r>
      <w:r>
        <w:rPr>
          <w:rFonts w:ascii="Verdana" w:eastAsia="Verdana" w:hAnsi="Verdana" w:cs="Verdana"/>
          <w:color w:val="FFFFFF"/>
          <w:spacing w:val="-20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0"/>
          <w:sz w:val="20"/>
          <w:szCs w:val="20"/>
        </w:rPr>
        <w:t>article,</w:t>
      </w:r>
      <w:r>
        <w:rPr>
          <w:rFonts w:ascii="Verdana" w:eastAsia="Verdana" w:hAnsi="Verdana" w:cs="Verdana"/>
          <w:color w:val="FFFFFF"/>
          <w:spacing w:val="-24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0"/>
          <w:sz w:val="20"/>
          <w:szCs w:val="20"/>
        </w:rPr>
        <w:t>we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0"/>
          <w:sz w:val="20"/>
          <w:szCs w:val="20"/>
        </w:rPr>
        <w:t>explore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0"/>
          <w:sz w:val="20"/>
          <w:szCs w:val="20"/>
        </w:rPr>
        <w:t>one key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0"/>
          <w:sz w:val="20"/>
          <w:szCs w:val="20"/>
        </w:rPr>
        <w:t>element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0"/>
          <w:sz w:val="20"/>
          <w:szCs w:val="20"/>
        </w:rPr>
        <w:t>o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f the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development</w:t>
      </w:r>
      <w:r>
        <w:rPr>
          <w:rFonts w:ascii="Verdana" w:eastAsia="Verdana" w:hAnsi="Verdana" w:cs="Verdana"/>
          <w:color w:val="FFFFFF"/>
          <w:spacing w:val="-17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cycle—the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clinical trial—and how</w:t>
      </w:r>
      <w:r>
        <w:rPr>
          <w:rFonts w:ascii="Verdana" w:eastAsia="Verdana" w:hAnsi="Verdana" w:cs="Verdana"/>
          <w:color w:val="FFFFFF"/>
          <w:spacing w:val="-14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the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emergence</w:t>
      </w:r>
      <w:r>
        <w:rPr>
          <w:rFonts w:ascii="Verdana" w:eastAsia="Verdana" w:hAnsi="Verdana" w:cs="Verdana"/>
          <w:color w:val="FFFFFF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of powerful new digital</w:t>
      </w:r>
      <w:r>
        <w:rPr>
          <w:rFonts w:ascii="Verdana" w:eastAsia="Verdana" w:hAnsi="Verdana" w:cs="Verdana"/>
          <w:color w:val="FFFFFF"/>
          <w:spacing w:val="-19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and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data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capabilities,</w:t>
      </w:r>
      <w:r>
        <w:rPr>
          <w:rFonts w:ascii="Verdana" w:eastAsia="Verdana" w:hAnsi="Verdana" w:cs="Verdana"/>
          <w:color w:val="FFFFFF"/>
          <w:spacing w:val="-20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as</w:t>
      </w:r>
      <w:r>
        <w:rPr>
          <w:rFonts w:ascii="Verdana" w:eastAsia="Verdana" w:hAnsi="Verdana" w:cs="Verdana"/>
          <w:color w:val="FFFFFF"/>
          <w:spacing w:val="-24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well</w:t>
      </w:r>
      <w:r>
        <w:rPr>
          <w:rFonts w:ascii="Verdana" w:eastAsia="Verdana" w:hAnsi="Verdana" w:cs="Verdana"/>
          <w:color w:val="FFFFFF"/>
          <w:spacing w:val="-20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as new</w:t>
      </w:r>
      <w:r>
        <w:rPr>
          <w:rFonts w:ascii="Verdana" w:eastAsia="Verdana" w:hAnsi="Verdana" w:cs="Verdana"/>
          <w:color w:val="FFFFFF"/>
          <w:spacing w:val="-13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trial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design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>s,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>can help</w:t>
      </w:r>
      <w:r>
        <w:rPr>
          <w:rFonts w:ascii="Verdana" w:eastAsia="Verdana" w:hAnsi="Verdana" w:cs="Verdana"/>
          <w:color w:val="FFFFFF"/>
          <w:spacing w:val="-18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>companies</w:t>
      </w:r>
      <w:r>
        <w:rPr>
          <w:rFonts w:ascii="Verdana" w:eastAsia="Verdana" w:hAnsi="Verdana" w:cs="Verdana"/>
          <w:color w:val="FFFFFF"/>
          <w:spacing w:val="-15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>increase program</w:t>
      </w:r>
      <w:r>
        <w:rPr>
          <w:rFonts w:ascii="Verdana" w:eastAsia="Verdana" w:hAnsi="Verdana" w:cs="Verdana"/>
          <w:color w:val="FFFFFF"/>
          <w:sz w:val="20"/>
          <w:szCs w:val="20"/>
        </w:rPr>
        <w:t xml:space="preserve"> 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efficiency,</w:t>
      </w:r>
      <w:r>
        <w:rPr>
          <w:rFonts w:ascii="Verdana" w:eastAsia="Verdana" w:hAnsi="Verdana" w:cs="Verdana"/>
          <w:color w:val="FFFFFF"/>
          <w:spacing w:val="-20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speed,</w:t>
      </w:r>
      <w:r>
        <w:rPr>
          <w:rFonts w:ascii="Verdana" w:eastAsia="Verdana" w:hAnsi="Verdana" w:cs="Verdana"/>
          <w:color w:val="FFFFFF"/>
          <w:spacing w:val="-20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and</w:t>
      </w:r>
      <w:r>
        <w:rPr>
          <w:rFonts w:ascii="Verdana" w:eastAsia="Verdana" w:hAnsi="Verdana" w:cs="Verdana"/>
          <w:color w:val="FFFFFF"/>
          <w:spacing w:val="-19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access, driving outcomes</w:t>
      </w:r>
      <w:r>
        <w:rPr>
          <w:rFonts w:ascii="Verdana" w:eastAsia="Verdana" w:hAnsi="Verdana" w:cs="Verdana"/>
          <w:color w:val="FFFFFF"/>
          <w:spacing w:val="-13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for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1"/>
          <w:sz w:val="20"/>
          <w:szCs w:val="20"/>
        </w:rPr>
        <w:t>bot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>h</w:t>
      </w:r>
      <w:r>
        <w:rPr>
          <w:rFonts w:ascii="Verdana" w:eastAsia="Verdana" w:hAnsi="Verdana" w:cs="Verdana"/>
          <w:color w:val="FFFFFF"/>
          <w:spacing w:val="-13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>the business</w:t>
      </w:r>
      <w:r>
        <w:rPr>
          <w:rFonts w:ascii="Verdana" w:eastAsia="Verdana" w:hAnsi="Verdana" w:cs="Verdana"/>
          <w:color w:val="FFFFFF"/>
          <w:spacing w:val="-20"/>
          <w:sz w:val="20"/>
          <w:szCs w:val="20"/>
        </w:rPr>
        <w:t xml:space="preserve"> </w:t>
      </w:r>
      <w:r>
        <w:rPr>
          <w:rFonts w:ascii="Verdana" w:eastAsia="Verdana" w:hAnsi="Verdana" w:cs="Verdana"/>
          <w:color w:val="FFFFFF"/>
          <w:spacing w:val="-12"/>
          <w:sz w:val="20"/>
          <w:szCs w:val="20"/>
        </w:rPr>
        <w:t>and patients.</w:t>
      </w:r>
    </w:p>
    <w:p>
      <w:pPr>
        <w:spacing w:before="161"/>
      </w:pPr>
    </w:p>
    <w:tbl>
      <w:tblPr>
        <w:tblStyle w:val="TableNormal0"/>
        <w:tblW w:w="10204" w:type="dxa"/>
        <w:tblInd w:w="850" w:type="dxa"/>
        <w:tblBorders>
          <w:top w:val="single" w:sz="16" w:space="0" w:color="00B9E7"/>
          <w:left w:val="single" w:sz="16" w:space="0" w:color="00B9E7"/>
          <w:bottom w:val="single" w:sz="16" w:space="0" w:color="00B9E7"/>
          <w:right w:val="single" w:sz="16" w:space="0" w:color="00B9E7"/>
        </w:tblBorders>
        <w:tblLayout w:type="fixed"/>
      </w:tblPr>
      <w:tblGrid>
        <w:gridCol w:w="10204"/>
      </w:tblGrid>
      <w:tr>
        <w:tblPrEx>
          <w:tblW w:w="10204" w:type="dxa"/>
          <w:tblInd w:w="850" w:type="dxa"/>
          <w:tblBorders>
            <w:top w:val="single" w:sz="16" w:space="0" w:color="00B9E7"/>
            <w:left w:val="single" w:sz="16" w:space="0" w:color="00B9E7"/>
            <w:bottom w:val="single" w:sz="16" w:space="0" w:color="00B9E7"/>
            <w:right w:val="single" w:sz="16" w:space="0" w:color="00B9E7"/>
          </w:tblBorders>
          <w:tblLayout w:type="fixed"/>
        </w:tblPrEx>
        <w:trPr>
          <w:trHeight w:val="1450"/>
        </w:trPr>
        <w:tc>
          <w:tcPr>
            <w:tcW w:w="10204" w:type="dxa"/>
            <w:vAlign w:val="top"/>
          </w:tcPr>
          <w:p>
            <w:pPr>
              <w:pStyle w:val="TableText"/>
              <w:spacing w:before="123" w:line="236" w:lineRule="auto"/>
              <w:ind w:left="150"/>
              <w:rPr>
                <w:sz w:val="28"/>
                <w:szCs w:val="28"/>
              </w:rPr>
            </w:pPr>
            <w:r>
              <w:rPr>
                <w:color w:val="00B9E7"/>
                <w:spacing w:val="-13"/>
                <w:sz w:val="28"/>
                <w:szCs w:val="28"/>
              </w:rPr>
              <w:t>What is a next-generation</w:t>
            </w:r>
            <w:r>
              <w:rPr>
                <w:color w:val="00B9E7"/>
                <w:spacing w:val="-18"/>
                <w:sz w:val="28"/>
                <w:szCs w:val="28"/>
              </w:rPr>
              <w:t xml:space="preserve"> </w:t>
            </w:r>
            <w:r>
              <w:rPr>
                <w:color w:val="00B9E7"/>
                <w:spacing w:val="-14"/>
                <w:sz w:val="28"/>
                <w:szCs w:val="28"/>
              </w:rPr>
              <w:t>clinical</w:t>
            </w:r>
            <w:r>
              <w:rPr>
                <w:color w:val="00B9E7"/>
                <w:spacing w:val="-19"/>
                <w:sz w:val="28"/>
                <w:szCs w:val="28"/>
              </w:rPr>
              <w:t xml:space="preserve"> </w:t>
            </w:r>
            <w:r>
              <w:rPr>
                <w:color w:val="00B9E7"/>
                <w:spacing w:val="-14"/>
                <w:sz w:val="28"/>
                <w:szCs w:val="28"/>
              </w:rPr>
              <w:t>development?</w:t>
            </w:r>
          </w:p>
          <w:p>
            <w:pPr>
              <w:pStyle w:val="TableText"/>
              <w:spacing w:before="138" w:line="220" w:lineRule="auto"/>
              <w:ind w:left="143" w:right="588"/>
            </w:pPr>
            <w:r>
              <w:rPr>
                <w:color w:val="00B9E7"/>
                <w:spacing w:val="-10"/>
              </w:rPr>
              <w:t>A next-generation clinical tr</w:t>
            </w:r>
            <w:r>
              <w:rPr>
                <w:color w:val="00B9E7"/>
                <w:spacing w:val="-11"/>
              </w:rPr>
              <w:t>ial is a project that leverages advanced</w:t>
            </w:r>
            <w:r>
              <w:rPr>
                <w:color w:val="00B9E7"/>
                <w:spacing w:val="-14"/>
              </w:rPr>
              <w:t xml:space="preserve"> </w:t>
            </w:r>
            <w:r>
              <w:rPr>
                <w:color w:val="00B9E7"/>
                <w:spacing w:val="-11"/>
              </w:rPr>
              <w:t>digital</w:t>
            </w:r>
            <w:r>
              <w:rPr>
                <w:color w:val="00B9E7"/>
                <w:spacing w:val="-15"/>
              </w:rPr>
              <w:t xml:space="preserve"> </w:t>
            </w:r>
            <w:r>
              <w:rPr>
                <w:color w:val="00B9E7"/>
                <w:spacing w:val="-11"/>
              </w:rPr>
              <w:t>and</w:t>
            </w:r>
            <w:r>
              <w:rPr>
                <w:color w:val="00B9E7"/>
                <w:spacing w:val="-13"/>
              </w:rPr>
              <w:t xml:space="preserve"> </w:t>
            </w:r>
            <w:r>
              <w:rPr>
                <w:color w:val="00B9E7"/>
                <w:spacing w:val="-11"/>
              </w:rPr>
              <w:t>data</w:t>
            </w:r>
            <w:r>
              <w:rPr>
                <w:color w:val="00B9E7"/>
                <w:spacing w:val="-13"/>
              </w:rPr>
              <w:t xml:space="preserve"> </w:t>
            </w:r>
            <w:r>
              <w:rPr>
                <w:color w:val="00B9E7"/>
                <w:spacing w:val="-11"/>
              </w:rPr>
              <w:t>capabilities,</w:t>
            </w:r>
            <w:r>
              <w:rPr>
                <w:color w:val="00B9E7"/>
                <w:spacing w:val="-10"/>
              </w:rPr>
              <w:t xml:space="preserve"> </w:t>
            </w:r>
            <w:r>
              <w:rPr>
                <w:color w:val="00B9E7"/>
                <w:spacing w:val="-11"/>
              </w:rPr>
              <w:t>including</w:t>
            </w:r>
            <w:r>
              <w:rPr>
                <w:color w:val="00B9E7"/>
              </w:rPr>
              <w:t xml:space="preserve"> </w:t>
            </w:r>
            <w:r>
              <w:rPr>
                <w:color w:val="00B9E7"/>
                <w:spacing w:val="-12"/>
              </w:rPr>
              <w:t>AI and generative</w:t>
            </w:r>
            <w:r>
              <w:rPr>
                <w:color w:val="00B9E7"/>
                <w:spacing w:val="-22"/>
              </w:rPr>
              <w:t xml:space="preserve"> </w:t>
            </w:r>
            <w:r>
              <w:rPr>
                <w:color w:val="00B9E7"/>
                <w:spacing w:val="-12"/>
              </w:rPr>
              <w:t>AI, to manage multiple data</w:t>
            </w:r>
            <w:r>
              <w:rPr>
                <w:color w:val="00B9E7"/>
                <w:spacing w:val="-15"/>
              </w:rPr>
              <w:t xml:space="preserve"> </w:t>
            </w:r>
            <w:r>
              <w:rPr>
                <w:color w:val="00B9E7"/>
                <w:spacing w:val="-12"/>
              </w:rPr>
              <w:t>sources,</w:t>
            </w:r>
            <w:r>
              <w:rPr>
                <w:color w:val="00B9E7"/>
                <w:spacing w:val="-13"/>
              </w:rPr>
              <w:t xml:space="preserve"> </w:t>
            </w:r>
            <w:r>
              <w:rPr>
                <w:color w:val="00B9E7"/>
                <w:spacing w:val="-12"/>
              </w:rPr>
              <w:t>enable new</w:t>
            </w:r>
            <w:r>
              <w:rPr>
                <w:color w:val="00B9E7"/>
                <w:spacing w:val="-14"/>
              </w:rPr>
              <w:t xml:space="preserve"> </w:t>
            </w:r>
            <w:r>
              <w:rPr>
                <w:color w:val="00B9E7"/>
                <w:spacing w:val="-12"/>
              </w:rPr>
              <w:t>design formats,</w:t>
            </w:r>
            <w:r>
              <w:rPr>
                <w:color w:val="00B9E7"/>
                <w:spacing w:val="-15"/>
              </w:rPr>
              <w:t xml:space="preserve"> </w:t>
            </w:r>
            <w:r>
              <w:rPr>
                <w:color w:val="00B9E7"/>
                <w:spacing w:val="-12"/>
              </w:rPr>
              <w:t xml:space="preserve">and unlock </w:t>
            </w:r>
            <w:r>
              <w:rPr>
                <w:color w:val="00B9E7"/>
                <w:spacing w:val="-13"/>
              </w:rPr>
              <w:t>new</w:t>
            </w:r>
          </w:p>
          <w:p>
            <w:pPr>
              <w:pStyle w:val="TableText"/>
              <w:spacing w:before="1" w:line="223" w:lineRule="auto"/>
              <w:ind w:left="161"/>
            </w:pPr>
            <w:r>
              <w:rPr>
                <w:color w:val="00B9E7"/>
                <w:spacing w:val="-12"/>
              </w:rPr>
              <w:t>analysis methods.</w:t>
            </w:r>
          </w:p>
        </w:tc>
      </w:tr>
    </w:tbl>
    <w:p>
      <w:pPr>
        <w:pStyle w:val="BodyText"/>
        <w:spacing w:line="261" w:lineRule="auto"/>
      </w:pPr>
    </w:p>
    <w:p>
      <w:pPr>
        <w:spacing w:before="85" w:line="236" w:lineRule="auto"/>
        <w:ind w:left="854"/>
        <w:rPr>
          <w:rFonts w:ascii="Verdana" w:eastAsia="Verdana" w:hAnsi="Verdana" w:cs="Verdana"/>
          <w:sz w:val="28"/>
          <w:szCs w:val="28"/>
        </w:rPr>
      </w:pPr>
      <w:r>
        <w:rPr>
          <w:rFonts w:ascii="Verdana" w:eastAsia="Verdana" w:hAnsi="Verdana" w:cs="Verdana"/>
          <w:color w:val="E6E8E8"/>
          <w:spacing w:val="-13"/>
          <w:sz w:val="28"/>
          <w:szCs w:val="28"/>
        </w:rPr>
        <w:t>The</w:t>
      </w:r>
      <w:r>
        <w:rPr>
          <w:rFonts w:ascii="Verdana" w:eastAsia="Verdana" w:hAnsi="Verdana" w:cs="Verdana"/>
          <w:color w:val="E6E8E8"/>
          <w:spacing w:val="-17"/>
          <w:sz w:val="28"/>
          <w:szCs w:val="28"/>
        </w:rPr>
        <w:t xml:space="preserve"> </w:t>
      </w:r>
      <w:r>
        <w:rPr>
          <w:rFonts w:ascii="Verdana" w:eastAsia="Verdana" w:hAnsi="Verdana" w:cs="Verdana"/>
          <w:color w:val="E6E8E8"/>
          <w:spacing w:val="-13"/>
          <w:sz w:val="28"/>
          <w:szCs w:val="28"/>
        </w:rPr>
        <w:t>value</w:t>
      </w:r>
      <w:r>
        <w:rPr>
          <w:rFonts w:ascii="Verdana" w:eastAsia="Verdana" w:hAnsi="Verdana" w:cs="Verdana"/>
          <w:color w:val="E6E8E8"/>
          <w:spacing w:val="-26"/>
          <w:sz w:val="28"/>
          <w:szCs w:val="28"/>
        </w:rPr>
        <w:t xml:space="preserve"> </w:t>
      </w:r>
      <w:r>
        <w:rPr>
          <w:rFonts w:ascii="Verdana" w:eastAsia="Verdana" w:hAnsi="Verdana" w:cs="Verdana"/>
          <w:color w:val="E6E8E8"/>
          <w:spacing w:val="-13"/>
          <w:sz w:val="28"/>
          <w:szCs w:val="28"/>
        </w:rPr>
        <w:t>of next-generation</w:t>
      </w:r>
      <w:r>
        <w:rPr>
          <w:rFonts w:ascii="Verdana" w:eastAsia="Verdana" w:hAnsi="Verdana" w:cs="Verdana"/>
          <w:color w:val="E6E8E8"/>
          <w:spacing w:val="-25"/>
          <w:sz w:val="28"/>
          <w:szCs w:val="28"/>
        </w:rPr>
        <w:t xml:space="preserve"> </w:t>
      </w:r>
      <w:r>
        <w:rPr>
          <w:rFonts w:ascii="Verdana" w:eastAsia="Verdana" w:hAnsi="Verdana" w:cs="Verdana"/>
          <w:color w:val="E6E8E8"/>
          <w:spacing w:val="-13"/>
          <w:sz w:val="28"/>
          <w:szCs w:val="28"/>
        </w:rPr>
        <w:t>clinical</w:t>
      </w:r>
      <w:r>
        <w:rPr>
          <w:rFonts w:ascii="Verdana" w:eastAsia="Verdana" w:hAnsi="Verdana" w:cs="Verdana"/>
          <w:color w:val="E6E8E8"/>
          <w:spacing w:val="-26"/>
          <w:sz w:val="28"/>
          <w:szCs w:val="28"/>
        </w:rPr>
        <w:t xml:space="preserve"> </w:t>
      </w:r>
      <w:r>
        <w:rPr>
          <w:rFonts w:ascii="Verdana" w:eastAsia="Verdana" w:hAnsi="Verdana" w:cs="Verdana"/>
          <w:color w:val="E6E8E8"/>
          <w:spacing w:val="-13"/>
          <w:sz w:val="28"/>
          <w:szCs w:val="28"/>
        </w:rPr>
        <w:t>development</w:t>
      </w:r>
    </w:p>
    <w:p>
      <w:pPr>
        <w:spacing w:before="180"/>
      </w:pPr>
    </w:p>
    <w:p>
      <w:pPr>
        <w:sectPr>
          <w:headerReference w:type="default" r:id="rId8"/>
          <w:pgSz w:w="11906" w:h="16838"/>
          <w:pgMar w:top="1" w:right="0" w:bottom="0" w:left="0" w:header="0" w:footer="0" w:gutter="0"/>
          <w:pgNumType w:start="3"/>
          <w:cols w:num="1" w:space="708" w:equalWidth="0">
            <w:col w:w="11906" w:space="0"/>
          </w:cols>
        </w:sectPr>
      </w:pPr>
    </w:p>
    <w:p>
      <w:pPr>
        <w:spacing w:line="1732" w:lineRule="exact"/>
        <w:ind w:firstLine="1356"/>
      </w:pPr>
      <w:r>
        <w:rPr>
          <w:position w:val="-34"/>
        </w:rPr>
        <w:drawing>
          <wp:inline distT="0" distB="0" distL="0" distR="0">
            <wp:extent cx="1059070" cy="1099879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59070" cy="1099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8" w:line="179" w:lineRule="auto"/>
        <w:ind w:left="1688"/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b/>
          <w:bCs/>
          <w:color w:val="00B9E7"/>
          <w:spacing w:val="-18"/>
          <w:w w:val="98"/>
          <w:sz w:val="28"/>
          <w:szCs w:val="28"/>
        </w:rPr>
        <w:t>2+</w:t>
      </w:r>
      <w:r>
        <w:rPr>
          <w:rFonts w:ascii="Tahoma" w:eastAsia="Tahoma" w:hAnsi="Tahoma" w:cs="Tahoma"/>
          <w:b/>
          <w:bCs/>
          <w:color w:val="00B9E7"/>
          <w:spacing w:val="-18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9E7"/>
          <w:spacing w:val="-18"/>
          <w:w w:val="98"/>
          <w:sz w:val="28"/>
          <w:szCs w:val="28"/>
        </w:rPr>
        <w:t>years</w:t>
      </w:r>
    </w:p>
    <w:p>
      <w:pPr>
        <w:spacing w:before="139" w:line="222" w:lineRule="exact"/>
        <w:ind w:left="1712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color w:val="FFFFFF"/>
          <w:spacing w:val="-6"/>
          <w:sz w:val="18"/>
          <w:szCs w:val="18"/>
        </w:rPr>
        <w:t>Reduction</w:t>
      </w:r>
      <w:r>
        <w:rPr>
          <w:rFonts w:ascii="Verdana" w:eastAsia="Verdana" w:hAnsi="Verdana" w:cs="Verdana"/>
          <w:color w:val="FFFFFF"/>
          <w:spacing w:val="-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FFFFFF"/>
          <w:spacing w:val="-6"/>
          <w:sz w:val="18"/>
          <w:szCs w:val="18"/>
        </w:rPr>
        <w:t>in</w:t>
      </w:r>
    </w:p>
    <w:p>
      <w:pPr>
        <w:spacing w:before="1" w:line="211" w:lineRule="auto"/>
        <w:ind w:left="1613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color w:val="FFFFFF"/>
          <w:spacing w:val="-9"/>
          <w:sz w:val="18"/>
          <w:szCs w:val="18"/>
        </w:rPr>
        <w:t>time</w:t>
      </w:r>
      <w:r>
        <w:rPr>
          <w:rFonts w:ascii="Verdana" w:eastAsia="Verdana" w:hAnsi="Verdana" w:cs="Verdana"/>
          <w:color w:val="FFFFFF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FFFFFF"/>
          <w:spacing w:val="-9"/>
          <w:sz w:val="18"/>
          <w:szCs w:val="18"/>
        </w:rPr>
        <w:t>to</w:t>
      </w:r>
      <w:r>
        <w:rPr>
          <w:rFonts w:ascii="Verdana" w:eastAsia="Verdana" w:hAnsi="Verdana" w:cs="Verdana"/>
          <w:color w:val="FFFFFF"/>
          <w:spacing w:val="-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FFFFFF"/>
          <w:spacing w:val="-9"/>
          <w:sz w:val="18"/>
          <w:szCs w:val="18"/>
        </w:rPr>
        <w:t>market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0" w:line="1732" w:lineRule="exact"/>
      </w:pPr>
      <w:r>
        <w:rPr>
          <w:position w:val="-34"/>
        </w:rPr>
        <w:drawing>
          <wp:inline distT="0" distB="0" distL="0" distR="0">
            <wp:extent cx="1059070" cy="1099881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59070" cy="1099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7" w:line="182" w:lineRule="auto"/>
        <w:ind w:left="510"/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b/>
          <w:bCs/>
          <w:color w:val="00B9E7"/>
          <w:spacing w:val="-32"/>
          <w:w w:val="96"/>
          <w:sz w:val="28"/>
          <w:szCs w:val="28"/>
        </w:rPr>
        <w:t>&gt;15%</w:t>
      </w:r>
    </w:p>
    <w:p>
      <w:pPr>
        <w:spacing w:before="135" w:line="280" w:lineRule="exact"/>
        <w:ind w:left="374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color w:val="FFFFFF"/>
          <w:spacing w:val="-5"/>
          <w:position w:val="7"/>
          <w:sz w:val="18"/>
          <w:szCs w:val="18"/>
        </w:rPr>
        <w:t>Probably</w:t>
      </w:r>
      <w:r>
        <w:rPr>
          <w:rFonts w:ascii="Verdana" w:eastAsia="Verdana" w:hAnsi="Verdana" w:cs="Verdana"/>
          <w:color w:val="FFFFFF"/>
          <w:spacing w:val="-14"/>
          <w:position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FFFFFF"/>
          <w:spacing w:val="-5"/>
          <w:position w:val="7"/>
          <w:sz w:val="18"/>
          <w:szCs w:val="18"/>
        </w:rPr>
        <w:t>of</w:t>
      </w:r>
    </w:p>
    <w:p>
      <w:pPr>
        <w:spacing w:line="134" w:lineRule="exact"/>
        <w:ind w:left="537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color w:val="FFFFFF"/>
          <w:spacing w:val="-9"/>
          <w:position w:val="-1"/>
          <w:sz w:val="18"/>
          <w:szCs w:val="18"/>
        </w:rPr>
        <w:t>success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  <w:r>
        <w:rPr>
          <w:sz w:val="2"/>
        </w:rPr>
        <w:br/>
      </w:r>
      <w:r>
        <w:rPr>
          <w:sz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https://d.book118.com/456214110052010042</w:t>
        </w:r>
      </w:hyperlink>
    </w:p>
    <w:p>
      <w:pPr>
        <w:pStyle w:val="BodyText"/>
        <w:spacing w:line="14" w:lineRule="auto"/>
        <w:rPr>
          <w:sz w:val="2"/>
        </w:rPr>
      </w:pPr>
    </w:p>
    <w:sectPr>
      <w:headerReference w:type="default" r:id="rId12"/>
      <w:type w:val="continuous"/>
      <w:pgSz w:w="11906" w:h="16838"/>
      <w:pgMar w:top="1" w:right="0" w:bottom="0" w:left="0" w:header="0" w:footer="0" w:gutter="0"/>
      <w:pgNumType w:start="4"/>
      <w:cols w:num="4" w:space="708" w:equalWidth="0">
        <w:col w:w="3731" w:space="100"/>
        <w:col w:w="2425" w:space="100"/>
        <w:col w:w="2381" w:space="100"/>
        <w:col w:w="307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005" cy="10692003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00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005" cy="10692003"/>
          <wp:effectExtent l="0" t="0" r="0" b="0"/>
          <wp:wrapNone/>
          <wp:docPr id="409892313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892313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00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49" style="width:595.3pt;height:841.9pt;margin-top:0;margin-left:0;mso-position-horizontal-relative:page;mso-position-vertical-relative:page;position:absolute;z-index:251660288" o:allowincell="f" filled="t" fillcolor="#2a0d3c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0" style="width:595.3pt;height:841.9pt;margin-top:0;margin-left:0;mso-position-horizontal-relative:page;mso-position-vertical-relative:page;position:absolute;z-index:251661312" o:allowincell="f" filled="t" fillcolor="#2a0d3c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Verdana" w:eastAsia="Verdana" w:hAnsi="Verdana" w:cs="Verdana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hyperlink" Target="https://d.book118.com/456214110052010042" TargetMode="External" /><Relationship Id="rId12" Type="http://schemas.openxmlformats.org/officeDocument/2006/relationships/header" Target="head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image" Target="media/image3.png" /><Relationship Id="rId8" Type="http://schemas.openxmlformats.org/officeDocument/2006/relationships/header" Target="header3.xml" /><Relationship Id="rId9" Type="http://schemas.openxmlformats.org/officeDocument/2006/relationships/image" Target="media/image4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Hard-Cover_Template</dc:title>
  <dc:subject>Template for Hard Cover document (Brochure, PoV, Report)</dc:subject>
  <cp:revision>0</cp:revision>
  <dcterms:created xsi:type="dcterms:W3CDTF">2024-01-29T19:46:34Z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2024-01-29T19:59:46Z</vt:filetime>
  </property>
  <property fmtid="{D5CDD505-2E9C-101B-9397-08002B2CF9AE}" pid="3" name="CRO">
    <vt:lpwstr>wqlLaW5nc29mdCBQREYgdG8gV1BTIDkw</vt:lpwstr>
  </property>
</Properties>
</file>