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pageBreakBefore w:val="0"/>
        <w:spacing w:before="156" w:beforeLines="50" w:after="156" w:afterLines="50"/>
        <w:rPr>
          <w:b w:val="0"/>
          <w:bCs w:val="0"/>
          <w:sz w:val="24"/>
          <w:szCs w:val="24"/>
        </w:rPr>
      </w:pPr>
      <w:bookmarkStart w:id="0" w:name="_Toc22688"/>
      <w:r>
        <w:rPr>
          <w:b w:val="0"/>
          <w:bCs w:val="0"/>
        </w:rPr>
        <w:t>摘  要</w:t>
      </w:r>
      <w:bookmarkEnd w:id="0"/>
    </w:p>
    <w:p>
      <w:pPr>
        <w:spacing w:line="360" w:lineRule="exact"/>
        <w:ind w:firstLine="480" w:firstLineChars="200"/>
        <w:rPr>
          <w:sz w:val="24"/>
          <w:szCs w:val="24"/>
        </w:rPr>
      </w:pPr>
    </w:p>
    <w:p>
      <w:pPr>
        <w:pStyle w:val="CommentText"/>
        <w:spacing w:line="360" w:lineRule="exact"/>
        <w:ind w:firstLine="480" w:firstLineChars="200"/>
        <w:rPr>
          <w:color w:val="000000"/>
          <w:sz w:val="24"/>
        </w:rPr>
      </w:pPr>
      <w:r>
        <w:rPr>
          <w:color w:val="000000"/>
          <w:sz w:val="24"/>
        </w:rPr>
        <w:t>本篇论文主要是讲述关于不锈钢材料的TIG焊工艺，目前TIG焊几乎可以实现所有金属的焊接，本论文采用多种科学的方法，选用</w:t>
      </w:r>
      <w:bookmarkStart w:id="1" w:name="_GoBack"/>
      <w:r>
        <w:rPr>
          <w:color w:val="000000"/>
          <w:sz w:val="24"/>
        </w:rPr>
        <w:t>手工氩弧焊研究其在洗衣机内筒中应用</w:t>
      </w:r>
      <w:bookmarkEnd w:id="1"/>
      <w:r>
        <w:rPr>
          <w:color w:val="000000"/>
          <w:sz w:val="24"/>
        </w:rPr>
        <w:t>。研究了焊接钢结构时产生的焊接缺陷造成的影响以及缺陷的种类和解决方案，洗衣机的装配过程产生的问题和成品检验，最后提出合理的措施防止缺陷的产生。同时通过大量的文献综述，找出TIG焊工艺参数对焊缝的影响效果，以推进手工氩弧焊在现代工业的发展与完善。</w:t>
      </w:r>
    </w:p>
    <w:p>
      <w:pPr>
        <w:pStyle w:val="CommentText"/>
        <w:spacing w:line="360" w:lineRule="exact"/>
        <w:rPr>
          <w:rFonts w:eastAsia="黑体"/>
          <w:color w:val="000000"/>
          <w:sz w:val="24"/>
        </w:rPr>
      </w:pPr>
    </w:p>
    <w:p>
      <w:pPr>
        <w:pStyle w:val="CommentText"/>
        <w:spacing w:line="360" w:lineRule="exact"/>
        <w:rPr>
          <w:color w:val="000000"/>
          <w:sz w:val="24"/>
        </w:rPr>
      </w:pPr>
      <w:r>
        <w:rPr>
          <w:rFonts w:eastAsia="黑体"/>
          <w:color w:val="000000"/>
          <w:sz w:val="24"/>
        </w:rPr>
        <w:t>关键词：</w:t>
      </w:r>
      <w:r>
        <w:rPr>
          <w:color w:val="000000"/>
          <w:sz w:val="24"/>
        </w:rPr>
        <w:t>手工氩弧焊；内筒；不锈钢</w:t>
      </w: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CommentText"/>
        <w:rPr>
          <w:rFonts w:eastAsia="黑体"/>
          <w:color w:val="000000"/>
          <w:sz w:val="24"/>
        </w:rPr>
      </w:pPr>
    </w:p>
    <w:p>
      <w:pPr>
        <w:pStyle w:val="Heading1"/>
        <w:pageBreakBefore w:val="0"/>
        <w:spacing w:before="0" w:after="0"/>
        <w:jc w:val="both"/>
        <w:rPr>
          <w:sz w:val="24"/>
          <w:szCs w:val="24"/>
        </w:rPr>
      </w:pPr>
      <w:bookmarkStart w:id="2" w:name="_Toc772"/>
      <w:bookmarkStart w:id="3" w:name="_Toc22084"/>
      <w:bookmarkStart w:id="4" w:name="_Toc17383"/>
      <w:bookmarkStart w:id="5" w:name="_Toc21374"/>
    </w:p>
    <w:p>
      <w:pPr>
        <w:keepLines/>
        <w:jc w:val="center"/>
        <w:rPr>
          <w:sz w:val="24"/>
          <w:szCs w:val="24"/>
        </w:rPr>
      </w:pPr>
    </w:p>
    <w:p>
      <w:pPr>
        <w:pStyle w:val="Heading1"/>
        <w:pageBreakBefore w:val="0"/>
        <w:spacing w:before="156" w:beforeLines="50" w:after="156" w:afterLines="50"/>
        <w:rPr>
          <w:sz w:val="24"/>
          <w:szCs w:val="24"/>
        </w:rPr>
      </w:pPr>
      <w:bookmarkStart w:id="6" w:name="_Toc965"/>
      <w:r>
        <w:t>Abstract</w:t>
      </w:r>
      <w:bookmarkEnd w:id="2"/>
      <w:bookmarkEnd w:id="3"/>
      <w:bookmarkEnd w:id="4"/>
      <w:bookmarkEnd w:id="5"/>
      <w:bookmarkEnd w:id="6"/>
    </w:p>
    <w:p>
      <w:pPr>
        <w:spacing w:line="360" w:lineRule="exact"/>
        <w:rPr>
          <w:sz w:val="24"/>
          <w:szCs w:val="24"/>
        </w:rPr>
        <w:sectPr>
          <w:footerReference w:type="default" r:id="rId5"/>
          <w:pgSz w:w="11906" w:h="16838"/>
          <w:pgMar w:top="936" w:right="2276" w:bottom="2648" w:left="1650" w:header="1616" w:footer="2121" w:gutter="0"/>
          <w:pgNumType w:fmt="upperRoman" w:start="1"/>
          <w:cols w:num="1" w:space="720"/>
          <w:docGrid w:type="linesAndChars" w:linePitch="312" w:charSpace="157"/>
        </w:sectPr>
      </w:pPr>
    </w:p>
    <w:p>
      <w:pPr>
        <w:pStyle w:val="CommentText"/>
        <w:spacing w:line="360" w:lineRule="exact"/>
        <w:ind w:firstLine="480" w:firstLineChars="200"/>
        <w:jc w:val="both"/>
        <w:rPr>
          <w:rFonts w:eastAsia="黑体"/>
          <w:color w:val="000000"/>
          <w:sz w:val="24"/>
        </w:rPr>
      </w:pPr>
      <w:r>
        <w:rPr>
          <w:rFonts w:eastAsia="黑体"/>
          <w:color w:val="000000"/>
          <w:sz w:val="24"/>
        </w:rPr>
        <w:t>This paper is mainly about the TIG welding technology of stainless steel materials. At present, TIG welding can achieve almost all metal welding. In this paper, a variety of scientific methods are used to study the application of manual argon arc welding in the inner cylinder of washing machine. This paper studies the influence of welding defects in welding steel structure, the types and solutions of the defects, the problems in the assembly process of washing machine and the inspection of finished products, and finally puts forward reasonable measures to prevent the defects. At the same time, through a large number of literature review, find out the effect of TIG welding process parameters on the weld, in order to promote the development and improvement of manual argon arc welding in modern industry.</w:t>
      </w:r>
    </w:p>
    <w:p>
      <w:pPr>
        <w:pStyle w:val="CommentText"/>
        <w:jc w:val="both"/>
        <w:rPr>
          <w:rFonts w:eastAsia="黑体"/>
          <w:color w:val="000000"/>
          <w:sz w:val="24"/>
        </w:rPr>
      </w:pPr>
    </w:p>
    <w:p>
      <w:pPr>
        <w:pStyle w:val="CommentText"/>
        <w:spacing w:line="360" w:lineRule="exact"/>
        <w:rPr>
          <w:rFonts w:eastAsia="黑体"/>
          <w:color w:val="000000"/>
          <w:sz w:val="24"/>
        </w:rPr>
      </w:pPr>
      <w:r>
        <w:rPr>
          <w:rFonts w:eastAsia="黑体"/>
          <w:b/>
          <w:bCs/>
          <w:color w:val="000000"/>
          <w:sz w:val="24"/>
        </w:rPr>
        <w:t>Keywords：</w:t>
      </w:r>
      <w:r>
        <w:rPr>
          <w:rFonts w:eastAsia="黑体"/>
          <w:color w:val="000000"/>
          <w:sz w:val="24"/>
        </w:rPr>
        <w:t>Manual argon arc welding；Inner cylinder；Stainless steel</w:t>
      </w:r>
    </w:p>
    <w:p>
      <w:pPr>
        <w:pStyle w:val="CommentText"/>
        <w:rPr>
          <w:rFonts w:eastAsia="黑体"/>
          <w:color w:val="000000"/>
          <w:sz w:val="24"/>
        </w:rPr>
      </w:pPr>
    </w:p>
    <w:p>
      <w:pPr>
        <w:pStyle w:val="CommentText"/>
        <w:rPr>
          <w:color w:val="000000"/>
          <w:sz w:val="24"/>
        </w:rPr>
      </w:pPr>
    </w:p>
    <w:p>
      <w:pPr>
        <w:spacing w:line="283" w:lineRule="auto"/>
        <w:rPr>
          <w:sz w:val="24"/>
          <w:highlight w:val="yellow"/>
        </w:rPr>
      </w:pPr>
    </w:p>
    <w:p>
      <w:pPr>
        <w:spacing w:line="283" w:lineRule="auto"/>
        <w:rPr>
          <w:sz w:val="24"/>
          <w:highlight w:val="yellow"/>
        </w:rPr>
      </w:pPr>
    </w:p>
    <w:p>
      <w:pPr>
        <w:spacing w:line="283" w:lineRule="auto"/>
        <w:rPr>
          <w:sz w:val="24"/>
          <w:highlight w:val="yellow"/>
        </w:rPr>
      </w:pPr>
    </w:p>
    <w:p>
      <w:pPr>
        <w:spacing w:line="283" w:lineRule="auto"/>
        <w:rPr>
          <w:sz w:val="24"/>
          <w:highlight w:val="yellow"/>
        </w:rPr>
      </w:pPr>
    </w:p>
    <w:p>
      <w:pPr>
        <w:spacing w:line="283" w:lineRule="auto"/>
        <w:rPr>
          <w:sz w:val="24"/>
          <w:highlight w:val="yellow"/>
        </w:rPr>
      </w:pPr>
    </w:p>
    <w:p>
      <w:pPr>
        <w:spacing w:line="283" w:lineRule="auto"/>
        <w:rPr>
          <w:sz w:val="24"/>
          <w:highlight w:val="yellow"/>
        </w:rPr>
      </w:pPr>
    </w:p>
    <w:p>
      <w:pPr>
        <w:spacing w:line="283" w:lineRule="auto"/>
        <w:rPr>
          <w:sz w:val="24"/>
          <w:highlight w:val="yellow"/>
        </w:rPr>
      </w:pPr>
      <w:r>
        <w:rPr>
          <w:sz w:val="24"/>
          <w:highlight w:val="yellow"/>
        </w:rPr>
        <w:br/>
      </w:r>
      <w:r>
        <w:rPr>
          <w:sz w:val="24"/>
          <w:highlight w:val="yellow"/>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https://d.book118.com/456225114033010101</w:t>
        </w:r>
      </w:hyperlink>
    </w:p>
    <w:p>
      <w:pPr>
        <w:spacing w:line="283" w:lineRule="auto"/>
        <w:rPr>
          <w:sz w:val="24"/>
          <w:highlight w:val="yellow"/>
        </w:rPr>
      </w:pPr>
    </w:p>
    <w:sectPr>
      <w:footerReference w:type="default" r:id="rId7"/>
      <w:type w:val="nextPage"/>
      <w:pgSz w:w="11906" w:h="16838"/>
      <w:pgMar w:top="936" w:right="2276" w:bottom="2648" w:left="1650" w:header="1616" w:footer="2121" w:gutter="0"/>
      <w:pgNumType w:fmt="upperRoman" w:start="2"/>
      <w:cols w:num="1" w:space="720"/>
      <w:titlePg w:val="0"/>
      <w:docGrid w:type="linesAndChars" w:linePitch="312" w:charSpace="15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b/>
      </w:rPr>
    </w:pPr>
  </w:p>
  <w:p>
    <w:pPr>
      <w:pStyle w:val="Footer"/>
      <w:jc w:val="center"/>
      <w:rPr>
        <w:rStyle w:val="PageNumber"/>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45720</wp:posOffset>
              </wp:positionV>
              <wp:extent cx="154940" cy="13843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54940" cy="13843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12.2pt;height:10.9pt;margin-top:3.6pt;margin-left:0;mso-position-horizontal:center;mso-position-horizontal-relative:margin;mso-wrap-distance-bottom:0;mso-wrap-distance-left:9pt;mso-wrap-distance-right:9pt;mso-wrap-distance-top:0;position:absolute;v-text-anchor:top;z-index:251658240" filled="f" fillcolor="this" stroked="f">
              <v:textbox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v:textbox>
              <w10:wrap anchorx="margin"/>
            </v:shape>
          </w:pict>
        </mc:Fallback>
      </mc:AlternateContent>
    </w:r>
  </w:p>
  <w:p>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b/>
      </w:rPr>
    </w:pPr>
  </w:p>
  <w:p>
    <w:pPr>
      <w:pStyle w:val="Footer"/>
      <w:jc w:val="center"/>
      <w:rPr>
        <w:rStyle w:val="PageNumber"/>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45720</wp:posOffset>
              </wp:positionV>
              <wp:extent cx="154940" cy="138430"/>
              <wp:effectExtent l="0" t="0" r="0" b="0"/>
              <wp:wrapNone/>
              <wp:docPr id="183051923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54940" cy="13843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II</w:t>
                          </w:r>
                          <w:r>
                            <w:rPr>
                              <w:rFonts w:hint="eastAsia"/>
                              <w:sz w:val="18"/>
                            </w:rPr>
                            <w:fldChar w:fldCharType="end"/>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3" o:spid="_x0000_s2050" type="#_x0000_t202" style="width:12.2pt;height:10.9pt;margin-top:3.6pt;margin-left:0;mso-position-horizontal:center;mso-position-horizontal-relative:margin;mso-wrap-distance-bottom:0;mso-wrap-distance-left:9pt;mso-wrap-distance-right:9pt;mso-wrap-distance-top:0;position:absolute;v-text-anchor:top;z-index:251660288" filled="f" fillcolor="this" stroked="f">
              <v:textbox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II</w:t>
                    </w:r>
                    <w:r>
                      <w:rPr>
                        <w:rFonts w:hint="eastAsia"/>
                        <w:sz w:val="18"/>
                      </w:rPr>
                      <w:fldChar w:fldCharType="end"/>
                    </w:r>
                  </w:p>
                </w:txbxContent>
              </v:textbox>
              <w10:wrap anchorx="margin"/>
            </v:shape>
          </w:pict>
        </mc:Fallback>
      </mc:AlternateContent>
    </w:r>
  </w:p>
  <w:p>
    <w:pPr>
      <w:pStyle w:val="Footer"/>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D144D9"/>
    <w:rsid w:val="006D15BD"/>
    <w:rsid w:val="00CA0C73"/>
    <w:rsid w:val="2ED144D9"/>
    <w:rsid w:val="38F46ED8"/>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lsdException w:name="heading 1" w:semiHidden="0" w:uiPriority="0" w:unhideWhenUsed="0" w:qFormat="1"/>
    <w:lsdException w:name="heading 2" w:semiHidden="0" w:uiPriority="0" w:unhideWhenUsed="0"/>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pPr>
      <w:widowControl w:val="0"/>
      <w:jc w:val="both"/>
    </w:pPr>
    <w:rPr>
      <w:rFonts w:ascii="Times New Roman" w:eastAsia="宋体" w:hAnsi="Times New Roman" w:cs="Times New Roman"/>
      <w:kern w:val="2"/>
      <w:sz w:val="21"/>
      <w:lang w:val="en-US" w:eastAsia="zh-CN" w:bidi="ar-SA"/>
    </w:rPr>
  </w:style>
  <w:style w:type="paragraph" w:styleId="Heading1">
    <w:name w:val="heading 1"/>
    <w:basedOn w:val="Title"/>
    <w:next w:val="Normal"/>
    <w:autoRedefine/>
    <w:qFormat/>
    <w:pPr>
      <w:keepLines/>
      <w:pageBreakBefore/>
      <w:spacing w:after="120"/>
      <w:outlineLvl w:val="0"/>
    </w:pPr>
    <w:rPr>
      <w:rFonts w:ascii="Times New Roman" w:eastAsia="黑体" w:hAnsi="Times New Roman"/>
      <w:sz w:val="36"/>
    </w:rPr>
  </w:style>
  <w:style w:type="paragraph" w:styleId="Heading2">
    <w:name w:val="heading 2"/>
    <w:basedOn w:val="Normal"/>
    <w:next w:val="Normal"/>
    <w:pPr>
      <w:keepNext/>
      <w:keepLines/>
      <w:spacing w:before="50" w:beforeLines="50" w:after="50" w:afterLines="50" w:line="360" w:lineRule="exact"/>
      <w:outlineLvl w:val="1"/>
    </w:pPr>
    <w:rPr>
      <w:rFonts w:ascii="Arial" w:eastAsia="黑体" w:hAnsi="Arial"/>
      <w:bCs/>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itle">
    <w:name w:val="Title"/>
    <w:basedOn w:val="Normal"/>
    <w:pPr>
      <w:spacing w:before="240" w:after="60"/>
      <w:jc w:val="center"/>
      <w:outlineLvl w:val="0"/>
    </w:pPr>
    <w:rPr>
      <w:rFonts w:ascii="Arial" w:hAnsi="Arial"/>
      <w:b/>
      <w:bCs/>
      <w:sz w:val="32"/>
    </w:rPr>
  </w:style>
  <w:style w:type="paragraph" w:styleId="CommentText">
    <w:name w:val="annotation text"/>
    <w:basedOn w:val="Normal"/>
    <w:pPr>
      <w:jc w:val="left"/>
    </w:pPr>
    <w:rPr>
      <w:szCs w:val="24"/>
    </w:rPr>
  </w:style>
  <w:style w:type="paragraph" w:styleId="BodyText">
    <w:name w:val="Body Text"/>
    <w:basedOn w:val="Normal"/>
    <w:pPr>
      <w:spacing w:after="120"/>
    </w:pPr>
    <w:rPr>
      <w:szCs w:val="24"/>
    </w:rPr>
  </w:style>
  <w:style w:type="paragraph" w:styleId="TOC3">
    <w:name w:val="toc 3"/>
    <w:basedOn w:val="Normal"/>
    <w:next w:val="Normal"/>
    <w:pPr>
      <w:tabs>
        <w:tab w:val="right" w:leader="middleDot" w:pos="7580"/>
      </w:tabs>
      <w:ind w:left="840" w:right="540" w:leftChars="400" w:rightChars="257"/>
    </w:pPr>
    <w:rPr>
      <w:szCs w:val="24"/>
    </w:rPr>
  </w:style>
  <w:style w:type="paragraph" w:styleId="Footer">
    <w:name w:val="footer"/>
    <w:basedOn w:val="Normal"/>
    <w:pPr>
      <w:tabs>
        <w:tab w:val="center" w:pos="4140"/>
        <w:tab w:val="right" w:pos="8300"/>
      </w:tabs>
      <w:snapToGrid w:val="0"/>
      <w:jc w:val="left"/>
    </w:pPr>
    <w:rPr>
      <w:sz w:val="18"/>
    </w:rPr>
  </w:style>
  <w:style w:type="paragraph" w:styleId="Header">
    <w:name w:val="header"/>
    <w:basedOn w:val="Normal"/>
    <w:pPr>
      <w:pBdr>
        <w:bottom w:val="single" w:sz="6" w:space="1" w:color="auto"/>
      </w:pBdr>
      <w:tabs>
        <w:tab w:val="center" w:pos="4140"/>
        <w:tab w:val="right" w:pos="8300"/>
      </w:tabs>
      <w:snapToGrid w:val="0"/>
      <w:jc w:val="center"/>
    </w:pPr>
    <w:rPr>
      <w:sz w:val="18"/>
    </w:rPr>
  </w:style>
  <w:style w:type="paragraph" w:styleId="TOC1">
    <w:name w:val="toc 1"/>
    <w:basedOn w:val="Normal"/>
    <w:next w:val="Normal"/>
    <w:rPr>
      <w:sz w:val="24"/>
    </w:rPr>
  </w:style>
  <w:style w:type="paragraph" w:styleId="TOC2">
    <w:name w:val="toc 2"/>
    <w:basedOn w:val="Normal"/>
    <w:next w:val="Normal"/>
    <w:pPr>
      <w:tabs>
        <w:tab w:val="right" w:leader="middleDot" w:pos="7580"/>
      </w:tabs>
      <w:ind w:left="420" w:right="540" w:leftChars="200" w:rightChars="257"/>
    </w:pPr>
    <w:rPr>
      <w:szCs w:val="24"/>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456225114033010101"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2686</Words>
  <Characters>15315</Characters>
  <Application>Microsoft Office Word</Application>
  <DocSecurity>0</DocSecurity>
  <Lines>127</Lines>
  <Paragraphs>35</Paragraphs>
  <ScaleCrop>false</ScaleCrop>
  <Company/>
  <LinksUpToDate>false</LinksUpToDate>
  <CharactersWithSpaces>17966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哎呦我呲奥</dc:creator>
  <cp:lastModifiedBy>张老师</cp:lastModifiedBy>
  <cp:revision>2</cp:revision>
  <cp:lastPrinted>2021-05-23T12:44:00Z</cp:lastPrinted>
  <dcterms:created xsi:type="dcterms:W3CDTF">2020-04-03T23:31:00Z</dcterms:created>
  <dcterms:modified xsi:type="dcterms:W3CDTF">2024-03-12T12:24:11Z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3CE2816F8BDC4EB2B73BE4733FDD801A_12</vt:lpwstr>
  </property>
  <property fmtid="{D5CDD505-2E9C-101B-9397-08002B2CF9AE}" pid="3" name="KSOProductBuildVer">
    <vt:lpwstr>2052-12.1.0.16250</vt:lpwstr>
  </property>
</Properties>
</file>