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2024年钛阳极行业分析报告及未来五到十年行业发展趋势报告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903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_Toc3903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2297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_Toc32297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46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_Toc25846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77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_Toc28577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75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_Toc17759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_Toc2582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_Toc13457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45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_Toc11245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05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_Toc32605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51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_Toc16051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8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_Toc24883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36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_Toc28636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2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_Toc23124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57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_Toc11457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92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_Toc16492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419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_Toc25419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469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_Toc9469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99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_Toc21799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16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_Toc18516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0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_Toc31105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61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_Toc17617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_Toc2442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22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_Toc15822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0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_Toc30308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1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_Toc30318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_Toc15135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_Toc6158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84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_Toc21484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96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_Toc27964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9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_Toc11197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_Toc15705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1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_Toc5712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23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_Toc13623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012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_Toc32012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_Toc2465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7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_Toc657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888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_Toc6888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360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_Toc27360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21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_Toc2221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85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_Toc15385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543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_Toc6543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62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_Toc32620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284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_Toc25284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82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_Toc2782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90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_Toc10590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684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_Toc8684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000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_Toc13000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793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_Toc27793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05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_Toc9805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7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_Toc32576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76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_Toc28576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5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_Toc17350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7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_Toc21172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4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_Toc21048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077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_Toc9077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_Toc598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649" w:history="1">
        <w:r>
          <w:rPr>
            <w:rFonts w:eastAsia="微软雅黑" w:hint="eastAsia"/>
            <w:snapToGrid/>
            <w:lang w:val="en-US" w:eastAsia="en-US"/>
          </w:rPr>
          <w:t>十、2024-2029年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_Toc26649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9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_Toc8993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4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_Toc21249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2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不断提高产品质量，建立覆盖完善的服务体系</w:t>
        </w:r>
        <w:r>
          <w:tab/>
        </w:r>
        <w:r>
          <w:fldChar w:fldCharType="begin"/>
        </w:r>
        <w:r>
          <w:instrText xml:space="preserve"> PAGEREF _Toc10822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6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_Toc13364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1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_Toc23012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2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钛阳极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_Toc1624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4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_Toc12447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_Toc19024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8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钛阳极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_Toc32089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13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_Toc18139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96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_Toc22963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https://d.book118.com/456243210111010030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56243210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