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11976100</wp:posOffset>
            </wp:positionV>
            <wp:extent cx="304800" cy="279400"/>
            <wp:effectExtent l="0" t="0" r="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color w:val="000000"/>
          <w:sz w:val="32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t>202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t>年湖北省普通高中学业水平选择性考试历史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本试卷共6页，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9题。全卷满分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00分。考试用时75分钟。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★祝考试顺利★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注意事项：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.答题前，先将自己的姓名、准考证号、考场号、座位号填写在试卷和答题卡上，并认真核准准考证号条形码上的以上信息，将条形码粘贴在答题卡上的指定位置。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2.请按题号顺序在答题卡上各题目的答题区域内作答，写在试卷、草稿纸和答题卡上的非答题区域均无效。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.选择题用2B铅笔在答题卡上把所选答案的标号涂黑；非选择题用黑色签字笔在答题卡上作答；字体工整，笔迹清楚。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4.考试结束后，请将试卷和答题卡一并上交。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一、选择题：本题共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5小题，每小题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分，共45分。在每小题给出的四个选项中，只有一项是符合题目要求的。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</w:rPr>
        <w:sectPr>
          <w:headerReference w:type="even" r:id="rId6"/>
          <w:footerReference w:type="even" r:id="rId7"/>
          <w:headerReference w:type="first" r:id="rId8"/>
          <w:footerReference w:type="first" r:id="rId9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象形文字在一定程度上可以反映创字时的生态环境、经济生活和思想观念等。下表是“农”字的演变历程，其创意是在树木众多的地方以蜃（蚌壳）制工具从事劳作。“农”字的创制可反映当时（   ）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3638550" cy="1514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天人合一的宇宙观念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渔猎采集的劳动方式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形神兼备的书画艺术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原始农耕的生产状况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D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【详解】本题是单类型单项选择题。据本题主题干</w:t>
      </w:r>
      <w:r>
        <w:rPr>
          <w:rFonts w:ascii="微软雅黑" w:eastAsia="微软雅黑" w:hAnsi="微软雅黑" w:cs="微软雅黑" w:hint="eastAsia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>设问词，可知这</w:t>
      </w:r>
      <w:r>
        <w:rPr>
          <w:rFonts w:ascii="微软雅黑" w:eastAsia="微软雅黑" w:hAnsi="微软雅黑" w:cs="微软雅黑" w:hint="eastAsia"/>
          <w:color w:val="000000"/>
        </w:rPr>
        <w:t>是本质题。据本题时间信息可知准确时空是：从虞夏时代起，经商、西周迄春秋止（中国）。据本题材料“在树木众多的地方以蜃(蚌壳)制工具从事劳作。”并结合所学知识可知，在原始的自然条件下，采用简陋的石器、棍棒</w:t>
      </w:r>
      <w:r>
        <w:rPr>
          <w:rFonts w:ascii="微软雅黑" w:eastAsia="微软雅黑" w:hAnsi="微软雅黑" w:cs="微软雅黑" w:hint="eastAsia"/>
          <w:color w:val="000000"/>
        </w:rPr>
        <w:t>等生产工具，从事简单农事活动的农业。这一时期木石工具仍在广泛使用，耒耜和锄钁是当时的主要农</w:t>
      </w:r>
      <w:r>
        <w:rPr>
          <w:rFonts w:ascii="微软雅黑" w:eastAsia="微软雅黑" w:hAnsi="微软雅黑" w:cs="微软雅黑" w:hint="eastAsia"/>
          <w:color w:val="000000"/>
        </w:rPr>
        <w:t>具，“农”字的创制</w:t>
      </w:r>
      <w:r>
        <w:rPr>
          <w:rFonts w:ascii="微软雅黑" w:eastAsia="微软雅黑" w:hAnsi="微软雅黑" w:cs="微软雅黑" w:hint="eastAsia"/>
          <w:color w:val="000000"/>
        </w:rPr>
        <w:t>可反映当时原始农耕的生产状况，D项正确；材料内容没有涉及天人合一的宇宙观念，排除A项；渔猎采集的劳动方式最为主要的工具是石头工具和草绳木叉等，群居生活，围捕渔猎，而材料反映的是原始农耕的生产状况，排除B项；因</w:t>
      </w:r>
      <w:r>
        <w:rPr>
          <w:rFonts w:ascii="微软雅黑" w:eastAsia="微软雅黑" w:hAnsi="微软雅黑" w:cs="微软雅黑" w:hint="eastAsia"/>
          <w:color w:val="000000"/>
        </w:rPr>
        <w:t>“形神兼备的书画艺术”与本题材料主要结论“原始农耕的生产状况”不</w:t>
      </w:r>
      <w:r>
        <w:rPr>
          <w:rFonts w:ascii="微软雅黑" w:eastAsia="微软雅黑" w:hAnsi="微软雅黑" w:cs="微软雅黑" w:hint="eastAsia"/>
          <w:color w:val="000000"/>
        </w:rPr>
        <w:t>一致，排除C项。故选D项。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2. </w:t>
      </w:r>
      <w:r>
        <w:rPr>
          <w:rFonts w:ascii="微软雅黑" w:eastAsia="微软雅黑" w:hAnsi="微软雅黑" w:cs="微软雅黑" w:hint="eastAsia"/>
          <w:color w:val="000000"/>
        </w:rPr>
        <w:t>司马迁认为，在推翻秦王朝过程中，项羽是天下诸侯的盟主，“位虽不终，近古以来未尝有也”，故而在《史记》中将项羽列入本纪。唐代史家刘知几则指出：“霸王者，即当时诸侯。诸侯而称本纪，求名责实，再三乖谬。”两者认识不同的根源在于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史书编纂体例的选择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正统观念的左右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历史叙述原则的取向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情感倾向的影响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2"/>
          <w:footerReference w:type="even" r:id="rId13"/>
          <w:headerReference w:type="first" r:id="rId14"/>
          <w:footerReference w:type="first" r:id="rId15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【详解】本题是单类型单项选择题。据本题</w:t>
      </w:r>
      <w:r>
        <w:rPr>
          <w:rFonts w:ascii="微软雅黑" w:eastAsia="微软雅黑" w:hAnsi="微软雅黑" w:cs="微软雅黑" w:hint="eastAsia"/>
          <w:color w:val="000000"/>
        </w:rPr>
        <w:t>主题干的设问词，可知这是原因题。据本题时间信息可知准确时空是：汉代、唐代（中国）。据本题材料司马迁“在《史记》中将项羽列入本纪”，刘知幾指出“霸王者，即当时诸侯。诸侯而称本纪，求名责实，再三乖谬。”并结合所学知识可知，刘知幾是太过拘泥于名号、等级，刻板地要求必须身为天子才能立为本纪，如果身为诸侯，就绝无设为本纪之理。关键在于，他未能理解，司马迁设置本纪的主要着眼点不在身份名号，而在于以之作为一个历史时期史事之总纲领，看其是否起到支配历史大局的作用，所以两者认识不同的根源在于历史叙述原</w:t>
      </w:r>
      <w:r>
        <w:rPr>
          <w:rFonts w:ascii="微软雅黑" w:eastAsia="微软雅黑" w:hAnsi="微软雅黑" w:cs="微软雅黑" w:hint="eastAsia"/>
          <w:color w:val="000000"/>
        </w:rPr>
        <w:t>则的取向，C项正确；材料中没有涉及刘知幾对史书编纂体例的选择，排除A项；正统观念主要是指能够一脉相承，并且能够统一全国的某个政权的合法性，与材料内容不符，排除B项；情感因素不是导致两者不同认识的根源，排除D项。故选C项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唐代初期，太宗称：“我今为天下主，无问中国及四夷，皆养活之。不安者，我必令安；不乐者，我必令乐。”由于边远诸族聚居地生产相对落后，无法执行内地赋役标准，朝廷依据实情实施轻税政策，如建中元年（780）规定：“诸边远州有夷僚杂类之所，应输课役者，随事斟量，不必同之华夏。”上述材料集中体现了唐朝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采取灵活政策促进民族交往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重视边境民族地区的社会治理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调整经济政策推动区域发展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坚持推行因俗而治的民族政策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6"/>
          <w:footerReference w:type="even" r:id="rId17"/>
          <w:headerReference w:type="first" r:id="rId18"/>
          <w:footerReference w:type="first" r:id="rId19"/>
          <w:type w:val="nextPage"/>
          <w:pgSz w:w="11906" w:h="16838"/>
          <w:pgMar w:top="910" w:right="1080" w:bottom="1440" w:left="1080" w:header="152" w:footer="0" w:gutter="0"/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【详解】本题是单类型单项选择题。据本题</w:t>
      </w:r>
      <w:r>
        <w:rPr>
          <w:rFonts w:ascii="微软雅黑" w:eastAsia="微软雅黑" w:hAnsi="微软雅黑" w:cs="微软雅黑" w:hint="eastAsia"/>
          <w:color w:val="000000"/>
        </w:rPr>
        <w:t>主题干的设问词，可知这是本质题。据本题时间信息可知准确时空是：唐代（中国）。据本题材料“由于边远诸族聚居地生产相对落后，无法执行内地赋役标准，朝廷依据实情实施轻税政策。”“随事斟量，不必同之华夏。”并结合所学知识可知，为了维护国家的统一和稳定，唐朝对少数民族实行了灵活的政策，充分地兼顾了少数民族的宗教信仰、文化习惯、自治权利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等方面的需求，A项正确；材料涉及的是民族交往政策，不是唐王朝直接去治理边境的民族地区，排除B项；材料中没有唐朝经济政策调整的相关论述，排除C项；</w:t>
      </w:r>
      <w:r>
        <w:rPr>
          <w:rFonts w:ascii="微软雅黑" w:eastAsia="微软雅黑" w:hAnsi="微软雅黑" w:cs="微软雅黑" w:hint="eastAsia"/>
          <w:color w:val="000000"/>
        </w:rPr>
        <w:t>“因俗而治”出自于</w:t>
      </w:r>
      <w:r>
        <w:rPr>
          <w:rFonts w:ascii="微软雅黑" w:eastAsia="微软雅黑" w:hAnsi="微软雅黑" w:cs="微软雅黑" w:hint="eastAsia"/>
          <w:color w:val="000000"/>
        </w:rPr>
        <w:t>《辽史•官制》，意思是根据不同的地区、不同民族的风俗、社会发展状况实施统治或者管理，排除D项。故选A项。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4. </w:t>
      </w:r>
      <w:r>
        <w:rPr>
          <w:rFonts w:ascii="微软雅黑" w:eastAsia="微软雅黑" w:hAnsi="微软雅黑" w:cs="微软雅黑" w:hint="eastAsia"/>
          <w:color w:val="000000"/>
        </w:rPr>
        <w:t>宋代依据有无田产，将全国户口分为主户和客户。下表是北宋宝元元年（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0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8）和元丰元年（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078）三路主户、客户</w:t>
      </w:r>
      <w:r>
        <w:rPr>
          <w:rFonts w:ascii="微软雅黑" w:eastAsia="微软雅黑" w:hAnsi="微软雅黑" w:cs="微软雅黑" w:hint="eastAsia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>统计数据，表中客户比率变化反映（   ）</w:t>
      </w:r>
    </w:p>
    <w:tbl>
      <w:tblPr>
        <w:tblStyle w:val="TableNormal"/>
        <w:tblW w:w="72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979"/>
        <w:gridCol w:w="856"/>
        <w:gridCol w:w="784"/>
        <w:gridCol w:w="979"/>
        <w:gridCol w:w="733"/>
        <w:gridCol w:w="776"/>
        <w:gridCol w:w="8"/>
        <w:gridCol w:w="979"/>
        <w:gridCol w:w="610"/>
        <w:gridCol w:w="487"/>
      </w:tblGrid>
      <w:tr>
        <w:tblPrEx>
          <w:tblW w:w="7245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30"/>
        </w:trPr>
        <w:tc>
          <w:tcPr>
            <w:tcW w:w="8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年份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数据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户别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政区</w:t>
            </w:r>
          </w:p>
        </w:tc>
        <w:tc>
          <w:tcPr>
            <w:tcW w:w="2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荆湖南路</w:t>
            </w:r>
          </w:p>
        </w:tc>
        <w:tc>
          <w:tcPr>
            <w:tcW w:w="2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荆湖北路</w:t>
            </w:r>
          </w:p>
        </w:tc>
        <w:tc>
          <w:tcPr>
            <w:tcW w:w="21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江南东路</w:t>
            </w:r>
          </w:p>
        </w:tc>
      </w:tr>
      <w:tr>
        <w:tblPrEx>
          <w:tblW w:w="724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05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主户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客户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客户比率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主户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客户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客户比率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主户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客户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客户比率</w:t>
            </w:r>
          </w:p>
        </w:tc>
      </w:tr>
      <w:tr>
        <w:tblPrEx>
          <w:tblW w:w="724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宝元元年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4564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54626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0.4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7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5059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2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8709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0.405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90226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7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499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0.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60</w:t>
            </w:r>
          </w:p>
        </w:tc>
      </w:tr>
      <w:tr>
        <w:tblPrEx>
          <w:tblW w:w="724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85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元丰元年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475677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955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7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0.454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280000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775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0.574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926225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20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086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0.</w:t>
            </w:r>
          </w:p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78</w:t>
            </w:r>
          </w:p>
        </w:tc>
      </w:tr>
    </w:tbl>
    <w:p>
      <w:pPr>
        <w:sectPr>
          <w:headerReference w:type="even" r:id="rId20"/>
          <w:footerReference w:type="even" r:id="rId21"/>
          <w:headerReference w:type="first" r:id="rId22"/>
          <w:footerReference w:type="first" r:id="rId23"/>
          <w:type w:val="nextPage"/>
          <w:pgSz w:w="11906" w:h="16838"/>
          <w:pgMar w:top="910" w:right="1080" w:bottom="1440" w:left="1080" w:header="152" w:footer="0" w:gutter="0"/>
          <w:pgNumType w:start="4"/>
          <w:cols w:num="1" w:space="720"/>
          <w:titlePg w:val="0"/>
          <w:docGrid w:type="lines" w:linePitch="312" w:charSpace="0"/>
        </w:sectPr>
      </w:pP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土地兼并程度加深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地域经济差别扩大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商品经济发展加快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贫富差距逐渐缩小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【详解】本题是单类型单项选择题。据本题主题</w:t>
      </w:r>
      <w:r>
        <w:rPr>
          <w:rFonts w:ascii="微软雅黑" w:eastAsia="微软雅黑" w:hAnsi="微软雅黑" w:cs="微软雅黑" w:hint="eastAsia"/>
          <w:color w:val="000000"/>
        </w:rPr>
        <w:t>干的设问词，可知这是本质题。据本题时间信息可知准确时空是：宋代（中国）。阅读材料表格数据可知，宋代户籍数量（主户与客户）自宝元元年至元丰元年均大幅增加，且主户占总数的比率也逐渐增加（客户占比减少）。北宋延续了两税法以资产为主的征税标准，宋初实行“不立田制，不抑兼并”的政策，封建经济进一步发展，人</w:t>
      </w:r>
      <w:r>
        <w:rPr>
          <w:rFonts w:ascii="微软雅黑" w:eastAsia="微软雅黑" w:hAnsi="微软雅黑" w:cs="微软雅黑" w:hint="eastAsia"/>
          <w:color w:val="000000"/>
        </w:rPr>
        <w:t>口不断增长，租佃关系日益普遍化，所以表中客户比率变化反映出商品经济发展加快，C项正确；土地兼并程度加深并不是材料反映的本质问题，排除A项；仅凭材料数据无法得出地域经济差别扩大的结论，排除B项；封建经济进一步发展会促使贫富差距逐步拉大，排除D项。故选C项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5. </w:t>
      </w:r>
      <w:r>
        <w:rPr>
          <w:rFonts w:ascii="微软雅黑" w:eastAsia="微软雅黑" w:hAnsi="微软雅黑" w:cs="微软雅黑" w:hint="eastAsia"/>
          <w:color w:val="000000"/>
        </w:rPr>
        <w:t>科举及第人数是衡量区域社会流动、经济发展与文化建设等程度的重要指标。下图为明代湖北进士及湖北籍人物著作分布情况。由此可见（   ）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5238750" cy="1800860"/>
            <wp:effectExtent l="0" t="0" r="0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0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人文环境与人才选拔相互影响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交通条件制约人才分布的格局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政区等级与文教水平保持一致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文化成就与人口升降密切相关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25"/>
          <w:footerReference w:type="even" r:id="rId26"/>
          <w:headerReference w:type="first" r:id="rId27"/>
          <w:footerReference w:type="first" r:id="rId28"/>
          <w:type w:val="nextPage"/>
          <w:pgSz w:w="11906" w:h="16838"/>
          <w:pgMar w:top="910" w:right="1080" w:bottom="1440" w:left="1080" w:header="152" w:footer="0" w:gutter="0"/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【详解】本题是单类型</w:t>
      </w:r>
      <w:r>
        <w:rPr>
          <w:rFonts w:ascii="微软雅黑" w:eastAsia="微软雅黑" w:hAnsi="微软雅黑" w:cs="微软雅黑" w:hint="eastAsia"/>
          <w:color w:val="000000"/>
        </w:rPr>
        <w:t>单项选择题。据本题主题干的设问词，可知这是推断题。据本题时间信息可知准确时空是：明代（中国）。据“明代湖北进士分布示意图”，可知武昌府与黄州府是进士人数最多的两个地区，据“明代湖北籍人物著作府域分布图”，可知府域最多的地区依旧为黄州府和武昌府，进士人数多能够营造良好的人文环境，而良好的人文环境有利于提升人才选</w:t>
      </w:r>
      <w:r>
        <w:rPr>
          <w:rFonts w:ascii="微软雅黑" w:eastAsia="微软雅黑" w:hAnsi="微软雅黑" w:cs="微软雅黑" w:hint="eastAsia"/>
          <w:color w:val="000000"/>
        </w:rPr>
        <w:t>拔率，A项正确；交通条件不是制约人才分布格局的核心因素，排除B项；荆州府的政区等级高于黄州府，但文教水平低于黄州府，排除C项；</w:t>
      </w:r>
      <w:r>
        <w:rPr>
          <w:rFonts w:ascii="微软雅黑" w:eastAsia="微软雅黑" w:hAnsi="微软雅黑" w:cs="微软雅黑" w:hint="eastAsia"/>
          <w:color w:val="000000"/>
        </w:rPr>
        <w:t>“明代湖北籍人物著作府域分布”与“明代湖北地区人口分布”是两个概念，排</w:t>
      </w:r>
      <w:r>
        <w:rPr>
          <w:rFonts w:ascii="微软雅黑" w:eastAsia="微软雅黑" w:hAnsi="微软雅黑" w:cs="微软雅黑" w:hint="eastAsia"/>
          <w:color w:val="000000"/>
        </w:rPr>
        <w:t>除D项。故选A项。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6. </w:t>
      </w:r>
      <w:r>
        <w:rPr>
          <w:rFonts w:ascii="微软雅黑" w:eastAsia="微软雅黑" w:hAnsi="微软雅黑" w:cs="微软雅黑" w:hint="eastAsia"/>
          <w:color w:val="000000"/>
        </w:rPr>
        <w:t>鸦片战争后，列强将不平等条约强加给中国，清朝原有的法律体系随之发生改变。《北京条约》签订后，清初制定的海禁律例从根本上被打破。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870年，《大清律例》新增打击拐卖人口出洋、允许华民出洋务工的条文。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909年，清政府颁布《大清国籍条例》，以保护海外华侨。上述材料说明（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清廷改革受西方法律影响明显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条约体系与中国国内法关系密切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清朝被迫从闭关锁国走向开放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清政府通过调整法律以应对时局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D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29"/>
          <w:footerReference w:type="even" r:id="rId30"/>
          <w:headerReference w:type="first" r:id="rId31"/>
          <w:footerReference w:type="first" r:id="rId32"/>
          <w:type w:val="nextPage"/>
          <w:pgSz w:w="11906" w:h="16838"/>
          <w:pgMar w:top="910" w:right="1080" w:bottom="1440" w:left="1080" w:header="152" w:footer="0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本题是单类型单项选择题。据本题主题干的设问词，可知这是本质题。据本题时间信息可知准确时空是：近代（中国）。根据材料信息“鸦片战争后，……清朝原有的法律体系随之发生改变。……海禁律例从根本上被打破。……《大清律例》新增打击拐卖人口出洋、允许华民出洋务工的条文。……清政府颁布《大清国籍条例》，以保护海外华侨”可知，鸦片战争后，随着西方列强侵略的不断加深，清政府原有的律例内容如海禁等规定被逐渐打破，还新制定了打击拐卖人口、保护海外华侨的法律规定，可知清政府通过调整法律以应对时局，D项正确；材料未提及清朝借鉴西方法律，排除A项；《北京条约》签订后，清初制定的海禁律例从根本上被打破，这体现了条约对中国国内法的影响，但这不能概括题干中“清朝根据局势变化修订和新出台法律”等相关信息，排除B项；清政府并未采取对外开放政策，排除C项。故选D项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7. </w:t>
      </w:r>
      <w:r>
        <w:rPr>
          <w:rFonts w:ascii="微软雅黑" w:eastAsia="微软雅黑" w:hAnsi="微软雅黑" w:cs="微软雅黑" w:hint="eastAsia"/>
          <w:color w:val="000000"/>
        </w:rPr>
        <w:t>下表是有关太平天国运动领导人洪秀全的描述，对此解读最准确的是（   ）</w:t>
      </w:r>
    </w:p>
    <w:tbl>
      <w:tblPr>
        <w:tblStyle w:val="TableNormal"/>
        <w:tblW w:w="829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90"/>
        <w:gridCol w:w="6405"/>
      </w:tblGrid>
      <w:tr>
        <w:tblPrEx>
          <w:tblW w:w="8295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来源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内容</w:t>
            </w:r>
          </w:p>
        </w:tc>
      </w:tr>
      <w:tr>
        <w:tblPrEx>
          <w:tblW w:w="829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太平天国方面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躯长大，面微圆而白，鼻高耳圆而小，其声音响亮而沉重，笑时屋为之震，有极大之膂力与极敏捷之知觉</w:t>
            </w:r>
          </w:p>
        </w:tc>
      </w:tr>
      <w:tr>
        <w:tblPrEx>
          <w:tblW w:w="829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清廷方面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身材魁硕，赤面高颧，有须，粗通文墨，素无赖，日事赌博；体质肥钝，了无异人处</w:t>
            </w:r>
          </w:p>
        </w:tc>
      </w:tr>
      <w:tr>
        <w:tblPrEx>
          <w:tblW w:w="829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民国前后革命党人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</w:rPr>
              <w:t>面长丰满，红须，手垂过膝；身干长大，富雄姿，豪迈博学，治《春秋》《汉书》</w:t>
            </w:r>
          </w:p>
        </w:tc>
      </w:tr>
    </w:tbl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不同史料对人物的记载不同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不同的描述体现人物的多面性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不同立场影响对人物</w:t>
      </w:r>
      <w:r>
        <w:rPr>
          <w:rFonts w:ascii="微软雅黑" w:eastAsia="微软雅黑" w:hAnsi="微软雅黑" w:cs="微软雅黑" w:hint="eastAsia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>描述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不同时期对人物描述有所侧重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33"/>
          <w:footerReference w:type="even" r:id="rId34"/>
          <w:headerReference w:type="first" r:id="rId35"/>
          <w:footerReference w:type="first" r:id="rId36"/>
          <w:type w:val="nextPage"/>
          <w:pgSz w:w="11906" w:h="16838"/>
          <w:pgMar w:top="910" w:right="1080" w:bottom="1440" w:left="1080" w:header="152" w:footer="0" w:gutter="0"/>
          <w:pgNumType w:start="7"/>
          <w:cols w:num="1" w:space="720"/>
          <w:titlePg w:val="0"/>
          <w:docGrid w:type="lines" w:linePitch="312" w:charSpace="0"/>
        </w:sectPr>
      </w:pP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本题是最佳选择题。时空是前太平天国运动时期（中国）。根据材料“有极大之膂力与极敏捷之知觉”“粗通文墨，素无赖，日事赌博；体质肥钝，了无异人处”“身干长大，富雄姿，豪迈博学，治《春秋》《汉书》”并结合所学可知，太平天国运动是几千年来，农民起义的最高峰，其平分产品和土地的主张，满足了农民阶级的需要，太平天国方面对洪秀全做出了较高的评价；太平天国运动对准的矛头是清政府，其被清朝政府扑灭以后，清朝政府对洪秀全的形象进行了大肆的诋毁；而民国前后的革命党人由于历史需要，称他为“英雄”、“豪杰”，革命派认为，只有推翻清朝政府，推翻封建制度，才能把中国从半殖民地半封建的深渊里救出来。而洪秀全的太平天国运动，显然是中国自近代以来的一次自发革命运动，是一个革命的摸索。虽然失败了，却为后来的革命积累了宝贵的经验。这个时期人们对洪秀全的评价基本是大义凛然的。故对人物的评价受制于当时的历史条件，不同立场影响对人物的描述，C项正确；不同史料对人物记载的不同是由于其立场的差异，排除A项；洪秀全人物本身并非多面，只有受制于立场的差异，对其做出了不同的评价，排除B项；不同时期对人物描述有所侧重的根本原因是其立场的差异，排除D项。故选C项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8.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5年5月22日，《申报》刊登了一则上海中国明明眼镜公司的声明：“近有丧心病狂之徒，以自己之营业失败，侮蔑本公司货物，谓贩自日本，实为本公司意外之奇辱也……不独本公司无丝毫日货，即中国全国眼镜界上，吾亦敢断言绝无丝毫日货混杂其间。”该现象反映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外交关系影响社会舆论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新文化运动的深入发展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民族企业发展形势严峻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中外商业竞争愈发激烈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【详解】本题是单类型单项选择题。据本题主题干的设问词，可知这是本质题。据本题时间信息可知准确时空是：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5年（中国）。根据材料“近有丧心病狂之徒，以自己之营业失败，侮蔑本公司货物，谓贩自日本，实为本公司意外之奇辱也……不独本公司无丝毫日货，即中国全国眼镜界上，吾亦敢断言绝无丝毫日货混杂其间。”可知，一战时期，中国民族工业发展迎来了短暂春天，其原因之一是群众的爱国热情下，纷纷抵制日货，这为民族工业的发展提供了空间，但当时民族工业存在恶性竞争，一些公司诋毁其他公司贩卖日货，从而影响其公司的发展，可知当时外交关系影响社会舆论，A项正确；新文化运动是一场思想解放运动，与材料无关，排除B项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37"/>
          <w:footerReference w:type="even" r:id="rId38"/>
          <w:headerReference w:type="first" r:id="rId39"/>
          <w:footerReference w:type="first" r:id="rId40"/>
          <w:type w:val="nextPage"/>
          <w:pgSz w:w="11906" w:h="16838"/>
          <w:pgMar w:top="910" w:right="1080" w:bottom="1440" w:left="1080" w:header="152" w:footer="0" w:gutter="0"/>
          <w:pgNumType w:start="8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4年至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8年处于一战时期，欧洲列强放松对华经济侵略，使我国民族工业发展迎来黄金时期，民族企业发展并非形势严峻，排除C项；材料未涉及“丧心病狂之徒”是外国企业，无法得出中外商业之间竞争愈发激烈，排除D项。故选A项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9. </w:t>
      </w:r>
      <w:r>
        <w:rPr>
          <w:rFonts w:ascii="微软雅黑" w:eastAsia="微软雅黑" w:hAnsi="微软雅黑" w:cs="微软雅黑" w:hint="eastAsia"/>
          <w:color w:val="000000"/>
        </w:rPr>
        <w:t>全面抗战爆发后，八路军来到太行山区，山西省平顺县西沟村贫苦农民李顺达得以翻身。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94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年，李顺达组织六户贫困农民成立农业劳动互助组。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950年，他参加了全国工农兵劳动英雄代表大会。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95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年，李顺达互助组发起生产竞赛，全国各地纷纷响应。据此可知（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根据地的经验延续至新中国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农业互助组是主要生产组织形式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劳模示范推动技术领域创新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互助合作推动三大改造顺利开展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【详解】本题是单类型单项选择题。据本题主题干的设问词，可知这是推断题。据本题时间信息可知准确时空是：新中国成立初期。根据材料“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94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年，李顺达组织六户贫困农民成立农业劳动互助组。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950年，他参加了全国工农兵劳动英雄代表大会。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95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41"/>
          <w:footerReference w:type="even" r:id="rId42"/>
          <w:headerReference w:type="first" r:id="rId43"/>
          <w:footerReference w:type="first" r:id="rId44"/>
          <w:type w:val="nextPage"/>
          <w:pgSz w:w="11906" w:h="16838"/>
          <w:pgMar w:top="910" w:right="1080" w:bottom="1440" w:left="1080" w:header="152" w:footer="0" w:gutter="0"/>
          <w:pgNumType w:start="9"/>
          <w:cols w:num="1" w:space="720"/>
          <w:titlePg w:val="0"/>
          <w:docGrid w:type="lines" w:linePitch="312" w:charSpace="0"/>
        </w:sectPr>
      </w:pP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年，李顺达互助组发起生产竞赛，全国各地纷纷响应。”可知，在全面抗战时期，中共中央把发展生产作为群众运动和改善民生工作的中心，为抗战的胜利奠定了物质基础。抗日根据地时期的互助合作运动的经验和措施，也为新中国成立后，农业经济的恢复和日后要进行的三大改造积累了经验，故根据地的经验延续至新中国，A项正确；材料只涉及了农业互助组这一种生产组织形式，无法得出农业互助组是主要生产组织形式，排除B项；材料未涉及技术领域创新的内容，排除C项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95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年至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956年开展了三大改造，材料未涉及三大改造的内容，排除D项。故选A项。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0. </w:t>
      </w:r>
      <w:r>
        <w:rPr>
          <w:rFonts w:ascii="微软雅黑" w:eastAsia="微软雅黑" w:hAnsi="微软雅黑" w:cs="微软雅黑" w:hint="eastAsia"/>
          <w:color w:val="000000"/>
        </w:rPr>
        <w:t>中国加入世界贸易组织经历了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5年漫长历程。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986年，中国正式提出“复关”申请，此后数年谈判没有实质性进展。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992年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0月以后，前期谈判的核心问题才迎刃而解。出现这种变化的主要原因是（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世界两极格局的瓦解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中国特色社会主义理论体系初步形成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经济全球化快速发展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中国确立社会主义市场经济体制目标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D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【详解】本题是单类型单项选择题。据本题主题干</w:t>
      </w:r>
      <w:r>
        <w:rPr>
          <w:rFonts w:ascii="微软雅黑" w:eastAsia="微软雅黑" w:hAnsi="微软雅黑" w:cs="微软雅黑" w:hint="eastAsia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>设问词，可知这是原因题。据本题时间信息可知准确时空是：现代（中国）。根据材料“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992年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0月以后，前期谈判的核心问题才迎刃而解。”并结合所学可知，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987年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0月22日关贸总协定中国工作组第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次会议在日内瓦举行，确定工作日程，到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992年</w:t>
      </w:r>
      <w:r>
        <w:rPr>
          <w:rFonts w:ascii="微软雅黑" w:eastAsia="微软雅黑" w:hAnsi="微软雅黑" w:cs="微软雅黑" w:hint="eastAsia"/>
          <w:color w:val="000000"/>
        </w:rPr>
        <w:br/>
      </w:r>
      <w:r>
        <w:rPr>
          <w:rFonts w:ascii="微软雅黑" w:eastAsia="微软雅黑" w:hAnsi="微软雅黑" w:cs="微软雅黑" w:hint="eastAsia"/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https://d.book118.com/457025000061006046</w:t>
        </w:r>
      </w:hyperlink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sectPr>
      <w:headerReference w:type="even" r:id="rId46"/>
      <w:footerReference w:type="even" r:id="rId47"/>
      <w:headerReference w:type="first" r:id="rId48"/>
      <w:footerReference w:type="first" r:id="rId49"/>
      <w:type w:val="nextPage"/>
      <w:pgSz w:w="11906" w:h="16838"/>
      <w:pgMar w:top="910" w:right="1080" w:bottom="1440" w:left="1080" w:header="152" w:footer="0" w:gutter="0"/>
      <w:pgNumType w:start="10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796A48"/>
    <w:rsid w:val="1CEE49A2"/>
    <w:rsid w:val="38274566"/>
    <w:rsid w:val="4F0039E5"/>
    <w:rsid w:val="56BD7407"/>
    <w:rsid w:val="7D3217C2"/>
  </w:rsids>
  <w:docVars>
    <w:docVar w:name="commondata" w:val="eyJoZGlkIjoiOGJiMGQ3NmNiNDBlZjk3NmQzODViMjhiY2E3MTYwZG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image" Target="media/image3.wmf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header" Target="header5.xml" /><Relationship Id="rId17" Type="http://schemas.openxmlformats.org/officeDocument/2006/relationships/footer" Target="footer5.xml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footer" Target="footer7.xml" /><Relationship Id="rId22" Type="http://schemas.openxmlformats.org/officeDocument/2006/relationships/header" Target="header8.xml" /><Relationship Id="rId23" Type="http://schemas.openxmlformats.org/officeDocument/2006/relationships/footer" Target="footer8.xml" /><Relationship Id="rId24" Type="http://schemas.openxmlformats.org/officeDocument/2006/relationships/image" Target="media/image4.png" /><Relationship Id="rId25" Type="http://schemas.openxmlformats.org/officeDocument/2006/relationships/header" Target="header9.xml" /><Relationship Id="rId26" Type="http://schemas.openxmlformats.org/officeDocument/2006/relationships/footer" Target="footer9.xml" /><Relationship Id="rId27" Type="http://schemas.openxmlformats.org/officeDocument/2006/relationships/header" Target="header10.xml" /><Relationship Id="rId28" Type="http://schemas.openxmlformats.org/officeDocument/2006/relationships/footer" Target="footer10.xml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header" Target="header12.xml" /><Relationship Id="rId32" Type="http://schemas.openxmlformats.org/officeDocument/2006/relationships/footer" Target="footer12.xml" /><Relationship Id="rId33" Type="http://schemas.openxmlformats.org/officeDocument/2006/relationships/header" Target="header13.xml" /><Relationship Id="rId34" Type="http://schemas.openxmlformats.org/officeDocument/2006/relationships/footer" Target="footer13.xml" /><Relationship Id="rId35" Type="http://schemas.openxmlformats.org/officeDocument/2006/relationships/header" Target="header14.xml" /><Relationship Id="rId36" Type="http://schemas.openxmlformats.org/officeDocument/2006/relationships/footer" Target="footer14.xml" /><Relationship Id="rId37" Type="http://schemas.openxmlformats.org/officeDocument/2006/relationships/header" Target="header15.xml" /><Relationship Id="rId38" Type="http://schemas.openxmlformats.org/officeDocument/2006/relationships/footer" Target="footer15.xml" /><Relationship Id="rId39" Type="http://schemas.openxmlformats.org/officeDocument/2006/relationships/header" Target="header16.xml" /><Relationship Id="rId4" Type="http://schemas.openxmlformats.org/officeDocument/2006/relationships/customXml" Target="../customXml/item1.xml" /><Relationship Id="rId40" Type="http://schemas.openxmlformats.org/officeDocument/2006/relationships/footer" Target="footer16.xml" /><Relationship Id="rId41" Type="http://schemas.openxmlformats.org/officeDocument/2006/relationships/header" Target="header17.xml" /><Relationship Id="rId42" Type="http://schemas.openxmlformats.org/officeDocument/2006/relationships/footer" Target="footer17.xml" /><Relationship Id="rId43" Type="http://schemas.openxmlformats.org/officeDocument/2006/relationships/header" Target="header18.xml" /><Relationship Id="rId44" Type="http://schemas.openxmlformats.org/officeDocument/2006/relationships/footer" Target="footer18.xml" /><Relationship Id="rId45" Type="http://schemas.openxmlformats.org/officeDocument/2006/relationships/hyperlink" Target="https://d.book118.com/457025000061006046" TargetMode="External" /><Relationship Id="rId46" Type="http://schemas.openxmlformats.org/officeDocument/2006/relationships/header" Target="header19.xml" /><Relationship Id="rId47" Type="http://schemas.openxmlformats.org/officeDocument/2006/relationships/footer" Target="footer19.xml" /><Relationship Id="rId48" Type="http://schemas.openxmlformats.org/officeDocument/2006/relationships/header" Target="header20.xml" /><Relationship Id="rId49" Type="http://schemas.openxmlformats.org/officeDocument/2006/relationships/footer" Target="footer20.xml" /><Relationship Id="rId5" Type="http://schemas.openxmlformats.org/officeDocument/2006/relationships/image" Target="media/image1.png" /><Relationship Id="rId50" Type="http://schemas.openxmlformats.org/officeDocument/2006/relationships/theme" Target="theme/theme1.xml" /><Relationship Id="rId51" Type="http://schemas.openxmlformats.org/officeDocument/2006/relationships/styles" Target="styles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3259524479827968</dc:description>
  <cp:lastModifiedBy>马兵兵</cp:lastModifiedBy>
  <cp:revision>8</cp:revision>
  <dcterms:created xsi:type="dcterms:W3CDTF">2023-06-14T21:08:00Z</dcterms:created>
  <dcterms:modified xsi:type="dcterms:W3CDTF">2024-03-04T14:36:49Z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CB65CD77F1D64AC493FFFC71C067CB5B_13</vt:lpwstr>
  </property>
  <property fmtid="{D5CDD505-2E9C-101B-9397-08002B2CF9AE}" pid="7" name="KSOProductBuildVer">
    <vt:lpwstr>2052-12.1.0.16399</vt:lpwstr>
  </property>
</Properties>
</file>