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10756900</wp:posOffset>
            </wp:positionH>
            <wp:positionV relativeFrom="topMargin">
              <wp:posOffset>10655300</wp:posOffset>
            </wp:positionV>
            <wp:extent cx="342900" cy="419100"/>
            <wp:effectExtent l="0" t="0" r="0" b="0"/>
            <wp:wrapNone/>
            <wp:docPr id="100065" name="图片 100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图片 1000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t>【同步实验课】</w:t>
      </w:r>
      <w:r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  <w:t>过氧化氢制取氧气实验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o:spid="_x0000_i1025" type="#_x0000_t202" style="width:492pt;height:71.25pt" coordsize="21600,21600">
            <v:stroke joinstyle="round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01实验梳理        02实验点拨            03典例分析</w:t>
                  </w: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04对点训练         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【实验目的】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1．学习实验室用过氧化氢制取氧气的方法。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．</w:t>
            </w:r>
            <w:r>
              <w:rPr>
                <w:rFonts w:ascii="Times New Roman" w:hAnsi="Times New Roman" w:cs="Times New Roman"/>
              </w:rPr>
              <w:t>了解化学反应需要一定的条件，知道催化剂对化学反应的重要作用。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【实验仪器】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锥形瓶、分液漏斗、双孔橡胶塞、胶皮管、玻璃导管、集气瓶、水槽、玻璃片、弹簧夹、火柴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【实验试剂】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过氧化氢溶液、二氧化锰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【实验步骤】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7" w:type="dxa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szCs w:val="21"/>
              </w:rPr>
              <w:t>1）连接装置并。</w:t>
            </w:r>
          </w:p>
          <w:p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（2）向锥形瓶中加入。</w:t>
            </w:r>
          </w:p>
          <w:p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（3）塞好带有分液漏斗和导管的双孔塞。</w:t>
            </w:r>
          </w:p>
          <w:p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（4）向分液漏斗中加入。</w:t>
            </w:r>
          </w:p>
          <w:p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（5）滴加液体：打开分液漏斗活塞，慢慢滴加过氧化氢溶液。</w:t>
            </w:r>
          </w:p>
          <w:p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（6）用排水集气法收集。</w:t>
            </w: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szCs w:val="21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1.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反应原理</w:t>
      </w:r>
    </w:p>
    <w:p>
      <w:pPr>
        <w:shd w:val="clear" w:color="auto" w:fill="FFFFFF"/>
        <w:spacing w:line="360" w:lineRule="auto"/>
        <w:ind w:firstLine="420" w:firstLineChars="200"/>
        <w:jc w:val="left"/>
        <w:textAlignment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（1）文字表达式：</w:t>
      </w:r>
    </w:p>
    <w:p>
      <w:pPr>
        <w:shd w:val="clear" w:color="auto" w:fill="FFFFFF"/>
        <w:spacing w:line="360" w:lineRule="auto"/>
        <w:ind w:firstLine="420" w:firstLineChars="200"/>
        <w:jc w:val="left"/>
        <w:textAlignment w:val="center"/>
        <w:rPr>
          <w:rFonts w:ascii="Times New Roman" w:hAnsi="Times New Roman" w:cs="Times New Roman"/>
          <w:color w:val="FF0000"/>
          <w:szCs w:val="22"/>
          <w:u w:val="single"/>
          <w:vertAlign w:val="subscript"/>
        </w:rPr>
      </w:pPr>
      <w:r>
        <w:rPr>
          <w:rFonts w:ascii="Times New Roman" w:hAnsi="Times New Roman" w:cs="Times New Roman"/>
        </w:rPr>
        <w:t>（2）符号表达式：</w:t>
      </w:r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szCs w:val="21"/>
        </w:rPr>
        <w:sectPr>
          <w:pgSz w:w="11906" w:h="16838"/>
          <w:pgMar w:top="1134" w:right="1701" w:bottom="1134" w:left="1701" w:header="708" w:footer="708" w:gutter="0"/>
          <w:cols w:num="1" w:space="708"/>
          <w:docGrid w:linePitch="286" w:charSpace="0"/>
        </w:sect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2.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催化剂</w:t>
      </w:r>
    </w:p>
    <w:p>
      <w:pPr>
        <w:snapToGri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（1）定义：在化学反应中能其他物质的化学反应速率，而本身的和在反应前后都没有发生变化的物质。</w:t>
      </w:r>
    </w:p>
    <w:p>
      <w:pPr>
        <w:snapToGri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（2）特点：“一变两不变”</w:t>
      </w:r>
    </w:p>
    <w:p>
      <w:pPr>
        <w:snapToGri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①一变：；（可以加快也可以减慢）</w:t>
      </w:r>
    </w:p>
    <w:p>
      <w:pPr>
        <w:snapToGri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②两不变：。（物理性质可以改变）</w:t>
      </w:r>
    </w:p>
    <w:p>
      <w:pPr>
        <w:pStyle w:val="PlainText"/>
        <w:spacing w:line="360" w:lineRule="auto"/>
        <w:ind w:firstLine="420" w:firstLineChars="200"/>
        <w:rPr>
          <w:rFonts w:ascii="Times New Roman" w:hAnsi="Times New Roman" w:cs="Times New Roman"/>
          <w:b/>
          <w:color w:val="0070C0"/>
        </w:rPr>
      </w:pPr>
      <w:r>
        <w:rPr>
          <w:rFonts w:ascii="Times New Roman" w:hAnsi="Times New Roman" w:cs="Times New Roman"/>
          <w:b/>
          <w:color w:val="0070C0"/>
        </w:rPr>
        <w:t>【注意】</w:t>
      </w:r>
    </w:p>
    <w:p>
      <w:pPr>
        <w:snapToGri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①催化剂（填“能”或“不能”）改变生成物的质量；</w:t>
      </w:r>
    </w:p>
    <w:p>
      <w:pPr>
        <w:snapToGri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②催化剂（填“能”或“不能”）控制反应的发生与停止；</w:t>
      </w:r>
    </w:p>
    <w:p>
      <w:pPr>
        <w:snapToGri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③同一化学反应（填“一定”或“不一定”）只有一种催化剂；同一物质可以在的化学反应中起催化作用。</w:t>
      </w:r>
    </w:p>
    <w:p>
      <w:pPr>
        <w:snapToGri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（3）验证某物质是催化剂的方法</w:t>
      </w:r>
    </w:p>
    <w:p>
      <w:pPr>
        <w:snapToGri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①改变反应速率：设计实验，观察加入该物质前后化学反应速率是否改变。。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②反应前后质量不变：称量该物质在的质量是否发生变化。。   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③化学性质不变：一般进行实验，观察重新加入反应物的现象和原来的现象是否相同。</w:t>
      </w:r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highlight w:val="yellow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>3. 分液漏斗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检查装置气密性的方法</w:t>
      </w:r>
    </w:p>
    <w:p>
      <w:pPr>
        <w:adjustRightInd w:val="0"/>
        <w:snapToGrid w:val="0"/>
        <w:spacing w:line="360" w:lineRule="auto"/>
        <w:ind w:firstLine="420" w:firstLineChars="200"/>
        <w:outlineLvl w:val="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方法①：连接装置后，先关闭分液漏斗活塞，再将导管的末端放入水中，双手紧握锥形瓶，若，松开手后导管中形成一段水柱，说明装置气密性良好。</w:t>
      </w:r>
    </w:p>
    <w:p>
      <w:pPr>
        <w:spacing w:line="360" w:lineRule="auto"/>
        <w:ind w:firstLine="420" w:firstLineChars="200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方法②：连接装置后，夹紧止水夹，关闭分液漏斗活塞，向分液漏斗中加水，打开活塞，一段时间后，，说明装置气密性良好。</w:t>
      </w:r>
    </w:p>
    <w:p>
      <w:pPr>
        <w:pStyle w:val="BodyText"/>
        <w:numPr>
          <w:ilvl w:val="0"/>
          <w:numId w:val="1"/>
        </w:numPr>
        <w:rPr>
          <w:b/>
          <w:color w:val="366091" w:themeColor="accent1" w:themeShade="BF"/>
          <w:szCs w:val="21"/>
          <w:highlight w:val="yellow"/>
        </w:rPr>
      </w:pPr>
      <w:r>
        <w:rPr>
          <w:b/>
          <w:color w:val="366091" w:themeColor="accent1" w:themeShade="BF"/>
          <w:szCs w:val="21"/>
          <w:highlight w:val="yellow"/>
        </w:rPr>
        <w:t>发生装置的评价</w:t>
      </w:r>
    </w:p>
    <w:tbl>
      <w:tblPr>
        <w:tblStyle w:val="TableGrid0"/>
        <w:tblW w:w="0" w:type="auto"/>
        <w:tblInd w:w="0" w:type="dxa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436"/>
        <w:gridCol w:w="2648"/>
        <w:gridCol w:w="1964"/>
        <w:gridCol w:w="1987"/>
      </w:tblGrid>
      <w:tr>
        <w:tblPrEx>
          <w:tblW w:w="0" w:type="auto"/>
          <w:tblInd w:w="0" w:type="dxa"/>
          <w:tblBorders>
            <w:top w:val="single" w:sz="4" w:space="0" w:color="1F497D"/>
            <w:left w:val="single" w:sz="4" w:space="0" w:color="1F497D"/>
            <w:bottom w:val="single" w:sz="4" w:space="0" w:color="1F497D"/>
            <w:right w:val="single" w:sz="4" w:space="0" w:color="1F497D"/>
            <w:insideH w:val="single" w:sz="4" w:space="0" w:color="1F497D"/>
            <w:insideV w:val="single" w:sz="4" w:space="0" w:color="1F497D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/>
        </w:trPr>
        <w:tc>
          <w:tcPr>
            <w:tcW w:w="76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发生装置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</w:rPr>
              <w:drawing>
                <wp:inline distT="0" distB="0" distL="114300" distR="114300">
                  <wp:extent cx="647700" cy="1112520"/>
                  <wp:effectExtent l="0" t="0" r="0" b="11430"/>
                  <wp:docPr id="3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111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</w:rPr>
              <w:drawing>
                <wp:inline distT="0" distB="0" distL="114300" distR="114300">
                  <wp:extent cx="1177925" cy="1043940"/>
                  <wp:effectExtent l="0" t="0" r="3175" b="3810"/>
                  <wp:docPr id="33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925" cy="104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</w:rPr>
              <w:drawing>
                <wp:inline distT="0" distB="0" distL="114300" distR="114300">
                  <wp:extent cx="1151890" cy="1114425"/>
                  <wp:effectExtent l="0" t="0" r="10160" b="9525"/>
                  <wp:docPr id="34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89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</w:rPr>
              <w:drawing>
                <wp:inline distT="0" distB="0" distL="114300" distR="114300">
                  <wp:extent cx="864235" cy="1011555"/>
                  <wp:effectExtent l="0" t="0" r="12065" b="17145"/>
                  <wp:docPr id="35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235" cy="101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/>
        </w:trPr>
        <w:tc>
          <w:tcPr>
            <w:tcW w:w="76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评价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 w:val="0"/>
              <w:spacing w:line="360" w:lineRule="auto"/>
              <w:ind w:firstLine="210" w:firstLineChars="100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操作</w:t>
            </w:r>
          </w:p>
        </w:tc>
        <w:tc>
          <w:tcPr>
            <w:tcW w:w="30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便于（长颈漏斗下端要，形成液封）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可以，得到平稳的氧气流</w:t>
            </w:r>
          </w:p>
        </w:tc>
        <w:tc>
          <w:tcPr>
            <w:tcW w:w="227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可以，得到平稳的氧气流</w:t>
            </w:r>
          </w:p>
        </w:tc>
      </w:tr>
    </w:tbl>
    <w:p>
      <w:pPr>
        <w:spacing w:line="360" w:lineRule="auto"/>
        <w:ind w:firstLine="420" w:firstLineChars="200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br/>
      </w:r>
      <w:r>
        <w:rPr>
          <w:rFonts w:ascii="Times New Roman" w:eastAsia="宋体" w:hAnsi="Times New Roman" w:cs="Times New Roman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https://d.book118.com/458060112017006040</w:t>
        </w:r>
      </w:hyperlink>
    </w:p>
    <w:p>
      <w:pPr>
        <w:spacing w:line="360" w:lineRule="auto"/>
        <w:ind w:firstLine="420" w:firstLineChars="200"/>
        <w:jc w:val="center"/>
        <w:rPr>
          <w:rFonts w:ascii="Times New Roman" w:eastAsia="宋体" w:hAnsi="Times New Roman" w:cs="Times New Roman"/>
          <w:szCs w:val="21"/>
        </w:rPr>
      </w:pPr>
    </w:p>
    <w:sectPr>
      <w:type w:val="nextPage"/>
      <w:pgSz w:w="11906" w:h="16838"/>
      <w:pgMar w:top="1134" w:right="1701" w:bottom="1134" w:left="1701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516ABA8"/>
    <w:multiLevelType w:val="singleLevel"/>
    <w:tmpl w:val="F516ABA8"/>
    <w:lvl w:ilvl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4851"/>
    <w:rsid w:val="00072476"/>
    <w:rsid w:val="000A2AA0"/>
    <w:rsid w:val="00133502"/>
    <w:rsid w:val="00172A27"/>
    <w:rsid w:val="00247604"/>
    <w:rsid w:val="002A080C"/>
    <w:rsid w:val="002D5128"/>
    <w:rsid w:val="002E21F1"/>
    <w:rsid w:val="003C7BC3"/>
    <w:rsid w:val="004134B8"/>
    <w:rsid w:val="004151FC"/>
    <w:rsid w:val="0042207C"/>
    <w:rsid w:val="004702B8"/>
    <w:rsid w:val="004919CE"/>
    <w:rsid w:val="004D62D4"/>
    <w:rsid w:val="004E7CF9"/>
    <w:rsid w:val="004F3D78"/>
    <w:rsid w:val="00517CC2"/>
    <w:rsid w:val="00606FF3"/>
    <w:rsid w:val="0065351F"/>
    <w:rsid w:val="007226B5"/>
    <w:rsid w:val="0072623F"/>
    <w:rsid w:val="007334A1"/>
    <w:rsid w:val="007339C8"/>
    <w:rsid w:val="007809F8"/>
    <w:rsid w:val="007A6640"/>
    <w:rsid w:val="007F7B75"/>
    <w:rsid w:val="00845ACD"/>
    <w:rsid w:val="008A3A64"/>
    <w:rsid w:val="009E1A7B"/>
    <w:rsid w:val="009E289E"/>
    <w:rsid w:val="00A208AE"/>
    <w:rsid w:val="00AE1179"/>
    <w:rsid w:val="00B27CBA"/>
    <w:rsid w:val="00B51E04"/>
    <w:rsid w:val="00C02FC6"/>
    <w:rsid w:val="00C42AD4"/>
    <w:rsid w:val="00C97C79"/>
    <w:rsid w:val="00CB4DAF"/>
    <w:rsid w:val="00D032FB"/>
    <w:rsid w:val="00D71642"/>
    <w:rsid w:val="00E0444A"/>
    <w:rsid w:val="00E12032"/>
    <w:rsid w:val="00E66EC4"/>
    <w:rsid w:val="00E92994"/>
    <w:rsid w:val="00F01406"/>
    <w:rsid w:val="00F84AB7"/>
    <w:rsid w:val="00F86E86"/>
    <w:rsid w:val="01A241A4"/>
    <w:rsid w:val="0449381C"/>
    <w:rsid w:val="09420839"/>
    <w:rsid w:val="09DD3423"/>
    <w:rsid w:val="0AB172A8"/>
    <w:rsid w:val="0B275F39"/>
    <w:rsid w:val="0B281777"/>
    <w:rsid w:val="0BEC6048"/>
    <w:rsid w:val="0DAD4E1B"/>
    <w:rsid w:val="0DB21F97"/>
    <w:rsid w:val="0E1327A4"/>
    <w:rsid w:val="0E8F62CF"/>
    <w:rsid w:val="108856CC"/>
    <w:rsid w:val="1251771B"/>
    <w:rsid w:val="128F4AEF"/>
    <w:rsid w:val="13A62514"/>
    <w:rsid w:val="1415616C"/>
    <w:rsid w:val="16041350"/>
    <w:rsid w:val="170665BD"/>
    <w:rsid w:val="17116093"/>
    <w:rsid w:val="179130B8"/>
    <w:rsid w:val="190E0B7B"/>
    <w:rsid w:val="1C3B4CCA"/>
    <w:rsid w:val="1E8E1648"/>
    <w:rsid w:val="1F225BA0"/>
    <w:rsid w:val="1F7237CF"/>
    <w:rsid w:val="26394DAF"/>
    <w:rsid w:val="26EF3957"/>
    <w:rsid w:val="27736336"/>
    <w:rsid w:val="27DF39CB"/>
    <w:rsid w:val="293B2E83"/>
    <w:rsid w:val="2A0B4F4C"/>
    <w:rsid w:val="2A2C6C70"/>
    <w:rsid w:val="2A9160E4"/>
    <w:rsid w:val="2A924AAB"/>
    <w:rsid w:val="2C3F0EDD"/>
    <w:rsid w:val="2E2E56E1"/>
    <w:rsid w:val="2E5124D3"/>
    <w:rsid w:val="30202DD3"/>
    <w:rsid w:val="3186135C"/>
    <w:rsid w:val="33957634"/>
    <w:rsid w:val="33B43F5E"/>
    <w:rsid w:val="353D3BE0"/>
    <w:rsid w:val="356B4AF0"/>
    <w:rsid w:val="35AE735B"/>
    <w:rsid w:val="3699743B"/>
    <w:rsid w:val="36AE1B85"/>
    <w:rsid w:val="37980E92"/>
    <w:rsid w:val="37E56DDC"/>
    <w:rsid w:val="38371DA9"/>
    <w:rsid w:val="3BE51D20"/>
    <w:rsid w:val="3C486CB6"/>
    <w:rsid w:val="3E7072B3"/>
    <w:rsid w:val="3F4030C3"/>
    <w:rsid w:val="41CF5EFF"/>
    <w:rsid w:val="421D1D03"/>
    <w:rsid w:val="42A5009C"/>
    <w:rsid w:val="43AD4526"/>
    <w:rsid w:val="43E53521"/>
    <w:rsid w:val="43F52DDA"/>
    <w:rsid w:val="448C5AFF"/>
    <w:rsid w:val="465231D2"/>
    <w:rsid w:val="47BA5463"/>
    <w:rsid w:val="48483767"/>
    <w:rsid w:val="49507E2D"/>
    <w:rsid w:val="49520FBA"/>
    <w:rsid w:val="49A72280"/>
    <w:rsid w:val="4B425E9C"/>
    <w:rsid w:val="4BEE392E"/>
    <w:rsid w:val="4C242BBD"/>
    <w:rsid w:val="4C94755E"/>
    <w:rsid w:val="4F883FE5"/>
    <w:rsid w:val="4FA40ED3"/>
    <w:rsid w:val="5265190D"/>
    <w:rsid w:val="52E579D6"/>
    <w:rsid w:val="53E22182"/>
    <w:rsid w:val="58BB6512"/>
    <w:rsid w:val="5A82329A"/>
    <w:rsid w:val="5A836E09"/>
    <w:rsid w:val="5CE96177"/>
    <w:rsid w:val="5E55500A"/>
    <w:rsid w:val="5F187AD3"/>
    <w:rsid w:val="60E76E71"/>
    <w:rsid w:val="62EF7317"/>
    <w:rsid w:val="639C3F43"/>
    <w:rsid w:val="64616F3B"/>
    <w:rsid w:val="64F8164D"/>
    <w:rsid w:val="661765D8"/>
    <w:rsid w:val="66540B05"/>
    <w:rsid w:val="6BAF67DE"/>
    <w:rsid w:val="6CA200F0"/>
    <w:rsid w:val="6CE801F9"/>
    <w:rsid w:val="6D5533B5"/>
    <w:rsid w:val="708244C1"/>
    <w:rsid w:val="70FC4273"/>
    <w:rsid w:val="7153093F"/>
    <w:rsid w:val="72B76A57"/>
    <w:rsid w:val="73905A49"/>
    <w:rsid w:val="73A806E2"/>
    <w:rsid w:val="73D474DF"/>
    <w:rsid w:val="73EB4EAE"/>
    <w:rsid w:val="73F13E37"/>
    <w:rsid w:val="761E4C8C"/>
    <w:rsid w:val="777D5681"/>
    <w:rsid w:val="77E1777D"/>
    <w:rsid w:val="78212811"/>
    <w:rsid w:val="79E306C6"/>
    <w:rsid w:val="7A090757"/>
    <w:rsid w:val="7A831561"/>
    <w:rsid w:val="7BBC53C6"/>
    <w:rsid w:val="7DCA7D98"/>
  </w:rsids>
  <w:docVars>
    <w:docVar w:name="commondata" w:val="eyJoZGlkIjoiOGE5NzIyNzBmNjdmZmIzOTEzMWM5ZTA4NDI2OThhO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uiPriority w:val="1"/>
    <w:unhideWhenUsed/>
    <w:qFormat/>
    <w:pPr>
      <w:widowControl w:val="0"/>
      <w:spacing w:after="12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table" w:customStyle="1" w:styleId="TableGrid0">
    <w:name w:val="Table Grid_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hyperlink" Target="https://d.book118.com/458060112017006040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9"/>
    <customShpInfo spid="_x0000_s1040"/>
    <customShpInfo spid="_x0000_s1042"/>
    <customShpInfo spid="_x0000_s1043"/>
    <customShpInfo spid="_x0000_s1044"/>
    <customShpInfo spid="_x0000_s1041"/>
    <customShpInfo spid="_x0000_s1046"/>
    <customShpInfo spid="_x0000_s1047"/>
    <customShpInfo spid="_x0000_s1048"/>
    <customShpInfo spid="_x0000_s1045"/>
    <customShpInfo spid="_x0000_s1050"/>
    <customShpInfo spid="_x0000_s1051"/>
    <customShpInfo spid="_x0000_s1052"/>
    <customShpInfo spid="_x0000_s1049"/>
    <customShpInfo spid="_x0000_s1054"/>
    <customShpInfo spid="_x0000_s1055"/>
    <customShpInfo spid="_x0000_s1056"/>
    <customShpInfo spid="_x0000_s1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1597</Words>
  <Characters>9105</Characters>
  <Application>Microsoft Office Word</Application>
  <DocSecurity>0</DocSecurity>
  <Lines>75</Lines>
  <Paragraphs>21</Paragraphs>
  <ScaleCrop>false</ScaleCrop>
  <Company/>
  <LinksUpToDate>false</LinksUpToDate>
  <CharactersWithSpaces>10681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2024-02-21T11:40:19Z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