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2018-2023年武汉电力职业技术学院高职单招（数学／语文／英语）历年常考试题库含答案解析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《箱子岩》一文重点描写了大端阳节什么场面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A.狮子舞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B.社戏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C.灯会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D.赛龙舟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下列成语出于《庄子·秋水》的是（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A.望洋兴叹、贻笑大方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B.望洋兴叹、祸起萧墙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C.贻笑大方，分崩离析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D.祸起萧墙、分崩离析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下列属于书信体驳论文的是（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A.《陈情表》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B.《谏逐客书》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C.《五代史伶官传序》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D.《答司马谏议书》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根据《宝玉挨打》一文判断下列哪句是薛宝钗说的（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A.“我的娘，怎么下这般的狠手！——你但凡听我一句话，也不到这个分儿。幸而没动筋骨，倘或打出个残疾来，可叫人怎么样呢?”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B.“你可都改了罢！”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C.“早听人一句话，也不至有今日！别说老太太、太太心疼，就是我们看着，心里也一一”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D.“可好些了?想什么吃，叫人往我那里取去。”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下列关于作家、作品搭配错误的是（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A.鲁迅——《灯下漫笔》、《论毅力》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B.茅盾——《子夜》、《香市》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C.巴金——《爱尔克的灯光》、《家》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D.曹禺——《雷雨》、《日出》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《长亭送别》中，表现莺莺对现实不满的最为强烈的曲词是（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A.有梦也难寻觅。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B.但得一个并头莲，煞强如状元及第。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C.前暮私情，昨夜成亲，今日别离。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D.蜗角虚名，蝇头微利，拆鸳鸯在两下里。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“五十步笑百步”这一典故出自（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A.《寡人之于国也》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B.《季氏将伐颛臾》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C.《大同》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D.《秋水》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中唐新乐府运动的倡导者是（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A.韩愈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B.杜甫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C.白居易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D.李贺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下列孟子《寡人之于国也》的文句中，最能体现其文主旨的是（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A.寡人之民不加多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B.五十步笑百步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C.申之以孝悌之义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D.王无罪岁，斯天下之民至焉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《行路难》中运用了典故的诗句是（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A.金樽清酒斗十千，玉盘珍羞直万钱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B.停杯投箸不能食，拔剑四顾心茫然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C.闲来垂钓碧溪上，忽复乘舟梦日边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D.欲渡黄河冰塞川，将登太行雪满山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下列作品不属郁达夫所创作的小说是（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A.《春风沉醉的晚上》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B.《伤逝》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C.《薄奠》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D.《迟桂花》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“明月松间照，清泉石上流”使用的修辞方法是（）。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A.排比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C.夸张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D.对偶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《灯下漫笔》一文主要抨击的是（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A.复古主义思潮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B.帝国主义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C.资本主义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D.中国的奴隶制度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孟子和孔子同属（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A.儒家学派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B.道家学派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C.法家学派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https://d.book118.com/458064123132006040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458064123132006040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