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2024年(拍卖师)职业技能及理论知识考试题库与答案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一、单选题</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1．拍卖师在拍卖过程中，应如何确保拍卖活动的顺利进行？</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A.随意调整拍卖规则以吸引竞买人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B.严格按照拍卖公告和拍卖规则执行</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C.根据现场情况灵活调整拍卖节奏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D.偏袒某些竞买人以提高拍卖气氛</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2．在土地使用权拍卖中，若多个竞买人出价相同且均为最高价，应如何处理？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A.由拍卖人决定成交人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B.由出价时间最早的竞买人成交</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C.重新进行竞价，直至决出最高价</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D.抽签决定成交人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3．关于网络拍卖中的竞价延迟机制，以下说法正确的是？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A.竞价延迟机制是法律强制要求的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B.竞价延迟机制旨在保护竞买人的利益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C.竞价延迟机制可以随意设置，无需公告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D.竞价延迟机制只适用于首次出价</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4．在拍卖活动中，若拍卖师发现拍卖公告中的信息有误，应如何处理？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A.立即停止拍卖并更正公告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B.忽略错误，继续拍卖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C.私下与竞买人协商解决方案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D.在拍卖开始前向所有竞买人说明错误并更正</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sectPr>
          <w:pgSz w:w="11906" w:h="16838"/>
          <w:pgMar w:top="1440" w:right="1800" w:bottom="1440" w:left="1800" w:header="851" w:footer="992" w:gutter="0"/>
          <w:cols w:space="708"/>
          <w:docGrid w:type="lines" w:linePitch="312"/>
        </w:sectPr>
      </w:pPr>
      <w:r>
        <w:rPr>
          <w:rFonts w:ascii="宋体" w:eastAsia="宋体" w:hAnsi="宋体" w:hint="eastAsia"/>
          <w:sz w:val="24"/>
          <w:szCs w:val="24"/>
        </w:rPr>
        <w:t>5．在慈善拍卖中，若拍卖所得款项未能及时用于指定的慈善项目，可能面临何种法律责任？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A.民事责任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B.行政责任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C.刑事责任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D.仅受道德谴责，无需承担法律责任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6．拍卖师在拍卖结束后，应如何处理拍卖成交确认书？</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A.自行保管，无需交给买受人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B.邮寄给买受人，无需买受人签字确认</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C.当场交给买受人，并由买受人签字确认</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D.无需签订成交确认书，口头确认即可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7．在拍卖活动中，若竞买人之间、竞买人与拍卖人之间恶意串通，损害他人合法权益的，应如何处理？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A、拍卖无效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B、竞买人承担违约责任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C、依法追究刑事责任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D、拍卖人承担侵权责任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8．在艺术品拍卖中，若拍卖师发现某竞买人使用虚假身份参与竞拍，应如何处理？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A、立即宣布该竞买人成交</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B、警告并制止，必要时取消其竞买资格</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C、允许其继续竞拍，但要求其提供真实身份</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D、无需处理，因竞买人身份不影响拍卖结果</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9．房地产拍卖底价确定的主要依据为（）等。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A、拍卖标的房地产估价报告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B、房地产价格影响因素的分析</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2"/>
          <w:cols w:space="708"/>
          <w:titlePg w:val="0"/>
          <w:docGrid w:type="lines" w:linePitch="312"/>
        </w:sectPr>
      </w:pPr>
      <w:r>
        <w:rPr>
          <w:rFonts w:ascii="宋体" w:eastAsia="宋体" w:hAnsi="宋体" w:hint="eastAsia"/>
          <w:sz w:val="24"/>
          <w:szCs w:val="24"/>
        </w:rPr>
        <w:t>C、拍卖人的经验</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D、优秀的拍卖策划运作方案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10．已设定抵押权的房地产进行拍卖的，下列哪种情形不符合法律规定（）</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A、建设用地使用权抵押后，该土地上新增的建筑物不属于抵押财产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B、抵押人依法承包并经发包方统一抵押的荒山的土地使用权，实现抵押权后，未经法定程序不得改变土地集体所有的性质和土地用途</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C、同一房地产向两个以上债权人抵押且都在同一天登记的，拍卖后所得价款应平均清偿</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D、债务履行期届满，债权未受清偿的，抵押权人可以与抵押人通过协议以抵押房地产进行拍卖，所得价款优先受偿</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11．破产企业财产拍卖的原则不包括（）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A、以人民法院裁定宣告企业破产为依据的原则</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B、拍卖活动依法进行的原则</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C、鼓励整体拍卖的原则</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D、人民法院依法指导管理的原则E.让债权人充分享有知情权和监督权的原则</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12．下面描述正确的是（）。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A、债权是绝对权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B、债权是对人权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C、债权是对物权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D、债权是无期限权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13．我国拍卖市场的起步阶段的特点不包括（）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A、标的物种类多，无法由执法部门统一处置</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B、标的含义不清，标的组成较为混乱</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C、佣金支付不规范</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3"/>
          <w:cols w:space="708"/>
          <w:titlePg w:val="0"/>
          <w:docGrid w:type="lines" w:linePitch="312"/>
        </w:sectPr>
      </w:pPr>
      <w:r>
        <w:rPr>
          <w:rFonts w:ascii="宋体" w:eastAsia="宋体" w:hAnsi="宋体" w:hint="eastAsia"/>
          <w:sz w:val="24"/>
          <w:szCs w:val="24"/>
        </w:rPr>
        <w:t>D、主持拍卖的企业不明确</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14．鸟纹与凤鸟纹的主要区别是（）。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A、大与小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B、头上有无冠纹</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C、尾长与短</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15．广义的破产程序不包括（）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A、清算程序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B、和解程序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C、重整程序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D、分配程序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16．按照出让合同约定进行房地产投资开发，属于房屋建设工程的，完成开发设计总额的（）以上的方可转让。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A、20%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B、25%</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C、15%</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D、30%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17．关于拍卖保证金，以下说法正确的是？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A.拍卖保证金必须由拍卖人自行保管</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B.拍卖保证金应在拍卖成交后无条件退还给竞买人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C.拍卖保证金的主要作用是确保竞买人的竞价行为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D.拍卖保证金可以随意设定金额，无需标准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18．在艺术品拍卖中，若拍卖师对某件拍品的真伪存在疑问，应采取何种措施？</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A.自行鉴定后继续拍卖</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4"/>
          <w:cols w:space="708"/>
          <w:titlePg w:val="0"/>
          <w:docGrid w:type="lines" w:linePitch="312"/>
        </w:sectPr>
      </w:pPr>
      <w:r>
        <w:rPr>
          <w:rFonts w:ascii="宋体" w:eastAsia="宋体" w:hAnsi="宋体" w:hint="eastAsia"/>
          <w:sz w:val="24"/>
          <w:szCs w:val="24"/>
        </w:rPr>
        <w:t>B.忽略疑虑，按委托人要求拍卖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C.聘请专业鉴定机构进行鉴定，并公开鉴定结果</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D.取消该拍品的拍卖计划</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19．狭义的破产程序是即破产清算程序，是指在债务人不能清偿到期债务时，为使各债权人获得公平清偿，而（）</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A、依法对债务人财产进行清算、分配的程序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B、依法对债务人财产进行重新拍卖的程序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C、依法对债务人财产进行公平清偿的程序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D、依法对债务人财产进行保管、清理、估价、处理和分配的程序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20．无主物拍卖不属于（）。</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A、国有资产拍卖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B、罚没公物拍卖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C、公物拍卖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21．机动车的特征不包括（）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A、标的的易移动性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B、使用的时效性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C、车辆的唯一性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D、价格的不稳定性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22．二手车鉴定评估师的执业等级可分为（）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A、初级和高级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B、中级和高级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C、初级、中级、高级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D、初级、高级、特级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23．按古代的概念，狭义的玉是专指（）。</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5"/>
          <w:cols w:space="708"/>
          <w:titlePg w:val="0"/>
          <w:docGrid w:type="lines" w:linePitch="312"/>
        </w:sectPr>
      </w:pPr>
      <w:r>
        <w:rPr>
          <w:rFonts w:ascii="宋体" w:eastAsia="宋体" w:hAnsi="宋体" w:hint="eastAsia"/>
          <w:sz w:val="24"/>
          <w:szCs w:val="24"/>
        </w:rPr>
        <w:t>A、软玉或和田玉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B、翡翠或硬玉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24．上市公司股权拍卖过程中，竞买人已经持有的该上市公司股份数额和其竞买的股份数额累计不得超过该上市公司已经发行股份数额的（）。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A、30%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B、25%</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C、40%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D、50%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25．强制拍卖中，冻结股权的期限不超过（）</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A、1年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B、2年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C、6个月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D、3个月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26．文物商店购买、销售文物，经营文物拍卖的拍卖企业拍卖文物，应报核准其销售、拍卖文物的文物行政主管部门备案。接受备案的文物行政主管部门应当依法保密，并将该记录保存（）年。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A、75</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B、50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C、25</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D、15</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27．中国官窑瓷器以（）代康、雍、乾时期出品的最为有名。</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B、明</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C、清</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D、宋</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6"/>
          <w:cols w:space="708"/>
          <w:titlePg w:val="0"/>
          <w:docGrid w:type="lines" w:linePitch="312"/>
        </w:sect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28．作为非营利性质的慈善组织，其特征不包括（）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A、组织性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B、自愿性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C、非政府性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D、志愿性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29．实用性指（）。</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A、该发明或者实用新型能够制造或者使用，并且能够产生积极效果</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B、该发明能够使用，并且能够为社会创造利益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C、该发明或者实用新型经过认证并能够制造和使用，并能够推进产业化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D、该发明或者实用新型能够经过认证并能够制造和使用，并且能够产生积极效果</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30．人们对艺术品的看法不同造成了价值的（）和出价时的差异。</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A、模糊性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B、同一性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C、准确性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D、不确定性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31．强制拍卖中，对于优先购买权人的通知，法院应在拍卖会召开（）日前进行。</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A、3</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B、7</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C、10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D、5</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32．已预售商品房在建项目拍卖时，商品房预购人有权在接到书面通知之日起（）日内要求解除预售合同。</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7"/>
          <w:cols w:space="708"/>
          <w:titlePg w:val="0"/>
          <w:docGrid w:type="lines" w:linePitch="312"/>
        </w:sectPr>
      </w:pPr>
      <w:r>
        <w:rPr>
          <w:rFonts w:ascii="宋体" w:eastAsia="宋体" w:hAnsi="宋体" w:hint="eastAsia"/>
          <w:sz w:val="24"/>
          <w:szCs w:val="24"/>
        </w:rPr>
        <w:t>A、10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B、30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C、20</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D、15</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33．鸡血石的红色是由于含有（）。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A、红色矿物赤铁矿</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B、朱砂</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34．在拍卖活动中，若拍卖标的存在权属争议，拍卖人应如何处理？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A、忽略争议，继续拍卖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B、自行调查并决定是否可以拍卖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C、暂停拍卖，要求委托人解决权属争议</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D、宣布拍卖无效，并退还竞买人保证金</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35．关于国有建设用地租赁的说法，错误的是（）。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A、国有建设用地租赁包括国有建设用地使用权出让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B、国有建设用地租赁不适用于经营性房地产开发用地</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C、国有建设用地短期租赁年限一般不超过5年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D、国有建设用地租赁可采用双方协议的方式</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36．下列选项中不属于房屋产权登记的是（）。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A、新建登记</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B、更名登记</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C、公正登记</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D、注销登记</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37．下列哪一项不是艺术品的价值体现（）</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A、经济价值</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8"/>
          <w:cols w:space="708"/>
          <w:titlePg w:val="0"/>
          <w:docGrid w:type="lines" w:linePitch="312"/>
        </w:sectPr>
      </w:pPr>
      <w:r>
        <w:rPr>
          <w:rFonts w:ascii="宋体" w:eastAsia="宋体" w:hAnsi="宋体" w:hint="eastAsia"/>
          <w:sz w:val="24"/>
          <w:szCs w:val="24"/>
        </w:rPr>
        <w:t>B、文化价值</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C、审美价值</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D、收藏价值</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E.科学价值</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38．下列有关房地产价格的表述中，正确的是（）。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A、房屋价格的构成中包括住宅小区基础设施建设费</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B、在商品房的成本中包括地段差价</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C、基准地价是对需要进行土地使用权出让、转让或抵押的地块评定的具体价格</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D、房地产价格按照其形成方式可以分为所有权价格和使用权价格</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39．在房地产拍卖中，若拍卖标的为未完工的工程项目，拍卖人应在拍卖公告中特别提示哪些信息？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A.工程的施工进度和预计完工时间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B.开发商的财务状况</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C.购房者的退款政策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D.周边房价的涨跌趋势</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40．强制拍卖与公物拍卖的联系与区别有（）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A、都具有国家强制性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B、均以实现债权为目的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C、都属于法定拍卖</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D、都是由执法部门来进行委托</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41．法定的破产企业财产拍卖的委托人是（）。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A、人民法院；</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B、清算组；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C、债权人会议。</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正确答案：B</w:t>
      </w:r>
      <w:r>
        <w:rPr>
          <w:rFonts w:ascii="宋体" w:eastAsia="宋体" w:hAnsi="宋体" w:hint="eastAsia"/>
          <w:sz w:val="24"/>
          <w:szCs w:val="24"/>
        </w:rPr>
        <w:br/>
      </w:r>
      <w:r>
        <w:rPr>
          <w:rFonts w:ascii="宋体" w:eastAsia="宋体" w:hAnsi="宋体"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https://d.book118.com/458072127067006042</w:t>
        </w:r>
      </w:hyperlink>
    </w:p>
    <w:p>
      <w:pPr>
        <w:spacing w:line="360" w:lineRule="auto"/>
        <w:ind w:firstLine="480" w:firstLineChars="200"/>
        <w:rPr>
          <w:rFonts w:ascii="宋体" w:eastAsia="宋体" w:hAnsi="宋体" w:hint="eastAsia"/>
          <w:sz w:val="24"/>
          <w:szCs w:val="24"/>
        </w:rPr>
      </w:pPr>
    </w:p>
    <w:sectPr>
      <w:type w:val="nextPage"/>
      <w:pgSz w:w="11906" w:h="16838"/>
      <w:pgMar w:top="1440" w:right="1800" w:bottom="1440" w:left="1800"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default"/>
    <w:sig w:usb0="A00002BF" w:usb1="38CF7CFA" w:usb2="00000016" w:usb3="00000000" w:csb0="0004000F" w:csb1="00000000"/>
  </w:font>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093E"/>
    <w:rsid w:val="00140513"/>
    <w:rsid w:val="002B7982"/>
    <w:rsid w:val="0048093E"/>
    <w:rsid w:val="00AD4009"/>
    <w:rsid w:val="00AF7636"/>
    <w:rsid w:val="00F1592F"/>
    <w:rsid w:val="70C071C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等线" w:eastAsia="等线" w:hAnsi="等线" w:cs="Times New Roman"/>
      <w:kern w:val="2"/>
      <w:sz w:val="21"/>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8072127067006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157267680</TotalTime>
  <Pages>9</Pages>
  <Words>3029</Words>
  <Characters>17269</Characters>
  <Application>Microsoft Office Word</Application>
  <DocSecurity>0</DocSecurity>
  <Lines>143</Lines>
  <Paragraphs>40</Paragraphs>
  <ScaleCrop>false</ScaleCrop>
  <Company/>
  <LinksUpToDate>false</LinksUpToDate>
  <CharactersWithSpaces>20258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用户7268</cp:lastModifiedBy>
  <cp:revision>4</cp:revision>
  <dcterms:created xsi:type="dcterms:W3CDTF">2024-09-15T07:27:00Z</dcterms:created>
  <dcterms:modified xsi:type="dcterms:W3CDTF">2024-09-15T11:16:02Z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56F2BED124614A71A623FB557E2638A3_13</vt:lpwstr>
  </property>
  <property fmtid="{D5CDD505-2E9C-101B-9397-08002B2CF9AE}" pid="3" name="KSOProductBuildVer">
    <vt:lpwstr>2052-12.1.0.16894</vt:lpwstr>
  </property>
</Properties>
</file>