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四川遂宁市第二中学校物理八年级下册期末考试同步测评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4"/>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5"/>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6"/>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7"/>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8"/>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9"/>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0"/>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1"/>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2"/>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3"/>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14"/>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15"/>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16"/>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7"/>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8"/>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9"/>
                    <a:stretch>
                      <a:fillRect/>
                    </a:stretch>
                  </pic:blipFill>
                  <pic:spPr>
                    <a:xfrm>
                      <a:off x="0" y="0"/>
                      <a:ext cx="965200"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20"/>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1"/>
                    <a:stretch>
                      <a:fillRect/>
                    </a:stretch>
                  </pic:blipFill>
                  <pic:spPr>
                    <a:xfrm>
                      <a:off x="0" y="0"/>
                      <a:ext cx="3505200" cy="9821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2"/>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23"/>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24"/>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25"/>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6"/>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7"/>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28"/>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9"/>
                    <a:stretch>
                      <a:fillRect/>
                    </a:stretch>
                  </pic:blipFill>
                  <pic:spPr>
                    <a:xfrm>
                      <a:off x="0" y="0"/>
                      <a:ext cx="999067" cy="1117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物理拓展活动中，体重为500N的小丽模拟建筑工地上塔吊的工作情景，用如图所示的滑轮组来提升装修材料，若她用200N的拉力在20s内将重380N的材料提升了5m，（不计绳重和摩擦，g取10N/kg，两滑轮同重）；求：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371600"/>
            <wp:effectExtent l="0" t="0" r="889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0"/>
                    <a:stretch>
                      <a:fillRect/>
                    </a:stretch>
                  </pic:blipFill>
                  <pic:spPr>
                    <a:xfrm>
                      <a:off x="0" y="0"/>
                      <a:ext cx="829733" cy="1371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（1）提升过程中滑轮组的机械效率是多少？拉力的功率是多少？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（2）小丽对地面的压力和支架受到滑轮组对其竖直向下的拉力分别是多少？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一个浮球通过一根细线固定在泳池的底部，当泳池中的水深为 2m时，浮球浸入水中的体积为0.01m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，浮球此时受到绳子的拉力为90N，如图所示，求：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117600"/>
            <wp:effectExtent l="0" t="0" r="635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1"/>
                    <a:stretch>
                      <a:fillRect/>
                    </a:stretch>
                  </pic:blipFill>
                  <pic:spPr>
                    <a:xfrm>
                      <a:off x="0" y="0"/>
                      <a:ext cx="1574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（1）浮球受到的浮力；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（2）泳池底部此时受到水的压强；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（3）浮球的质量。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赛龙舟是我国民间的一项传统体育项目，湘西民间的端午节也常常举办龙舟竞赛活动，俗称“划龙船”。如果一艘龙舟的质量为200kg，载有队员21人，龙舟队员的平均质量为60kg。g取10N/kg，水的密度为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20pt" o:ole="" coordsize="21600,21600" o:preferrelative="t" filled="f" stroked="f">
            <v:stroke joinstyle="miter"/>
            <v:imagedata r:id="rId32" o:title=""/>
            <o:lock v:ext="edit" aspectratio="f"/>
            <w10:anchorlock/>
          </v:shape>
          <o:OLEObject Type="Embed" ProgID="Equation.DSMT4" ShapeID="_x0000_i1025" DrawAspect="Content" ObjectID="_1468075725" r:id="rId33"/>
        </w:object>
      </w:r>
      <w:r>
        <w:rPr>
          <w:rFonts w:ascii="宋体" w:eastAsia="宋体" w:hAnsi="宋体" w:cs="宋体" w:hint="eastAsia"/>
          <w:color w:val="000000" w:themeColor="text1"/>
          <w:sz w:val="22"/>
          <w14:textFill>
            <w14:solidFill>
              <w14:schemeClr w14:val="tx1"/>
            </w14:solidFill>
          </w14:textFill>
        </w:rPr>
        <w:t xml:space="preserve"> ，当载人龙舟静止于水面时，求：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032510"/>
            <wp:effectExtent l="0" t="0" r="0" b="15240"/>
            <wp:docPr id="4" name="图片 4" descr="图片_x0020_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32"/>
                    <pic:cNvPicPr>
                      <a:picLocks noChangeAspect="1"/>
                    </pic:cNvPicPr>
                  </pic:nvPicPr>
                  <pic:blipFill>
                    <a:blip xmlns:r="http://schemas.openxmlformats.org/officeDocument/2006/relationships" r:embed="rId34"/>
                    <a:stretch>
                      <a:fillRect/>
                    </a:stretch>
                  </pic:blipFill>
                  <pic:spPr>
                    <a:xfrm>
                      <a:off x="0" y="0"/>
                      <a:ext cx="16764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（1）载人龙舟的总重是多大？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（2）船体排开水的体积V是多大？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（3）龙舟底部位于水下0.4m处时船底受到水的心压强是多大？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利用身边的一些物体，可以做很多小实验：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1117600"/>
            <wp:effectExtent l="0" t="0" r="6350" b="6350"/>
            <wp:docPr id="3" name="图片 3"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5"/>
                    <pic:cNvPicPr>
                      <a:picLocks noChangeAspect="1"/>
                    </pic:cNvPicPr>
                  </pic:nvPicPr>
                  <pic:blipFill>
                    <a:blip xmlns:r="http://schemas.openxmlformats.org/officeDocument/2006/relationships" r:embed="rId35"/>
                    <a:stretch>
                      <a:fillRect/>
                    </a:stretch>
                  </pic:blipFill>
                  <pic:spPr>
                    <a:xfrm>
                      <a:off x="0" y="0"/>
                      <a:ext cx="2946400"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（1）用一根橡皮筋水平匀速直线拉动放在桌面上的一本书，然后在书下垫几支圆珠笔，再匀速直线拉动。如图甲所示，实验中发现第二次拉动时，橡皮筋伸长的长度变</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（填“长”或“短”），由此可以说明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（2）如图乙所示，用手指压住铅笔两端，右边的手指感到特别疼痛，这说明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（1）老师让同学将凸透镜正对着天花板上亮着的日光灯并上下移动，直到平放在水平桌面上的白纸上得到清晰的日光灯的像，此时用刻度尺测出像到凸透镜的距离为10.0cm，则该凸透镜的焦距近似为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711200"/>
            <wp:effectExtent l="0" t="0" r="10795" b="12700"/>
            <wp:docPr id="60" name="图片 60" descr="图片_x0020_115049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150492786"/>
                    <pic:cNvPicPr>
                      <a:picLocks noChangeAspect="1"/>
                    </pic:cNvPicPr>
                  </pic:nvPicPr>
                  <pic:blipFill>
                    <a:blip xmlns:r="http://schemas.openxmlformats.org/officeDocument/2006/relationships" r:embed="rId36"/>
                    <a:stretch>
                      <a:fillRect/>
                    </a:stretch>
                  </pic:blipFill>
                  <pic:spPr>
                    <a:xfrm>
                      <a:off x="0" y="0"/>
                      <a:ext cx="2675467" cy="71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（2）将蜡烛、凸透镜、光屏依次摆在光具座上，为了使蜡烛的像成在光屏中央，应调节烛焰和光屏的中心位于凸透镜的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上．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（3）如图甲所示，光屏上呈现清晰的像，此像的性质是倒立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的实像，这是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（选填“照相机”、“投影仪”或“放大镜”）的成像原理．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（4）如图乙，保持蜡烛位置不变，移动透镜至16cm刻度线处，则人眼应按图中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（选填“A”、“B”或“C”）观察方法可观察到烛焰的像．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（5）如图丙，在烛焰和凸透镜之间放一副眼镜，发现光屏上原来清晰的像变模糊了，将光屏向透镜移近适当距离后光屏上再次呈现清晰的像，则该眼镜是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眼镜（选填“近视”或“远视”）．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【解答】A．如图，在天平的标尺上，1g之间有5个小格，一个小格代表的质量是0.2g，即天平的分度值为0.2g；被测物体的质量为 </w:t>
      </w:r>
      <w:r>
        <w:rPr>
          <w:rFonts w:ascii="宋体" w:eastAsia="宋体" w:hAnsi="宋体" w:cs="宋体" w:hint="eastAsia"/>
          <w:color w:val="000000" w:themeColor="text1"/>
          <w:sz w:val="22"/>
          <w14:textFill>
            <w14:solidFill>
              <w14:schemeClr w14:val="tx1"/>
            </w14:solidFill>
          </w14:textFill>
        </w:rPr>
        <w:object>
          <v:shape id="_x0000_i1026" type="#_x0000_t75" style="width:122pt;height:16pt" o:ole="" coordsize="21600,21600" o:preferrelative="t" filled="f" stroked="f">
            <v:stroke joinstyle="miter"/>
            <v:imagedata r:id="rId37" o:title=""/>
            <o:lock v:ext="edit" aspectratio="f"/>
            <w10:anchorlock/>
          </v:shape>
          <o:OLEObject Type="Embed" ProgID="Equation.DSMT4" ShapeID="_x0000_i1026" DrawAspect="Content" ObjectID="_1468075726" r:id="rId38"/>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https://d.book118.com/458117002125006040</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013D3"/>
    <w:rsid w:val="05A013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wmf" /><Relationship Id="rId33" Type="http://schemas.openxmlformats.org/officeDocument/2006/relationships/oleObject" Target="embeddings/oleObject1.bin" /><Relationship Id="rId34" Type="http://schemas.openxmlformats.org/officeDocument/2006/relationships/image" Target="media/image30.png"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wmf" /><Relationship Id="rId38" Type="http://schemas.openxmlformats.org/officeDocument/2006/relationships/oleObject" Target="embeddings/oleObject2.bin" /><Relationship Id="rId39" Type="http://schemas.openxmlformats.org/officeDocument/2006/relationships/hyperlink" Target="https://d.book118.com/458117002125006040" TargetMode="External" /><Relationship Id="rId4" Type="http://schemas.openxmlformats.org/officeDocument/2006/relationships/image" Target="media/image1.png"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14</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2023-11-15T06:10:16Z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CEE1E8EE18EB4C6093126FE806AB628A_11</vt:lpwstr>
  </property>
  <property fmtid="{D5CDD505-2E9C-101B-9397-08002B2CF9AE}" pid="3" name="KSOProductBuildVer">
    <vt:lpwstr>2052-11.1.0.14309</vt:lpwstr>
  </property>
</Properties>
</file>