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消肿散结类用药行业相关公司筹备报告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_Toc13369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_Toc6379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三、消肿散结类用药项目概况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(二)、消肿散结类用药项目提出的理由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(三)、消肿散结类用药项目选址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(六)、消肿散结类用药项目投资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4" w:history="1">
        <w:r>
          <w:rPr>
            <w:rFonts w:ascii="仿宋" w:eastAsia="仿宋" w:hAnsi="仿宋" w:cs="仿宋" w:hint="eastAsia"/>
            <w:lang w:eastAsia="zh-CN"/>
          </w:rPr>
          <w:t>(七)、消肿散结类用药项目进度规划</w:t>
        </w:r>
        <w:r>
          <w:tab/>
        </w:r>
        <w:r>
          <w:fldChar w:fldCharType="begin"/>
        </w:r>
        <w:r>
          <w:instrText xml:space="preserve"> PAGEREF _Toc24424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(九)、消肿散结类用药项目综合评价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_Toc8275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_Toc8172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_Toc21948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_Toc6291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3" w:history="1">
        <w:r>
          <w:rPr>
            <w:rFonts w:ascii="仿宋" w:eastAsia="仿宋" w:hAnsi="仿宋" w:cs="仿宋" w:hint="eastAsia"/>
            <w:lang w:eastAsia="zh-CN"/>
          </w:rPr>
          <w:t>七、消肿散结类用药项目风险分析</w:t>
        </w:r>
        <w:r>
          <w:tab/>
        </w:r>
        <w:r>
          <w:fldChar w:fldCharType="begin"/>
        </w:r>
        <w:r>
          <w:instrText xml:space="preserve"> PAGEREF _Toc22743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(一)、消肿散结类用药项目风险分析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(二)、消肿散结类用药项目风险对策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_Toc23676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_Toc22581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_Toc9570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_Toc22079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(一)、消肿散结类用药项目进度安排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(二)、消肿散结类用药项目实施保障措施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_Toc25863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_Toc11250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9" w:history="1">
        <w:r>
          <w:rPr>
            <w:rFonts w:ascii="仿宋" w:eastAsia="仿宋" w:hAnsi="仿宋" w:cs="仿宋" w:hint="eastAsia"/>
            <w:lang w:eastAsia="zh-CN"/>
          </w:rPr>
          <w:t>(二)、合作消肿散结类用药项目</w:t>
        </w:r>
        <w:r>
          <w:tab/>
        </w:r>
        <w:r>
          <w:fldChar w:fldCharType="begin"/>
        </w:r>
        <w:r>
          <w:instrText xml:space="preserve"> PAGEREF _Toc26299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_Toc3004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_Toc12131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7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1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https://d.book118.com/458122132024006030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消肿散结类用药行业相关公司筹备报告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消肿散结类用药行业相关公司筹备报告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消肿散结类用药行业相关公司筹备报告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消肿散结类用药行业相关公司筹备报告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消肿散结类用药行业相关公司筹备报告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122132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2024-01-16T04:33:00Z</dcterms:created>
  <dcterms:modified xsi:type="dcterms:W3CDTF">2024-01-16T04:33:13Z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B883CDFF52A04A21AB47F8B3137858A4_11</vt:lpwstr>
  </property>
  <property fmtid="{D5CDD505-2E9C-101B-9397-08002B2CF9AE}" pid="3" name="KSOProductBuildVer">
    <vt:lpwstr>2052-12.1.0.16120</vt:lpwstr>
  </property>
</Properties>
</file>