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opLinePunct/>
        <w:ind w:right="284"/>
        <w:jc w:val="right"/>
        <w:rPr>
          <w:lang w:val="fr-FR"/>
        </w:rPr>
      </w:pPr>
    </w:p>
    <w:p>
      <w:pPr>
        <w:pStyle w:val="Heading2"/>
        <w:numPr>
          <w:numId w:val="0"/>
        </w:numPr>
        <w:rPr>
          <w:lang w:val="fr-FR"/>
        </w:rPr>
      </w:pPr>
    </w:p>
    <w:p>
      <w:pPr>
        <w:rPr>
          <w:lang w:val="fr-FR"/>
        </w:rPr>
      </w:pPr>
    </w:p>
    <w:p>
      <w:pPr>
        <w:rPr>
          <w:lang w:val="fr-FR"/>
        </w:rPr>
      </w:pPr>
    </w:p>
    <w:p>
      <w:pPr>
        <w:pStyle w:val="Heading2"/>
        <w:numPr>
          <w:numId w:val="0"/>
        </w:numPr>
        <w:rPr>
          <w:lang w:val="fr-FR"/>
        </w:rPr>
      </w:pPr>
    </w:p>
    <w:p>
      <w:pPr>
        <w:rPr>
          <w:lang w:val="fr-FR"/>
        </w:rPr>
      </w:pPr>
    </w:p>
    <w:p>
      <w:pPr>
        <w:pStyle w:val="Heading2"/>
        <w:numPr>
          <w:numId w:val="0"/>
        </w:numPr>
        <w:rPr>
          <w:lang w:val="fr-FR"/>
        </w:rPr>
      </w:pPr>
    </w:p>
    <w:p>
      <w:pPr>
        <w:rPr>
          <w:lang w:val="fr-FR"/>
        </w:rPr>
      </w:pPr>
    </w:p>
    <w:p>
      <w:pPr>
        <w:pStyle w:val="Heading2"/>
        <w:numPr>
          <w:numId w:val="0"/>
        </w:numPr>
        <w:rPr>
          <w:lang w:val="fr-FR"/>
        </w:rPr>
      </w:pPr>
    </w:p>
    <w:p>
      <w:pPr>
        <w:rPr>
          <w:lang w:val="fr-FR"/>
        </w:rPr>
      </w:pPr>
    </w:p>
    <w:p>
      <w:pPr>
        <w:rPr>
          <w:lang w:val="fr-FR"/>
        </w:rPr>
      </w:pPr>
    </w:p>
    <w:p>
      <w:pPr>
        <w:pStyle w:val="Heading2"/>
        <w:numPr>
          <w:numId w:val="0"/>
        </w:numPr>
        <w:rPr>
          <w:lang w:val="fr-FR"/>
        </w:rPr>
      </w:pPr>
    </w:p>
    <w:p>
      <w:pPr>
        <w:rPr>
          <w:lang w:val="fr-FR"/>
        </w:rPr>
      </w:pPr>
    </w:p>
    <w:p>
      <w:pPr>
        <w:pStyle w:val="Heading2"/>
        <w:numPr>
          <w:numId w:val="0"/>
        </w:numPr>
        <w:rPr>
          <w:lang w:val="fr-FR"/>
        </w:rPr>
      </w:pPr>
    </w:p>
    <w:p>
      <w:pPr>
        <w:spacing w:line="600" w:lineRule="exact"/>
        <w:jc w:val="center"/>
        <w:rPr>
          <w:rFonts w:eastAsia="方正黑体_GBK" w:hint="eastAsia"/>
          <w:sz w:val="48"/>
          <w:szCs w:val="48"/>
        </w:rPr>
      </w:pPr>
      <w:bookmarkStart w:id="0" w:name="OLE_LINK24"/>
      <w:bookmarkStart w:id="1" w:name="_GoBack"/>
      <w:r>
        <w:rPr>
          <w:rFonts w:eastAsia="方正黑体_GBK" w:hint="eastAsia"/>
          <w:sz w:val="48"/>
          <w:szCs w:val="48"/>
        </w:rPr>
        <w:t>电力线路跨越高速铁路防护技术规程</w:t>
      </w:r>
      <w:bookmarkEnd w:id="0"/>
    </w:p>
    <w:bookmarkEnd w:id="1"/>
    <w:p>
      <w:pPr>
        <w:pStyle w:val="Heading2"/>
        <w:numPr>
          <w:numId w:val="0"/>
        </w:numPr>
        <w:rPr>
          <w:rFonts w:hint="eastAsia"/>
        </w:rPr>
      </w:pPr>
    </w:p>
    <w:p>
      <w:pPr>
        <w:pStyle w:val="Heading2"/>
        <w:numPr>
          <w:numId w:val="0"/>
        </w:numPr>
        <w:rPr>
          <w:rFonts w:eastAsia="宋体" w:hint="eastAsia"/>
          <w:lang w:eastAsia="zh-CN"/>
        </w:rPr>
      </w:pPr>
    </w:p>
    <w:p>
      <w:pPr>
        <w:rPr>
          <w:rFonts w:hint="eastAsia"/>
        </w:rPr>
      </w:pPr>
    </w:p>
    <w:p>
      <w:pPr>
        <w:pStyle w:val="Heading2"/>
        <w:numPr>
          <w:numId w:val="0"/>
        </w:numPr>
        <w:rPr>
          <w:rFonts w:hint="eastAsia"/>
          <w:lang w:eastAsia="zh-CN"/>
        </w:rPr>
      </w:pPr>
    </w:p>
    <w:p>
      <w:pPr>
        <w:rPr>
          <w:rFonts w:hint="eastAsia"/>
        </w:rPr>
      </w:pPr>
    </w:p>
    <w:p>
      <w:pPr>
        <w:pStyle w:val="Heading2"/>
        <w:numPr>
          <w:numId w:val="0"/>
        </w:numPr>
        <w:rPr>
          <w:rFonts w:hint="eastAsia"/>
          <w:lang w:eastAsia="zh-CN"/>
        </w:rPr>
      </w:pPr>
    </w:p>
    <w:p>
      <w:pPr>
        <w:rPr>
          <w:rFonts w:hint="eastAsia"/>
        </w:rPr>
      </w:pPr>
    </w:p>
    <w:p>
      <w:pPr>
        <w:rPr>
          <w:rFonts w:hint="eastAsia"/>
        </w:rPr>
      </w:pPr>
    </w:p>
    <w:p>
      <w:pPr>
        <w:pStyle w:val="Heading2"/>
        <w:numPr>
          <w:numId w:val="0"/>
        </w:numPr>
        <w:rPr>
          <w:rFonts w:hint="eastAsia"/>
          <w:lang w:eastAsia="zh-CN"/>
        </w:rPr>
      </w:pPr>
    </w:p>
    <w:p>
      <w:pPr>
        <w:rPr>
          <w:rFonts w:hint="eastAsia"/>
        </w:rPr>
      </w:pPr>
    </w:p>
    <w:p>
      <w:pPr>
        <w:pStyle w:val="Heading2"/>
        <w:numPr>
          <w:numId w:val="0"/>
        </w:numPr>
        <w:rPr>
          <w:rFonts w:hint="eastAsia"/>
          <w:lang w:eastAsia="zh-CN"/>
        </w:rPr>
      </w:pPr>
    </w:p>
    <w:p/>
    <w:p>
      <w:pPr>
        <w:widowControl/>
        <w:spacing w:line="339" w:lineRule="exact"/>
        <w:rPr>
          <w:kern w:val="0"/>
          <w:sz w:val="32"/>
          <w:szCs w:val="32"/>
        </w:rPr>
      </w:pPr>
      <w:bookmarkStart w:id="2" w:name="page18"/>
      <w:bookmarkEnd w:id="2"/>
      <w:bookmarkStart w:id="3" w:name="page19"/>
      <w:bookmarkEnd w:id="3"/>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sectPr>
          <w:footerReference w:type="default" r:id="rId5"/>
          <w:pgSz w:w="11900" w:h="16840"/>
          <w:pgMar w:top="1134" w:right="1134" w:bottom="1134" w:left="1134" w:header="0" w:footer="0" w:gutter="0"/>
          <w:cols w:num="1" w:space="708" w:equalWidth="0">
            <w:col w:w="9466" w:space="0"/>
          </w:cols>
        </w:sect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p>
    <w:p>
      <w:pPr>
        <w:widowControl/>
        <w:spacing w:line="339" w:lineRule="exact"/>
        <w:jc w:val="center"/>
        <w:rPr>
          <w:rFonts w:hint="eastAsia"/>
          <w:kern w:val="0"/>
          <w:sz w:val="32"/>
          <w:szCs w:val="32"/>
        </w:rPr>
      </w:pPr>
      <w:r>
        <w:rPr>
          <w:rFonts w:hint="eastAsia"/>
          <w:kern w:val="0"/>
          <w:sz w:val="32"/>
          <w:szCs w:val="32"/>
        </w:rPr>
        <w:t>目录</w:t>
      </w:r>
    </w:p>
    <w:p>
      <w:pPr>
        <w:pStyle w:val="TOC1"/>
        <w:tabs>
          <w:tab w:val="left" w:pos="440"/>
          <w:tab w:val="right" w:leader="dot" w:pos="9350"/>
        </w:tabs>
        <w:rPr>
          <w:kern w:val="2"/>
          <w:sz w:val="21"/>
        </w:rPr>
      </w:pPr>
      <w:r>
        <w:rPr>
          <w:color w:val="000000"/>
        </w:rPr>
        <w:fldChar w:fldCharType="begin"/>
      </w:r>
      <w:r>
        <w:rPr>
          <w:color w:val="000000"/>
        </w:rPr>
        <w:instrText xml:space="preserve"> TOC \o "1-3" \h \z \u </w:instrText>
      </w:r>
      <w:r>
        <w:rPr>
          <w:color w:val="000000"/>
        </w:rPr>
        <w:fldChar w:fldCharType="separate"/>
      </w:r>
      <w:hyperlink w:anchor="_Toc513547929" w:history="1">
        <w:r>
          <w:rPr>
            <w:rStyle w:val="Hyperlink"/>
            <w:rFonts w:ascii="黑体" w:eastAsia="黑体" w:hAnsi="黑体" w:cs="黑体"/>
            <w:bCs/>
            <w:kern w:val="44"/>
          </w:rPr>
          <w:t>前</w:t>
        </w:r>
        <w:r>
          <w:rPr>
            <w:kern w:val="2"/>
            <w:sz w:val="21"/>
          </w:rPr>
          <w:tab/>
        </w:r>
        <w:r>
          <w:rPr>
            <w:rStyle w:val="Hyperlink"/>
            <w:rFonts w:ascii="黑体" w:eastAsia="黑体" w:hAnsi="黑体" w:cs="黑体"/>
            <w:bCs/>
            <w:kern w:val="44"/>
          </w:rPr>
          <w:t>言</w:t>
        </w:r>
        <w:r>
          <w:tab/>
        </w:r>
        <w:r>
          <w:rPr>
            <w:rFonts w:hint="eastAsia"/>
          </w:rPr>
          <w:t>1</w:t>
        </w:r>
      </w:hyperlink>
    </w:p>
    <w:p>
      <w:pPr>
        <w:pStyle w:val="TOC1"/>
        <w:tabs>
          <w:tab w:val="right" w:leader="dot" w:pos="9350"/>
        </w:tabs>
        <w:rPr>
          <w:kern w:val="2"/>
          <w:sz w:val="21"/>
        </w:rPr>
      </w:pPr>
      <w:hyperlink w:anchor="_Toc513547930" w:history="1">
        <w:r>
          <w:rPr>
            <w:rStyle w:val="Hyperlink"/>
            <w:rFonts w:ascii="黑体" w:eastAsia="黑体" w:hAnsi="黑体" w:cs="黑体"/>
            <w:bCs/>
            <w:kern w:val="44"/>
          </w:rPr>
          <w:t>1</w:t>
        </w:r>
        <w:r>
          <w:rPr>
            <w:rStyle w:val="Hyperlink"/>
            <w:rFonts w:ascii="Times New Roman" w:hAnsi="Times New Roman"/>
            <w:bCs/>
            <w:kern w:val="44"/>
          </w:rPr>
          <w:t xml:space="preserve">   </w:t>
        </w:r>
        <w:r>
          <w:rPr>
            <w:rStyle w:val="Hyperlink"/>
            <w:rFonts w:ascii="宋体" w:eastAsia="宋体" w:hAnsi="宋体" w:cs="宋体"/>
            <w:bCs/>
            <w:kern w:val="44"/>
          </w:rPr>
          <w:t>范围</w:t>
        </w:r>
        <w:r>
          <w:tab/>
        </w:r>
        <w:r>
          <w:rPr>
            <w:rFonts w:hint="eastAsia"/>
          </w:rPr>
          <w:t>2</w:t>
        </w:r>
      </w:hyperlink>
    </w:p>
    <w:p>
      <w:pPr>
        <w:pStyle w:val="TOC1"/>
        <w:tabs>
          <w:tab w:val="right" w:leader="dot" w:pos="9350"/>
        </w:tabs>
        <w:rPr>
          <w:kern w:val="2"/>
          <w:sz w:val="21"/>
        </w:rPr>
      </w:pPr>
      <w:hyperlink w:anchor="_Toc513547931" w:history="1">
        <w:r>
          <w:rPr>
            <w:rStyle w:val="Hyperlink"/>
            <w:rFonts w:ascii="黑体" w:eastAsia="黑体" w:hAnsi="黑体" w:cs="黑体"/>
            <w:bCs/>
            <w:kern w:val="44"/>
          </w:rPr>
          <w:t>2</w:t>
        </w:r>
        <w:r>
          <w:rPr>
            <w:rStyle w:val="Hyperlink"/>
            <w:rFonts w:ascii="Times New Roman" w:hAnsi="Times New Roman"/>
            <w:bCs/>
            <w:kern w:val="44"/>
          </w:rPr>
          <w:t xml:space="preserve">   规范性引用文件</w:t>
        </w:r>
        <w:r>
          <w:tab/>
        </w:r>
        <w:r>
          <w:fldChar w:fldCharType="begin"/>
        </w:r>
        <w:r>
          <w:instrText xml:space="preserve"> PAGEREF _Toc513547931 \h </w:instrText>
        </w:r>
        <w:r>
          <w:fldChar w:fldCharType="separate"/>
        </w:r>
        <w:r>
          <w:t>2</w:t>
        </w:r>
        <w:r>
          <w:fldChar w:fldCharType="end"/>
        </w:r>
      </w:hyperlink>
    </w:p>
    <w:p>
      <w:pPr>
        <w:pStyle w:val="TOC1"/>
        <w:tabs>
          <w:tab w:val="right" w:leader="dot" w:pos="9350"/>
        </w:tabs>
        <w:rPr>
          <w:kern w:val="2"/>
          <w:sz w:val="21"/>
        </w:rPr>
      </w:pPr>
      <w:hyperlink w:anchor="_Toc513547932" w:history="1">
        <w:r>
          <w:rPr>
            <w:rStyle w:val="Hyperlink"/>
            <w:rFonts w:ascii="黑体" w:eastAsia="黑体" w:hAnsi="黑体" w:cs="黑体"/>
            <w:bCs/>
            <w:kern w:val="44"/>
          </w:rPr>
          <w:t>3</w:t>
        </w:r>
        <w:r>
          <w:rPr>
            <w:rStyle w:val="Hyperlink"/>
            <w:rFonts w:ascii="Times New Roman" w:hAnsi="Times New Roman"/>
            <w:bCs/>
            <w:kern w:val="44"/>
          </w:rPr>
          <w:t xml:space="preserve">   术语和定义</w:t>
        </w:r>
        <w:r>
          <w:tab/>
        </w:r>
        <w:r>
          <w:fldChar w:fldCharType="begin"/>
        </w:r>
        <w:r>
          <w:instrText xml:space="preserve"> PAGEREF _Toc513547932 \h </w:instrText>
        </w:r>
        <w:r>
          <w:fldChar w:fldCharType="separate"/>
        </w:r>
        <w:r>
          <w:t>2</w:t>
        </w:r>
        <w:r>
          <w:fldChar w:fldCharType="end"/>
        </w:r>
      </w:hyperlink>
    </w:p>
    <w:p>
      <w:pPr>
        <w:pStyle w:val="TOC1"/>
        <w:tabs>
          <w:tab w:val="right" w:leader="dot" w:pos="9350"/>
        </w:tabs>
        <w:rPr>
          <w:kern w:val="2"/>
          <w:sz w:val="21"/>
        </w:rPr>
      </w:pPr>
      <w:hyperlink w:anchor="_Toc513547933" w:history="1">
        <w:r>
          <w:rPr>
            <w:rStyle w:val="Hyperlink"/>
            <w:rFonts w:ascii="黑体" w:eastAsia="黑体" w:hAnsi="黑体" w:cs="黑体"/>
            <w:bCs/>
            <w:kern w:val="44"/>
          </w:rPr>
          <w:t>4</w:t>
        </w:r>
        <w:r>
          <w:rPr>
            <w:rStyle w:val="Hyperlink"/>
            <w:rFonts w:ascii="Times New Roman" w:hAnsi="Times New Roman"/>
            <w:bCs/>
            <w:kern w:val="44"/>
          </w:rPr>
          <w:t xml:space="preserve">   符号</w:t>
        </w:r>
        <w:r>
          <w:tab/>
        </w:r>
        <w:r>
          <w:rPr>
            <w:rFonts w:hint="eastAsia"/>
          </w:rPr>
          <w:t>4</w:t>
        </w:r>
      </w:hyperlink>
    </w:p>
    <w:p>
      <w:pPr>
        <w:pStyle w:val="TOC1"/>
        <w:tabs>
          <w:tab w:val="right" w:leader="dot" w:pos="9350"/>
        </w:tabs>
        <w:rPr>
          <w:kern w:val="2"/>
          <w:sz w:val="21"/>
        </w:rPr>
      </w:pPr>
      <w:hyperlink w:anchor="_Toc513547934" w:history="1">
        <w:r>
          <w:rPr>
            <w:rStyle w:val="Hyperlink"/>
            <w:rFonts w:ascii="黑体" w:eastAsia="黑体" w:hAnsi="黑体" w:cs="黑体"/>
            <w:bCs/>
            <w:kern w:val="44"/>
          </w:rPr>
          <w:t>5</w:t>
        </w:r>
        <w:r>
          <w:rPr>
            <w:rStyle w:val="Hyperlink"/>
            <w:rFonts w:ascii="Times New Roman" w:hAnsi="Times New Roman"/>
            <w:bCs/>
            <w:kern w:val="44"/>
          </w:rPr>
          <w:t xml:space="preserve"> </w:t>
        </w:r>
        <w:r>
          <w:rPr>
            <w:rStyle w:val="Hyperlink"/>
            <w:rFonts w:ascii="Times New Roman" w:hAnsi="Times New Roman" w:hint="eastAsia"/>
            <w:bCs/>
            <w:kern w:val="44"/>
          </w:rPr>
          <w:t xml:space="preserve"> </w:t>
        </w:r>
        <w:r>
          <w:rPr>
            <w:rStyle w:val="Hyperlink"/>
            <w:rFonts w:ascii="Times New Roman" w:hAnsi="Times New Roman"/>
            <w:bCs/>
            <w:kern w:val="44"/>
          </w:rPr>
          <w:t xml:space="preserve"> </w:t>
        </w:r>
        <w:r>
          <w:rPr>
            <w:rStyle w:val="Hyperlink"/>
            <w:rFonts w:hint="eastAsia"/>
          </w:rPr>
          <w:t>基本规定</w:t>
        </w:r>
        <w:r>
          <w:tab/>
        </w:r>
        <w:r>
          <w:rPr>
            <w:rFonts w:hint="eastAsia"/>
          </w:rPr>
          <w:t>5</w:t>
        </w:r>
      </w:hyperlink>
    </w:p>
    <w:p>
      <w:pPr>
        <w:pStyle w:val="TOC2"/>
        <w:tabs>
          <w:tab w:val="left" w:pos="840"/>
          <w:tab w:val="right" w:leader="dot" w:pos="9350"/>
        </w:tabs>
        <w:rPr>
          <w:kern w:val="2"/>
          <w:sz w:val="21"/>
        </w:rPr>
      </w:pPr>
      <w:hyperlink w:anchor="_Toc513547935" w:history="1">
        <w:r>
          <w:rPr>
            <w:rStyle w:val="Hyperlink"/>
            <w:rFonts w:ascii="黑体" w:eastAsia="黑体" w:hAnsi="黑体" w:cs="黑体"/>
            <w:bCs/>
          </w:rPr>
          <w:t>5.1</w:t>
        </w:r>
        <w:r>
          <w:rPr>
            <w:kern w:val="2"/>
            <w:sz w:val="21"/>
          </w:rPr>
          <w:tab/>
        </w:r>
        <w:r>
          <w:rPr>
            <w:rStyle w:val="Hyperlink"/>
            <w:rFonts w:hint="eastAsia"/>
          </w:rPr>
          <w:t>跨越铁路防护基本规定</w:t>
        </w:r>
        <w:r>
          <w:tab/>
        </w:r>
        <w:r>
          <w:rPr>
            <w:rFonts w:hint="eastAsia"/>
          </w:rPr>
          <w:t>5</w:t>
        </w:r>
      </w:hyperlink>
    </w:p>
    <w:p>
      <w:pPr>
        <w:pStyle w:val="TOC2"/>
        <w:tabs>
          <w:tab w:val="left" w:pos="840"/>
          <w:tab w:val="right" w:leader="dot" w:pos="9350"/>
        </w:tabs>
        <w:rPr>
          <w:rStyle w:val="Hyperlink"/>
        </w:rPr>
      </w:pPr>
      <w:hyperlink w:anchor="_Toc513547936" w:history="1">
        <w:r>
          <w:rPr>
            <w:rStyle w:val="Hyperlink"/>
            <w:rFonts w:ascii="黑体" w:eastAsia="黑体" w:hAnsi="黑体" w:cs="黑体"/>
            <w:bCs/>
          </w:rPr>
          <w:t>5.2</w:t>
        </w:r>
        <w:r>
          <w:rPr>
            <w:kern w:val="2"/>
            <w:sz w:val="21"/>
          </w:rPr>
          <w:tab/>
        </w:r>
        <w:r>
          <w:rPr>
            <w:rStyle w:val="Hyperlink"/>
            <w:rFonts w:hint="eastAsia"/>
          </w:rPr>
          <w:t>跨越不停电电力线基本规定</w:t>
        </w:r>
        <w:r>
          <w:tab/>
        </w:r>
        <w:r>
          <w:rPr>
            <w:rFonts w:hint="eastAsia"/>
          </w:rPr>
          <w:t>7</w:t>
        </w:r>
      </w:hyperlink>
    </w:p>
    <w:p>
      <w:pPr>
        <w:pStyle w:val="TOC2"/>
        <w:tabs>
          <w:tab w:val="left" w:pos="840"/>
          <w:tab w:val="right" w:leader="dot" w:pos="9350"/>
        </w:tabs>
        <w:rPr>
          <w:rStyle w:val="Hyperlink"/>
        </w:rPr>
      </w:pPr>
      <w:hyperlink w:anchor="_Toc513547944" w:history="1">
        <w:r>
          <w:rPr>
            <w:rStyle w:val="Hyperlink"/>
            <w:rFonts w:hint="eastAsia"/>
          </w:rPr>
          <w:t>5</w:t>
        </w:r>
        <w:r>
          <w:rPr>
            <w:rStyle w:val="Hyperlink"/>
            <w:rFonts w:ascii="黑体" w:eastAsia="黑体" w:hAnsi="黑体" w:cs="黑体"/>
            <w:bCs/>
          </w:rPr>
          <w:t>.</w:t>
        </w:r>
        <w:r>
          <w:rPr>
            <w:rStyle w:val="Hyperlink"/>
            <w:rFonts w:ascii="黑体" w:eastAsia="黑体" w:hAnsi="黑体" w:cs="黑体" w:hint="eastAsia"/>
            <w:bCs/>
          </w:rPr>
          <w:t>3</w:t>
        </w:r>
        <w:r>
          <w:rPr>
            <w:kern w:val="2"/>
            <w:sz w:val="21"/>
          </w:rPr>
          <w:tab/>
        </w:r>
        <w:r>
          <w:rPr>
            <w:rStyle w:val="Hyperlink"/>
            <w:rFonts w:hint="eastAsia"/>
          </w:rPr>
          <w:t>电力线路跨越铁路基本规定</w:t>
        </w:r>
        <w:r>
          <w:tab/>
        </w:r>
      </w:hyperlink>
      <w:r>
        <w:rPr>
          <w:rStyle w:val="Hyperlink"/>
          <w:rFonts w:hint="eastAsia"/>
        </w:rPr>
        <w:t>8</w:t>
      </w:r>
    </w:p>
    <w:p>
      <w:pPr>
        <w:pStyle w:val="TOC1"/>
        <w:tabs>
          <w:tab w:val="left" w:pos="440"/>
          <w:tab w:val="right" w:leader="dot" w:pos="9350"/>
        </w:tabs>
        <w:rPr>
          <w:kern w:val="2"/>
          <w:sz w:val="21"/>
        </w:rPr>
      </w:pPr>
      <w:hyperlink w:anchor="_Toc513547940" w:history="1">
        <w:r>
          <w:rPr>
            <w:rStyle w:val="Hyperlink"/>
            <w:rFonts w:ascii="黑体" w:eastAsia="黑体" w:hAnsi="黑体" w:cs="黑体"/>
            <w:bCs/>
            <w:kern w:val="44"/>
          </w:rPr>
          <w:t>6</w:t>
        </w:r>
        <w:r>
          <w:rPr>
            <w:rStyle w:val="Hyperlink"/>
            <w:rFonts w:ascii="黑体" w:eastAsia="黑体" w:hAnsi="黑体" w:cs="黑体" w:hint="eastAsia"/>
            <w:bCs/>
            <w:kern w:val="44"/>
          </w:rPr>
          <w:t xml:space="preserve">   </w:t>
        </w:r>
        <w:r>
          <w:rPr>
            <w:rStyle w:val="Hyperlink"/>
            <w:rFonts w:hint="eastAsia"/>
          </w:rPr>
          <w:t>施工工艺要求</w:t>
        </w:r>
        <w:r>
          <w:tab/>
        </w:r>
      </w:hyperlink>
      <w:r>
        <w:rPr>
          <w:rStyle w:val="Hyperlink"/>
          <w:rFonts w:hint="eastAsia"/>
        </w:rPr>
        <w:t>9</w:t>
      </w:r>
    </w:p>
    <w:p>
      <w:pPr>
        <w:pStyle w:val="TOC2"/>
        <w:tabs>
          <w:tab w:val="left" w:pos="840"/>
          <w:tab w:val="right" w:leader="dot" w:pos="9350"/>
        </w:tabs>
        <w:rPr>
          <w:kern w:val="2"/>
          <w:sz w:val="21"/>
        </w:rPr>
      </w:pPr>
      <w:hyperlink w:anchor="_Toc513547941" w:history="1">
        <w:r>
          <w:rPr>
            <w:rStyle w:val="Hyperlink"/>
            <w:rFonts w:ascii="黑体" w:eastAsia="黑体" w:hAnsi="黑体" w:cs="黑体"/>
            <w:bCs/>
            <w:color w:val="auto"/>
          </w:rPr>
          <w:t>6.1</w:t>
        </w:r>
        <w:r>
          <w:rPr>
            <w:kern w:val="2"/>
            <w:sz w:val="21"/>
          </w:rPr>
          <w:tab/>
        </w:r>
        <w:r>
          <w:rPr>
            <w:rStyle w:val="Hyperlink"/>
            <w:rFonts w:hint="eastAsia"/>
            <w:color w:val="auto"/>
          </w:rPr>
          <w:t>基本工艺及规定</w:t>
        </w:r>
        <w:r>
          <w:tab/>
        </w:r>
        <w:r>
          <w:rPr>
            <w:rFonts w:hint="eastAsia"/>
          </w:rPr>
          <w:t>9</w:t>
        </w:r>
      </w:hyperlink>
    </w:p>
    <w:p>
      <w:pPr>
        <w:pStyle w:val="TOC2"/>
        <w:tabs>
          <w:tab w:val="left" w:pos="840"/>
          <w:tab w:val="right" w:leader="dot" w:pos="9350"/>
        </w:tabs>
        <w:rPr>
          <w:kern w:val="2"/>
          <w:sz w:val="21"/>
        </w:rPr>
      </w:pPr>
      <w:r>
        <w:rPr>
          <w:rStyle w:val="Hyperlink"/>
          <w:color w:val="auto"/>
        </w:rPr>
        <w:fldChar w:fldCharType="begin"/>
      </w:r>
      <w:r>
        <w:rPr>
          <w:rStyle w:val="Hyperlink"/>
          <w:color w:val="auto"/>
        </w:rPr>
        <w:instrText xml:space="preserve"> </w:instrText>
      </w:r>
      <w:r>
        <w:instrText>HYPERLINK \l "_Toc513547942"</w:instrText>
      </w:r>
      <w:r>
        <w:rPr>
          <w:rStyle w:val="Hyperlink"/>
          <w:color w:val="auto"/>
        </w:rPr>
        <w:instrText xml:space="preserve"> </w:instrText>
      </w:r>
      <w:r>
        <w:rPr>
          <w:rStyle w:val="Hyperlink"/>
          <w:color w:val="auto"/>
        </w:rPr>
        <w:fldChar w:fldCharType="separate"/>
      </w:r>
      <w:hyperlink w:anchor="_Toc513547941" w:history="1">
        <w:r>
          <w:rPr>
            <w:rStyle w:val="Hyperlink"/>
            <w:rFonts w:ascii="黑体" w:eastAsia="黑体" w:hAnsi="黑体" w:cs="黑体"/>
            <w:bCs/>
            <w:color w:val="auto"/>
          </w:rPr>
          <w:t>6.</w:t>
        </w:r>
        <w:r>
          <w:rPr>
            <w:rStyle w:val="Hyperlink"/>
            <w:rFonts w:ascii="黑体" w:eastAsia="黑体" w:hAnsi="黑体" w:cs="黑体" w:hint="eastAsia"/>
            <w:bCs/>
            <w:color w:val="auto"/>
          </w:rPr>
          <w:t>2</w:t>
        </w:r>
        <w:r>
          <w:rPr>
            <w:kern w:val="2"/>
            <w:sz w:val="21"/>
          </w:rPr>
          <w:tab/>
        </w:r>
        <w:r>
          <w:rPr>
            <w:rStyle w:val="Hyperlink"/>
            <w:rFonts w:hint="eastAsia"/>
            <w:color w:val="auto"/>
          </w:rPr>
          <w:t>木质跨越架施工工艺要求</w:t>
        </w:r>
        <w:r>
          <w:tab/>
        </w:r>
        <w:r>
          <w:rPr>
            <w:rFonts w:hint="eastAsia"/>
          </w:rPr>
          <w:t>1</w:t>
        </w:r>
      </w:hyperlink>
      <w:r>
        <w:rPr>
          <w:rStyle w:val="Hyperlink"/>
          <w:rFonts w:hint="eastAsia"/>
          <w:color w:val="auto"/>
        </w:rPr>
        <w:t>1</w:t>
      </w:r>
    </w:p>
    <w:p>
      <w:pPr>
        <w:pStyle w:val="TOC2"/>
        <w:tabs>
          <w:tab w:val="left" w:pos="840"/>
          <w:tab w:val="right" w:leader="dot" w:pos="9350"/>
        </w:tabs>
        <w:rPr>
          <w:rStyle w:val="Hyperlink"/>
        </w:rPr>
      </w:pPr>
      <w:r>
        <w:rPr>
          <w:rStyle w:val="Hyperlink"/>
          <w:color w:val="auto"/>
        </w:rPr>
        <w:fldChar w:fldCharType="end"/>
      </w:r>
      <w:hyperlink w:anchor="_Toc513547941" w:history="1">
        <w:r>
          <w:rPr>
            <w:rStyle w:val="Hyperlink"/>
            <w:rFonts w:ascii="黑体" w:eastAsia="黑体" w:hAnsi="黑体" w:cs="黑体"/>
            <w:bCs/>
          </w:rPr>
          <w:t>6.</w:t>
        </w:r>
        <w:r>
          <w:rPr>
            <w:rStyle w:val="Hyperlink"/>
            <w:rFonts w:ascii="黑体" w:eastAsia="黑体" w:hAnsi="黑体" w:cs="黑体" w:hint="eastAsia"/>
            <w:bCs/>
          </w:rPr>
          <w:t>3</w:t>
        </w:r>
        <w:r>
          <w:rPr>
            <w:kern w:val="2"/>
            <w:sz w:val="21"/>
          </w:rPr>
          <w:tab/>
        </w:r>
        <w:r>
          <w:rPr>
            <w:rStyle w:val="Hyperlink"/>
            <w:rFonts w:hint="eastAsia"/>
          </w:rPr>
          <w:t>承插型盘扣式钢管跨越架施工工艺要求</w:t>
        </w:r>
        <w:r>
          <w:tab/>
        </w:r>
        <w:r>
          <w:rPr>
            <w:rFonts w:hint="eastAsia"/>
          </w:rPr>
          <w:t>1</w:t>
        </w:r>
      </w:hyperlink>
      <w:r>
        <w:rPr>
          <w:rStyle w:val="Hyperlink"/>
          <w:rFonts w:hint="eastAsia"/>
        </w:rPr>
        <w:t>3</w:t>
      </w:r>
    </w:p>
    <w:p>
      <w:pPr>
        <w:pStyle w:val="TOC2"/>
        <w:tabs>
          <w:tab w:val="left" w:pos="840"/>
          <w:tab w:val="right" w:leader="dot" w:pos="9350"/>
        </w:tabs>
      </w:pPr>
      <w:hyperlink w:anchor="_Toc513547944" w:history="1">
        <w:r>
          <w:rPr>
            <w:rStyle w:val="Hyperlink"/>
            <w:rFonts w:hint="eastAsia"/>
          </w:rPr>
          <w:t>6</w:t>
        </w:r>
        <w:r>
          <w:rPr>
            <w:rStyle w:val="Hyperlink"/>
            <w:rFonts w:ascii="黑体" w:eastAsia="黑体" w:hAnsi="黑体" w:cs="黑体"/>
            <w:bCs/>
          </w:rPr>
          <w:t>.</w:t>
        </w:r>
        <w:r>
          <w:rPr>
            <w:rStyle w:val="Hyperlink"/>
            <w:rFonts w:ascii="黑体" w:eastAsia="黑体" w:hAnsi="黑体" w:cs="黑体" w:hint="eastAsia"/>
            <w:bCs/>
          </w:rPr>
          <w:t>4</w:t>
        </w:r>
        <w:r>
          <w:rPr>
            <w:kern w:val="2"/>
            <w:sz w:val="21"/>
          </w:rPr>
          <w:tab/>
        </w:r>
        <w:r>
          <w:rPr>
            <w:rStyle w:val="Hyperlink"/>
            <w:rFonts w:hint="eastAsia"/>
          </w:rPr>
          <w:t>封顶网施工工艺要求</w:t>
        </w:r>
        <w:r>
          <w:tab/>
        </w:r>
        <w:r>
          <w:rPr>
            <w:rFonts w:hint="eastAsia"/>
          </w:rPr>
          <w:t>1</w:t>
        </w:r>
      </w:hyperlink>
      <w:r>
        <w:rPr>
          <w:rStyle w:val="Hyperlink"/>
          <w:rFonts w:hint="eastAsia"/>
        </w:rPr>
        <w:t>3</w:t>
      </w:r>
    </w:p>
    <w:p>
      <w:pPr>
        <w:pStyle w:val="TOC1"/>
        <w:tabs>
          <w:tab w:val="left" w:pos="440"/>
          <w:tab w:val="right" w:leader="dot" w:pos="9350"/>
        </w:tabs>
        <w:rPr>
          <w:kern w:val="2"/>
          <w:sz w:val="21"/>
        </w:rPr>
      </w:pPr>
      <w:hyperlink w:anchor="_Toc513547943" w:history="1">
        <w:r>
          <w:rPr>
            <w:rStyle w:val="Hyperlink"/>
            <w:rFonts w:ascii="黑体" w:eastAsia="黑体" w:hAnsi="黑体" w:cs="黑体"/>
            <w:bCs/>
            <w:kern w:val="44"/>
          </w:rPr>
          <w:t>7</w:t>
        </w:r>
        <w:r>
          <w:rPr>
            <w:kern w:val="2"/>
            <w:sz w:val="21"/>
          </w:rPr>
          <w:tab/>
        </w:r>
        <w:r>
          <w:rPr>
            <w:rStyle w:val="Hyperlink"/>
            <w:rFonts w:hint="eastAsia"/>
          </w:rPr>
          <w:t>安全措施及文明施工、环保规定</w:t>
        </w:r>
        <w:r>
          <w:tab/>
        </w:r>
        <w:r>
          <w:fldChar w:fldCharType="begin"/>
        </w:r>
        <w:r>
          <w:instrText xml:space="preserve"> PAGEREF _Toc513547943 \h </w:instrText>
        </w:r>
        <w:r>
          <w:fldChar w:fldCharType="separate"/>
        </w:r>
        <w:r>
          <w:t>1</w:t>
        </w:r>
        <w:r>
          <w:rPr>
            <w:rFonts w:hint="eastAsia"/>
          </w:rPr>
          <w:t>5</w:t>
        </w:r>
        <w:r>
          <w:fldChar w:fldCharType="end"/>
        </w:r>
      </w:hyperlink>
    </w:p>
    <w:p>
      <w:pPr>
        <w:pStyle w:val="TOC2"/>
        <w:tabs>
          <w:tab w:val="left" w:pos="840"/>
          <w:tab w:val="right" w:leader="dot" w:pos="9350"/>
        </w:tabs>
        <w:rPr>
          <w:kern w:val="2"/>
          <w:sz w:val="21"/>
        </w:rPr>
      </w:pPr>
      <w:hyperlink w:anchor="_Toc513547944" w:history="1">
        <w:r>
          <w:rPr>
            <w:rStyle w:val="Hyperlink"/>
            <w:rFonts w:ascii="黑体" w:eastAsia="黑体" w:hAnsi="黑体" w:cs="黑体"/>
            <w:bCs/>
          </w:rPr>
          <w:t>7.1</w:t>
        </w:r>
        <w:r>
          <w:rPr>
            <w:kern w:val="2"/>
            <w:sz w:val="21"/>
          </w:rPr>
          <w:tab/>
        </w:r>
        <w:r>
          <w:rPr>
            <w:rStyle w:val="Hyperlink"/>
            <w:rFonts w:hint="eastAsia"/>
          </w:rPr>
          <w:t>一般要求</w:t>
        </w:r>
        <w:r>
          <w:tab/>
        </w:r>
        <w:r>
          <w:fldChar w:fldCharType="begin"/>
        </w:r>
        <w:r>
          <w:instrText xml:space="preserve"> PAGEREF _Toc513547944 \h </w:instrText>
        </w:r>
        <w:r>
          <w:fldChar w:fldCharType="separate"/>
        </w:r>
        <w:r>
          <w:t>14</w:t>
        </w:r>
        <w:r>
          <w:fldChar w:fldCharType="end"/>
        </w:r>
      </w:hyperlink>
    </w:p>
    <w:p>
      <w:pPr>
        <w:pStyle w:val="TOC2"/>
        <w:tabs>
          <w:tab w:val="left" w:pos="840"/>
          <w:tab w:val="right" w:leader="dot" w:pos="9350"/>
        </w:tabs>
        <w:rPr>
          <w:rStyle w:val="Hyperlink"/>
        </w:rPr>
      </w:pPr>
      <w:hyperlink w:anchor="_Toc513547945" w:history="1">
        <w:r>
          <w:rPr>
            <w:rStyle w:val="Hyperlink"/>
            <w:rFonts w:hint="eastAsia"/>
          </w:rPr>
          <w:t>7.2</w:t>
        </w:r>
        <w:r>
          <w:rPr>
            <w:rStyle w:val="Hyperlink"/>
            <w:rFonts w:hint="eastAsia"/>
          </w:rPr>
          <w:tab/>
        </w:r>
        <w:r>
          <w:rPr>
            <w:rStyle w:val="Hyperlink"/>
            <w:rFonts w:hint="eastAsia"/>
          </w:rPr>
          <w:t>承插型盘扣式钢管跨越架搭设、拆除施工的安全要求</w:t>
        </w:r>
        <w:r>
          <w:rPr>
            <w:rStyle w:val="Hyperlink"/>
            <w:rFonts w:hint="eastAsia"/>
          </w:rPr>
          <w:tab/>
        </w:r>
        <w:r>
          <w:rPr>
            <w:rStyle w:val="Hyperlink"/>
            <w:rFonts w:hint="eastAsia"/>
          </w:rPr>
          <w:t>1</w:t>
        </w:r>
      </w:hyperlink>
      <w:r>
        <w:rPr>
          <w:rStyle w:val="Hyperlink"/>
          <w:rFonts w:hint="eastAsia"/>
        </w:rPr>
        <w:t>6</w:t>
      </w:r>
    </w:p>
    <w:p>
      <w:pPr>
        <w:pStyle w:val="TOC2"/>
        <w:tabs>
          <w:tab w:val="left" w:pos="840"/>
          <w:tab w:val="right" w:leader="dot" w:pos="9350"/>
        </w:tabs>
        <w:rPr>
          <w:rStyle w:val="Hyperlink"/>
        </w:rPr>
      </w:pPr>
      <w:hyperlink w:anchor="_Toc513547945" w:history="1">
        <w:r>
          <w:rPr>
            <w:rStyle w:val="Hyperlink"/>
            <w:rFonts w:hint="eastAsia"/>
          </w:rPr>
          <w:t>7.3</w:t>
        </w:r>
        <w:r>
          <w:rPr>
            <w:rStyle w:val="Hyperlink"/>
            <w:rFonts w:hint="eastAsia"/>
          </w:rPr>
          <w:tab/>
        </w:r>
        <w:r>
          <w:rPr>
            <w:rStyle w:val="Hyperlink"/>
            <w:rFonts w:hint="eastAsia"/>
          </w:rPr>
          <w:t>使用金属格构式跨越架的安全要求</w:t>
        </w:r>
        <w:r>
          <w:rPr>
            <w:rStyle w:val="Hyperlink"/>
            <w:rFonts w:hint="eastAsia"/>
          </w:rPr>
          <w:tab/>
        </w:r>
        <w:r>
          <w:rPr>
            <w:rStyle w:val="Hyperlink"/>
            <w:rFonts w:hint="eastAsia"/>
          </w:rPr>
          <w:t>1</w:t>
        </w:r>
      </w:hyperlink>
      <w:r>
        <w:rPr>
          <w:rStyle w:val="Hyperlink"/>
          <w:rFonts w:hint="eastAsia"/>
        </w:rPr>
        <w:t>6</w:t>
      </w:r>
    </w:p>
    <w:p>
      <w:pPr>
        <w:pStyle w:val="TOC2"/>
        <w:tabs>
          <w:tab w:val="left" w:pos="840"/>
          <w:tab w:val="right" w:leader="dot" w:pos="9350"/>
        </w:tabs>
        <w:rPr>
          <w:rStyle w:val="Hyperlink"/>
        </w:rPr>
      </w:pPr>
      <w:hyperlink w:anchor="_Toc513547944" w:history="1">
        <w:r>
          <w:rPr>
            <w:rStyle w:val="Hyperlink"/>
            <w:rFonts w:hint="eastAsia"/>
          </w:rPr>
          <w:t>7.4</w:t>
        </w:r>
        <w:r>
          <w:rPr>
            <w:rStyle w:val="Hyperlink"/>
            <w:rFonts w:hint="eastAsia"/>
          </w:rPr>
          <w:tab/>
        </w:r>
        <w:r>
          <w:rPr>
            <w:rStyle w:val="Hyperlink"/>
            <w:rFonts w:hint="eastAsia"/>
          </w:rPr>
          <w:t>封顶网施工的安全措施</w:t>
        </w:r>
        <w:r>
          <w:rPr>
            <w:rStyle w:val="Hyperlink"/>
            <w:rFonts w:hint="eastAsia"/>
          </w:rPr>
          <w:tab/>
        </w:r>
        <w:r>
          <w:rPr>
            <w:rStyle w:val="Hyperlink"/>
            <w:rFonts w:hint="eastAsia"/>
          </w:rPr>
          <w:t>1</w:t>
        </w:r>
      </w:hyperlink>
      <w:r>
        <w:rPr>
          <w:rStyle w:val="Hyperlink"/>
          <w:rFonts w:hint="eastAsia"/>
        </w:rPr>
        <w:t>6</w:t>
      </w:r>
    </w:p>
    <w:p>
      <w:pPr>
        <w:pStyle w:val="TOC2"/>
        <w:tabs>
          <w:tab w:val="left" w:pos="840"/>
          <w:tab w:val="right" w:leader="dot" w:pos="9350"/>
        </w:tabs>
        <w:rPr>
          <w:rStyle w:val="Hyperlink"/>
        </w:rPr>
      </w:pPr>
      <w:hyperlink w:anchor="_Toc513547945" w:history="1">
        <w:r>
          <w:rPr>
            <w:rStyle w:val="Hyperlink"/>
            <w:rFonts w:hint="eastAsia"/>
          </w:rPr>
          <w:t>7.5</w:t>
        </w:r>
        <w:r>
          <w:rPr>
            <w:rStyle w:val="Hyperlink"/>
            <w:rFonts w:hint="eastAsia"/>
          </w:rPr>
          <w:tab/>
        </w:r>
        <w:r>
          <w:rPr>
            <w:rStyle w:val="Hyperlink"/>
            <w:rFonts w:hint="eastAsia"/>
          </w:rPr>
          <w:t>电力线展放安全措施</w:t>
        </w:r>
        <w:r>
          <w:rPr>
            <w:rStyle w:val="Hyperlink"/>
            <w:rFonts w:hint="eastAsia"/>
          </w:rPr>
          <w:tab/>
        </w:r>
        <w:r>
          <w:rPr>
            <w:rStyle w:val="Hyperlink"/>
            <w:rFonts w:hint="eastAsia"/>
          </w:rPr>
          <w:t>1</w:t>
        </w:r>
      </w:hyperlink>
      <w:r>
        <w:rPr>
          <w:rStyle w:val="Hyperlink"/>
          <w:rFonts w:hint="eastAsia"/>
        </w:rPr>
        <w:t>7</w:t>
      </w:r>
    </w:p>
    <w:p>
      <w:pPr>
        <w:pStyle w:val="TOC2"/>
        <w:tabs>
          <w:tab w:val="left" w:pos="840"/>
          <w:tab w:val="right" w:leader="dot" w:pos="9350"/>
        </w:tabs>
        <w:rPr>
          <w:rStyle w:val="Hyperlink"/>
        </w:rPr>
      </w:pPr>
      <w:hyperlink w:anchor="_Toc513547945" w:history="1">
        <w:r>
          <w:rPr>
            <w:rStyle w:val="Hyperlink"/>
            <w:rFonts w:hint="eastAsia"/>
          </w:rPr>
          <w:t>7.6</w:t>
        </w:r>
        <w:r>
          <w:rPr>
            <w:rStyle w:val="Hyperlink"/>
            <w:rFonts w:hint="eastAsia"/>
          </w:rPr>
          <w:tab/>
        </w:r>
        <w:r>
          <w:rPr>
            <w:rStyle w:val="Hyperlink"/>
            <w:rFonts w:hint="eastAsia"/>
          </w:rPr>
          <w:t>文明施工与环保措施</w:t>
        </w:r>
        <w:r>
          <w:rPr>
            <w:rStyle w:val="Hyperlink"/>
            <w:rFonts w:hint="eastAsia"/>
          </w:rPr>
          <w:tab/>
        </w:r>
        <w:r>
          <w:rPr>
            <w:rStyle w:val="Hyperlink"/>
            <w:rFonts w:hint="eastAsia"/>
          </w:rPr>
          <w:t>1</w:t>
        </w:r>
      </w:hyperlink>
      <w:r>
        <w:rPr>
          <w:rStyle w:val="Hyperlink"/>
          <w:rFonts w:hint="eastAsia"/>
        </w:rPr>
        <w:t>7</w:t>
      </w:r>
    </w:p>
    <w:p>
      <w:pPr>
        <w:pStyle w:val="TOC1"/>
        <w:tabs>
          <w:tab w:val="left" w:pos="440"/>
          <w:tab w:val="right" w:leader="dot" w:pos="9350"/>
        </w:tabs>
        <w:rPr>
          <w:kern w:val="2"/>
          <w:sz w:val="21"/>
        </w:rPr>
      </w:pPr>
      <w:hyperlink w:anchor="_Toc513547943" w:history="1">
        <w:r>
          <w:rPr>
            <w:rStyle w:val="Hyperlink"/>
            <w:rFonts w:hint="eastAsia"/>
          </w:rPr>
          <w:t>8</w:t>
        </w:r>
        <w:r>
          <w:rPr>
            <w:kern w:val="2"/>
            <w:sz w:val="21"/>
          </w:rPr>
          <w:tab/>
        </w:r>
        <w:r>
          <w:rPr>
            <w:rStyle w:val="Hyperlink"/>
            <w:rFonts w:hint="eastAsia"/>
          </w:rPr>
          <w:t>主要设备、工器具管理检测</w:t>
        </w:r>
        <w:r>
          <w:tab/>
        </w:r>
        <w:r>
          <w:rPr>
            <w:rFonts w:hint="eastAsia"/>
          </w:rPr>
          <w:t>1</w:t>
        </w:r>
      </w:hyperlink>
      <w:r>
        <w:rPr>
          <w:rStyle w:val="Hyperlink"/>
          <w:rFonts w:hint="eastAsia"/>
        </w:rPr>
        <w:t>9</w:t>
      </w:r>
    </w:p>
    <w:p>
      <w:pPr>
        <w:pStyle w:val="TOC2"/>
        <w:tabs>
          <w:tab w:val="left" w:pos="840"/>
          <w:tab w:val="right" w:leader="dot" w:pos="9350"/>
        </w:tabs>
        <w:rPr>
          <w:rStyle w:val="Hyperlink"/>
          <w:rFonts w:ascii="黑体" w:eastAsia="黑体" w:hAnsi="黑体" w:cs="黑体"/>
          <w:bCs/>
          <w:color w:val="auto"/>
        </w:rPr>
      </w:pPr>
      <w:hyperlink w:anchor="_Toc513547944" w:history="1">
        <w:r>
          <w:rPr>
            <w:rStyle w:val="Hyperlink"/>
            <w:rFonts w:ascii="黑体" w:eastAsia="黑体" w:hAnsi="黑体" w:cs="黑体" w:hint="eastAsia"/>
            <w:bCs/>
            <w:color w:val="auto"/>
          </w:rPr>
          <w:t>8</w:t>
        </w:r>
        <w:r>
          <w:rPr>
            <w:rStyle w:val="Hyperlink"/>
            <w:rFonts w:ascii="黑体" w:eastAsia="黑体" w:hAnsi="黑体" w:cs="黑体"/>
            <w:bCs/>
            <w:color w:val="auto"/>
          </w:rPr>
          <w:t>.1</w:t>
        </w:r>
        <w:r>
          <w:rPr>
            <w:rStyle w:val="Hyperlink"/>
            <w:rFonts w:ascii="黑体" w:eastAsia="黑体" w:hAnsi="黑体" w:cs="黑体"/>
            <w:bCs/>
            <w:color w:val="auto"/>
          </w:rPr>
          <w:tab/>
        </w:r>
        <w:r>
          <w:rPr>
            <w:rStyle w:val="Hyperlink"/>
            <w:rFonts w:ascii="黑体" w:eastAsia="黑体" w:hAnsi="黑体" w:cs="黑体" w:hint="eastAsia"/>
            <w:bCs/>
            <w:color w:val="auto"/>
          </w:rPr>
          <w:t>设及工器具管理</w:t>
        </w:r>
        <w:r>
          <w:rPr>
            <w:rStyle w:val="Hyperlink"/>
            <w:rFonts w:ascii="黑体" w:eastAsia="黑体" w:hAnsi="黑体" w:cs="黑体"/>
            <w:bCs/>
            <w:color w:val="auto"/>
          </w:rPr>
          <w:tab/>
        </w:r>
      </w:hyperlink>
      <w:r>
        <w:rPr>
          <w:rStyle w:val="Hyperlink"/>
          <w:rFonts w:ascii="黑体" w:eastAsia="黑体" w:hAnsi="黑体" w:cs="黑体" w:hint="eastAsia"/>
          <w:bCs/>
          <w:color w:val="auto"/>
        </w:rPr>
        <w:t>19</w:t>
      </w:r>
    </w:p>
    <w:p>
      <w:pPr>
        <w:pStyle w:val="TOC2"/>
        <w:tabs>
          <w:tab w:val="left" w:pos="840"/>
          <w:tab w:val="right" w:leader="dot" w:pos="9350"/>
        </w:tabs>
        <w:rPr>
          <w:rStyle w:val="Hyperlink"/>
          <w:rFonts w:ascii="黑体" w:eastAsia="黑体" w:hAnsi="黑体" w:cs="黑体"/>
          <w:bCs/>
          <w:color w:val="auto"/>
          <w:u w:val="none"/>
        </w:rPr>
      </w:pPr>
      <w:r>
        <w:rPr>
          <w:rStyle w:val="Hyperlink"/>
          <w:rFonts w:ascii="黑体" w:eastAsia="黑体" w:hAnsi="黑体" w:cs="黑体" w:hint="eastAsia"/>
          <w:bCs/>
          <w:color w:val="auto"/>
          <w:u w:val="none"/>
        </w:rPr>
        <w:t>8.2设备及工器具的检测</w:t>
      </w:r>
      <w:r>
        <w:rPr>
          <w:rStyle w:val="Hyperlink"/>
          <w:rFonts w:ascii="黑体" w:eastAsia="黑体" w:hAnsi="黑体" w:cs="黑体"/>
          <w:bCs/>
          <w:color w:val="auto"/>
          <w:u w:val="none"/>
        </w:rPr>
        <w:tab/>
      </w:r>
      <w:r>
        <w:rPr>
          <w:rStyle w:val="Hyperlink"/>
          <w:rFonts w:ascii="黑体" w:eastAsia="黑体" w:hAnsi="黑体" w:cs="黑体" w:hint="eastAsia"/>
          <w:bCs/>
          <w:color w:val="auto"/>
          <w:u w:val="none"/>
        </w:rPr>
        <w:t>24</w:t>
      </w:r>
    </w:p>
    <w:p>
      <w:pPr>
        <w:pStyle w:val="TOC1"/>
        <w:tabs>
          <w:tab w:val="left" w:pos="440"/>
          <w:tab w:val="right" w:leader="dot" w:pos="9350"/>
        </w:tabs>
        <w:rPr>
          <w:rStyle w:val="Hyperlink"/>
        </w:rPr>
      </w:pPr>
      <w:hyperlink w:anchor="_Toc513547943" w:history="1">
        <w:r>
          <w:rPr>
            <w:rStyle w:val="Hyperlink"/>
            <w:rFonts w:hint="eastAsia"/>
          </w:rPr>
          <w:t>9</w:t>
        </w:r>
        <w:r>
          <w:rPr>
            <w:kern w:val="2"/>
            <w:sz w:val="21"/>
          </w:rPr>
          <w:tab/>
        </w:r>
        <w:r>
          <w:rPr>
            <w:rStyle w:val="Hyperlink"/>
            <w:rFonts w:hint="eastAsia"/>
          </w:rPr>
          <w:t>系统动态实时监测</w:t>
        </w:r>
        <w:r>
          <w:tab/>
        </w:r>
        <w:r>
          <w:rPr>
            <w:rFonts w:hint="eastAsia"/>
          </w:rPr>
          <w:t>2</w:t>
        </w:r>
      </w:hyperlink>
      <w:r>
        <w:rPr>
          <w:rStyle w:val="Hyperlink"/>
          <w:rFonts w:hint="eastAsia"/>
        </w:rPr>
        <w:t>2</w:t>
      </w:r>
    </w:p>
    <w:p>
      <w:pPr>
        <w:pStyle w:val="TOC2"/>
        <w:tabs>
          <w:tab w:val="left" w:pos="840"/>
          <w:tab w:val="right" w:leader="dot" w:pos="9350"/>
        </w:tabs>
        <w:rPr>
          <w:rStyle w:val="Hyperlink"/>
        </w:rPr>
      </w:pPr>
      <w:hyperlink w:anchor="_Toc513547944" w:history="1">
        <w:r>
          <w:rPr>
            <w:rStyle w:val="Hyperlink"/>
            <w:rFonts w:hint="eastAsia"/>
          </w:rPr>
          <w:t>9</w:t>
        </w:r>
        <w:r>
          <w:rPr>
            <w:rStyle w:val="Hyperlink"/>
            <w:rFonts w:ascii="黑体" w:eastAsia="黑体" w:hAnsi="黑体" w:cs="黑体"/>
            <w:bCs/>
          </w:rPr>
          <w:t>.1</w:t>
        </w:r>
        <w:r>
          <w:rPr>
            <w:kern w:val="2"/>
            <w:sz w:val="21"/>
          </w:rPr>
          <w:tab/>
        </w:r>
        <w:r>
          <w:rPr>
            <w:rStyle w:val="Hyperlink"/>
            <w:rFonts w:hint="eastAsia"/>
          </w:rPr>
          <w:t>基本原则</w:t>
        </w:r>
        <w:r>
          <w:tab/>
        </w:r>
        <w:r>
          <w:rPr>
            <w:rFonts w:hint="eastAsia"/>
          </w:rPr>
          <w:t>2</w:t>
        </w:r>
      </w:hyperlink>
      <w:r>
        <w:rPr>
          <w:rStyle w:val="Hyperlink"/>
          <w:rFonts w:hint="eastAsia"/>
        </w:rPr>
        <w:t>2</w:t>
      </w:r>
    </w:p>
    <w:p>
      <w:pPr>
        <w:pStyle w:val="TOC2"/>
        <w:tabs>
          <w:tab w:val="left" w:pos="840"/>
          <w:tab w:val="right" w:leader="dot" w:pos="9350"/>
        </w:tabs>
        <w:sectPr>
          <w:footerReference w:type="default" r:id="rId6"/>
          <w:type w:val="nextPage"/>
          <w:pgSz w:w="11900" w:h="16840"/>
          <w:pgMar w:top="1134" w:right="1134" w:bottom="1134" w:left="1134" w:header="0" w:footer="0" w:gutter="0"/>
          <w:pgNumType w:start="2"/>
          <w:cols w:num="1" w:space="708" w:equalWidth="0">
            <w:col w:w="9466" w:space="0"/>
          </w:cols>
          <w:titlePg w:val="0"/>
        </w:sectPr>
      </w:pPr>
      <w:hyperlink w:anchor="_Toc513547944" w:history="1">
        <w:r>
          <w:rPr>
            <w:rStyle w:val="Hyperlink"/>
            <w:rFonts w:hint="eastAsia"/>
          </w:rPr>
          <w:t>9</w:t>
        </w:r>
        <w:r>
          <w:rPr>
            <w:rStyle w:val="Hyperlink"/>
            <w:rFonts w:ascii="黑体" w:eastAsia="黑体" w:hAnsi="黑体" w:cs="黑体"/>
            <w:bCs/>
          </w:rPr>
          <w:t>.</w:t>
        </w:r>
        <w:r>
          <w:rPr>
            <w:rStyle w:val="Hyperlink"/>
            <w:rFonts w:ascii="黑体" w:eastAsia="黑体" w:hAnsi="黑体" w:cs="黑体" w:hint="eastAsia"/>
            <w:bCs/>
          </w:rPr>
          <w:t>2</w:t>
        </w:r>
        <w:r>
          <w:rPr>
            <w:kern w:val="2"/>
            <w:sz w:val="21"/>
          </w:rPr>
          <w:tab/>
        </w:r>
        <w:r>
          <w:rPr>
            <w:rStyle w:val="Hyperlink"/>
            <w:rFonts w:hint="eastAsia"/>
            <w:sz w:val="21"/>
          </w:rPr>
          <w:t>传感器选型原则</w:t>
        </w:r>
        <w:r>
          <w:tab/>
        </w:r>
        <w:r>
          <w:rPr>
            <w:rFonts w:hint="eastAsia"/>
          </w:rPr>
          <w:t>2</w:t>
        </w:r>
      </w:hyperlink>
      <w:r>
        <w:rPr>
          <w:rStyle w:val="Hyperlink"/>
          <w:rFonts w:hint="eastAsia"/>
        </w:rPr>
        <w:t>2</w:t>
      </w:r>
    </w:p>
    <w:p>
      <w:pPr>
        <w:pStyle w:val="TOC2"/>
        <w:tabs>
          <w:tab w:val="left" w:pos="840"/>
          <w:tab w:val="right" w:leader="dot" w:pos="9350"/>
        </w:tabs>
      </w:pPr>
      <w:hyperlink w:anchor="_Toc513547944" w:history="1">
        <w:r>
          <w:rPr>
            <w:rStyle w:val="Hyperlink"/>
            <w:rFonts w:hint="eastAsia"/>
          </w:rPr>
          <w:t>9</w:t>
        </w:r>
        <w:r>
          <w:rPr>
            <w:rStyle w:val="Hyperlink"/>
            <w:rFonts w:ascii="黑体" w:eastAsia="黑体" w:hAnsi="黑体" w:cs="黑体"/>
            <w:bCs/>
          </w:rPr>
          <w:t>.</w:t>
        </w:r>
        <w:r>
          <w:rPr>
            <w:rStyle w:val="Hyperlink"/>
            <w:rFonts w:ascii="黑体" w:eastAsia="黑体" w:hAnsi="黑体" w:cs="黑体" w:hint="eastAsia"/>
            <w:bCs/>
          </w:rPr>
          <w:t>3</w:t>
        </w:r>
        <w:r>
          <w:rPr>
            <w:kern w:val="2"/>
            <w:sz w:val="21"/>
          </w:rPr>
          <w:tab/>
        </w:r>
        <w:r>
          <w:rPr>
            <w:rStyle w:val="Hyperlink"/>
            <w:rFonts w:hint="eastAsia"/>
          </w:rPr>
          <w:t>传感器的布置原则</w:t>
        </w:r>
        <w:r>
          <w:tab/>
        </w:r>
        <w:r>
          <w:rPr>
            <w:rFonts w:hint="eastAsia"/>
          </w:rPr>
          <w:t>2</w:t>
        </w:r>
      </w:hyperlink>
      <w:r>
        <w:rPr>
          <w:rStyle w:val="Hyperlink"/>
          <w:rFonts w:hint="eastAsia"/>
        </w:rPr>
        <w:t>3</w:t>
      </w:r>
    </w:p>
    <w:p>
      <w:pPr>
        <w:pStyle w:val="TOC2"/>
        <w:tabs>
          <w:tab w:val="left" w:pos="840"/>
          <w:tab w:val="right" w:leader="dot" w:pos="9350"/>
        </w:tabs>
        <w:rPr>
          <w:rStyle w:val="Hyperlink"/>
        </w:rPr>
        <w:sectPr>
          <w:footerReference w:type="default" r:id="rId7"/>
          <w:type w:val="nextPage"/>
          <w:pgSz w:w="11900" w:h="16840"/>
          <w:pgMar w:top="1134" w:right="1134" w:bottom="1134" w:left="1134" w:header="0" w:footer="0" w:gutter="0"/>
          <w:pgNumType w:start="3"/>
          <w:cols w:num="1" w:space="708" w:equalWidth="0">
            <w:col w:w="9466" w:space="0"/>
          </w:cols>
          <w:titlePg w:val="0"/>
        </w:sectPr>
      </w:pPr>
    </w:p>
    <w:p>
      <w:pPr>
        <w:pStyle w:val="TOC2"/>
        <w:tabs>
          <w:tab w:val="left" w:pos="840"/>
          <w:tab w:val="right" w:leader="dot" w:pos="9350"/>
        </w:tabs>
        <w:rPr>
          <w:rStyle w:val="Hyperlink"/>
        </w:rPr>
      </w:pPr>
      <w:hyperlink w:anchor="_Toc513547944" w:history="1">
        <w:r>
          <w:rPr>
            <w:rStyle w:val="Hyperlink"/>
            <w:rFonts w:hint="eastAsia"/>
          </w:rPr>
          <w:t>9</w:t>
        </w:r>
        <w:r>
          <w:rPr>
            <w:rStyle w:val="Hyperlink"/>
            <w:rFonts w:ascii="黑体" w:eastAsia="黑体" w:hAnsi="黑体" w:cs="黑体"/>
            <w:bCs/>
          </w:rPr>
          <w:t>.</w:t>
        </w:r>
        <w:r>
          <w:rPr>
            <w:rStyle w:val="Hyperlink"/>
            <w:rFonts w:ascii="黑体" w:eastAsia="黑体" w:hAnsi="黑体" w:cs="黑体" w:hint="eastAsia"/>
            <w:bCs/>
          </w:rPr>
          <w:t>4</w:t>
        </w:r>
        <w:r>
          <w:rPr>
            <w:kern w:val="2"/>
            <w:sz w:val="21"/>
          </w:rPr>
          <w:tab/>
        </w:r>
        <w:r>
          <w:rPr>
            <w:rFonts w:hint="eastAsia"/>
            <w:kern w:val="2"/>
            <w:sz w:val="21"/>
          </w:rPr>
          <w:t>监测系统具体安装的</w:t>
        </w:r>
        <w:r>
          <w:rPr>
            <w:rStyle w:val="Hyperlink"/>
            <w:rFonts w:hint="eastAsia"/>
          </w:rPr>
          <w:t>基本子系统</w:t>
        </w:r>
        <w:r>
          <w:tab/>
        </w:r>
        <w:r>
          <w:rPr>
            <w:rFonts w:hint="eastAsia"/>
          </w:rPr>
          <w:t>2</w:t>
        </w:r>
      </w:hyperlink>
      <w:r>
        <w:rPr>
          <w:rStyle w:val="Hyperlink"/>
          <w:rFonts w:hint="eastAsia"/>
        </w:rPr>
        <w:t>4</w:t>
      </w:r>
    </w:p>
    <w:p>
      <w:pPr>
        <w:pStyle w:val="TOC2"/>
        <w:tabs>
          <w:tab w:val="left" w:pos="840"/>
          <w:tab w:val="right" w:leader="dot" w:pos="9350"/>
        </w:tabs>
        <w:rPr>
          <w:rStyle w:val="Hyperlink"/>
        </w:rPr>
      </w:pPr>
      <w:hyperlink w:anchor="_Toc513547944" w:history="1">
        <w:r>
          <w:rPr>
            <w:rStyle w:val="Hyperlink"/>
            <w:rFonts w:hint="eastAsia"/>
          </w:rPr>
          <w:t>9</w:t>
        </w:r>
        <w:r>
          <w:rPr>
            <w:rStyle w:val="Hyperlink"/>
            <w:rFonts w:ascii="黑体" w:eastAsia="黑体" w:hAnsi="黑体" w:cs="黑体"/>
            <w:bCs/>
          </w:rPr>
          <w:t>.</w:t>
        </w:r>
        <w:r>
          <w:rPr>
            <w:rStyle w:val="Hyperlink"/>
            <w:rFonts w:ascii="黑体" w:eastAsia="黑体" w:hAnsi="黑体" w:cs="黑体" w:hint="eastAsia"/>
            <w:bCs/>
          </w:rPr>
          <w:t>5</w:t>
        </w:r>
        <w:r>
          <w:rPr>
            <w:kern w:val="2"/>
            <w:sz w:val="21"/>
          </w:rPr>
          <w:tab/>
        </w:r>
        <w:r>
          <w:rPr>
            <w:rStyle w:val="Hyperlink"/>
            <w:rFonts w:hint="eastAsia"/>
            <w:color w:val="auto"/>
          </w:rPr>
          <w:t>电力线路在线监测设备</w:t>
        </w:r>
        <w:r>
          <w:tab/>
        </w:r>
        <w:r>
          <w:rPr>
            <w:rFonts w:hint="eastAsia"/>
          </w:rPr>
          <w:t>2</w:t>
        </w:r>
      </w:hyperlink>
      <w:r>
        <w:rPr>
          <w:rStyle w:val="Hyperlink"/>
          <w:rFonts w:hint="eastAsia"/>
        </w:rPr>
        <w:t>7</w:t>
      </w:r>
    </w:p>
    <w:p>
      <w:pPr>
        <w:pStyle w:val="TOC1"/>
        <w:tabs>
          <w:tab w:val="left" w:pos="440"/>
          <w:tab w:val="right" w:leader="dot" w:pos="9350"/>
        </w:tabs>
        <w:rPr>
          <w:rStyle w:val="Hyperlink"/>
        </w:rPr>
      </w:pPr>
      <w:hyperlink w:anchor="_Toc513547943" w:history="1">
        <w:r>
          <w:rPr>
            <w:rStyle w:val="Hyperlink"/>
            <w:rFonts w:hint="eastAsia"/>
          </w:rPr>
          <w:t>10</w:t>
        </w:r>
        <w:r>
          <w:rPr>
            <w:kern w:val="2"/>
            <w:sz w:val="21"/>
          </w:rPr>
          <w:tab/>
        </w:r>
        <w:r>
          <w:rPr>
            <w:rStyle w:val="Hyperlink"/>
            <w:rFonts w:hint="eastAsia"/>
          </w:rPr>
          <w:t>应急预案</w:t>
        </w:r>
        <w:r>
          <w:tab/>
        </w:r>
        <w:r>
          <w:rPr>
            <w:rFonts w:hint="eastAsia"/>
          </w:rPr>
          <w:t>2</w:t>
        </w:r>
      </w:hyperlink>
      <w:r>
        <w:rPr>
          <w:rStyle w:val="Hyperlink"/>
          <w:rFonts w:hint="eastAsia"/>
        </w:rPr>
        <w:t>8</w:t>
      </w:r>
    </w:p>
    <w:p>
      <w:pPr>
        <w:pStyle w:val="TOC2"/>
        <w:tabs>
          <w:tab w:val="left" w:pos="840"/>
          <w:tab w:val="right" w:leader="dot" w:pos="9350"/>
        </w:tabs>
        <w:rPr>
          <w:rStyle w:val="Hyperlink"/>
        </w:rPr>
      </w:pPr>
      <w:hyperlink w:anchor="_Toc513547944" w:history="1">
        <w:r>
          <w:rPr>
            <w:rStyle w:val="Hyperlink"/>
            <w:rFonts w:hint="eastAsia"/>
          </w:rPr>
          <w:t>10</w:t>
        </w:r>
        <w:r>
          <w:rPr>
            <w:rStyle w:val="Hyperlink"/>
            <w:rFonts w:ascii="黑体" w:eastAsia="黑体" w:hAnsi="黑体" w:cs="黑体"/>
            <w:bCs/>
          </w:rPr>
          <w:t>.1</w:t>
        </w:r>
        <w:r>
          <w:rPr>
            <w:kern w:val="2"/>
            <w:sz w:val="21"/>
          </w:rPr>
          <w:tab/>
        </w:r>
        <w:r>
          <w:rPr>
            <w:rStyle w:val="Hyperlink"/>
            <w:rFonts w:hint="eastAsia"/>
          </w:rPr>
          <w:t>一般规定</w:t>
        </w:r>
        <w:r>
          <w:tab/>
        </w:r>
        <w:r>
          <w:rPr>
            <w:rFonts w:hint="eastAsia"/>
          </w:rPr>
          <w:t>2</w:t>
        </w:r>
      </w:hyperlink>
      <w:r>
        <w:rPr>
          <w:rStyle w:val="Hyperlink"/>
          <w:rFonts w:hint="eastAsia"/>
        </w:rPr>
        <w:t>8</w:t>
      </w:r>
    </w:p>
    <w:p>
      <w:pPr>
        <w:pStyle w:val="TOC2"/>
        <w:tabs>
          <w:tab w:val="left" w:pos="840"/>
          <w:tab w:val="right" w:leader="dot" w:pos="9350"/>
        </w:tabs>
      </w:pPr>
      <w:hyperlink w:anchor="_Toc513547944" w:history="1">
        <w:r>
          <w:rPr>
            <w:rStyle w:val="Hyperlink"/>
            <w:rFonts w:hint="eastAsia"/>
          </w:rPr>
          <w:t>10</w:t>
        </w:r>
        <w:r>
          <w:rPr>
            <w:rStyle w:val="Hyperlink"/>
            <w:rFonts w:ascii="黑体" w:eastAsia="黑体" w:hAnsi="黑体" w:cs="黑体"/>
            <w:bCs/>
          </w:rPr>
          <w:t>.</w:t>
        </w:r>
        <w:r>
          <w:rPr>
            <w:rStyle w:val="Hyperlink"/>
            <w:rFonts w:ascii="黑体" w:eastAsia="黑体" w:hAnsi="黑体" w:cs="黑体" w:hint="eastAsia"/>
            <w:bCs/>
          </w:rPr>
          <w:t>2</w:t>
        </w:r>
        <w:r>
          <w:rPr>
            <w:kern w:val="2"/>
            <w:sz w:val="21"/>
          </w:rPr>
          <w:tab/>
        </w:r>
        <w:r>
          <w:rPr>
            <w:rStyle w:val="Hyperlink"/>
            <w:rFonts w:hint="eastAsia"/>
          </w:rPr>
          <w:t>针对各种险情的具体抢救措施</w:t>
        </w:r>
        <w:r>
          <w:tab/>
        </w:r>
        <w:r>
          <w:rPr>
            <w:rFonts w:hint="eastAsia"/>
          </w:rPr>
          <w:t>2</w:t>
        </w:r>
      </w:hyperlink>
      <w:r>
        <w:rPr>
          <w:rStyle w:val="Hyperlink"/>
          <w:rFonts w:hint="eastAsia"/>
        </w:rPr>
        <w:t>9</w:t>
      </w:r>
    </w:p>
    <w:p>
      <w:pPr>
        <w:pStyle w:val="TOC2"/>
        <w:tabs>
          <w:tab w:val="left" w:pos="840"/>
          <w:tab w:val="right" w:leader="dot" w:pos="9350"/>
        </w:tabs>
        <w:rPr>
          <w:kern w:val="2"/>
          <w:sz w:val="21"/>
        </w:rPr>
      </w:pPr>
      <w:hyperlink w:anchor="_Toc513547946" w:history="1">
        <w:r>
          <w:rPr>
            <w:rStyle w:val="Hyperlink"/>
            <w:rFonts w:ascii="等线 Light" w:eastAsia="等线 Light" w:hAnsi="等线 Light"/>
            <w:bCs/>
          </w:rPr>
          <w:t>附</w:t>
        </w:r>
        <w:r>
          <w:rPr>
            <w:kern w:val="2"/>
            <w:sz w:val="21"/>
          </w:rPr>
          <w:tab/>
        </w:r>
        <w:r>
          <w:rPr>
            <w:rStyle w:val="Hyperlink"/>
            <w:rFonts w:ascii="等线 Light" w:eastAsia="等线 Light" w:hAnsi="等线 Light"/>
            <w:bCs/>
          </w:rPr>
          <w:t>录 A （规范性附录）</w:t>
        </w:r>
        <w:r>
          <w:rPr>
            <w:rStyle w:val="Hyperlink"/>
            <w:rFonts w:hint="eastAsia"/>
          </w:rPr>
          <w:t>本规程用词说明</w:t>
        </w:r>
        <w:r>
          <w:rPr>
            <w:rStyle w:val="Hyperlink"/>
            <w:rFonts w:ascii="等线 Light" w:eastAsia="等线 Light" w:hAnsi="等线 Light"/>
            <w:bCs/>
          </w:rPr>
          <w:t xml:space="preserve"> </w:t>
        </w:r>
        <w:r>
          <w:tab/>
        </w:r>
        <w:r>
          <w:rPr>
            <w:rFonts w:hint="eastAsia"/>
          </w:rPr>
          <w:t>31</w:t>
        </w:r>
      </w:hyperlink>
    </w:p>
    <w:p>
      <w:pPr>
        <w:pStyle w:val="TOC2"/>
        <w:tabs>
          <w:tab w:val="left" w:pos="840"/>
          <w:tab w:val="right" w:leader="dot" w:pos="9350"/>
        </w:tabs>
        <w:rPr>
          <w:kern w:val="2"/>
          <w:sz w:val="21"/>
        </w:rPr>
      </w:pPr>
      <w:hyperlink w:anchor="_Toc513547947" w:history="1">
        <w:r>
          <w:rPr>
            <w:rStyle w:val="Hyperlink"/>
            <w:rFonts w:ascii="等线 Light" w:eastAsia="等线 Light" w:hAnsi="等线 Light"/>
            <w:bCs/>
          </w:rPr>
          <w:t>附</w:t>
        </w:r>
        <w:r>
          <w:rPr>
            <w:kern w:val="2"/>
            <w:sz w:val="21"/>
          </w:rPr>
          <w:tab/>
        </w:r>
        <w:r>
          <w:rPr>
            <w:rStyle w:val="Hyperlink"/>
            <w:rFonts w:ascii="等线 Light" w:eastAsia="等线 Light" w:hAnsi="等线 Light"/>
            <w:bCs/>
          </w:rPr>
          <w:t xml:space="preserve">录 B （资料性附录） </w:t>
        </w:r>
        <w:r>
          <w:rPr>
            <w:rStyle w:val="Hyperlink"/>
            <w:rFonts w:ascii="等线 Light" w:eastAsia="等线 Light" w:hAnsi="等线 Light" w:hint="eastAsia"/>
            <w:bCs/>
          </w:rPr>
          <w:t>风级表</w:t>
        </w:r>
        <w:r>
          <w:tab/>
        </w:r>
        <w:r>
          <w:fldChar w:fldCharType="begin"/>
        </w:r>
        <w:r>
          <w:instrText xml:space="preserve"> PAGEREF _Toc513547947 \h </w:instrText>
        </w:r>
        <w:r>
          <w:fldChar w:fldCharType="separate"/>
        </w:r>
        <w:r>
          <w:t>3</w:t>
        </w:r>
        <w:r>
          <w:rPr>
            <w:rFonts w:hint="eastAsia"/>
          </w:rPr>
          <w:t>2</w:t>
        </w:r>
        <w:r>
          <w:fldChar w:fldCharType="end"/>
        </w:r>
      </w:hyperlink>
    </w:p>
    <w:p>
      <w:pPr>
        <w:pStyle w:val="TOC2"/>
        <w:tabs>
          <w:tab w:val="left" w:pos="840"/>
          <w:tab w:val="right" w:leader="dot" w:pos="9350"/>
        </w:tabs>
        <w:rPr>
          <w:kern w:val="2"/>
          <w:sz w:val="21"/>
        </w:rPr>
      </w:pPr>
      <w:hyperlink w:anchor="_Toc513547948" w:history="1">
        <w:r>
          <w:rPr>
            <w:rStyle w:val="Hyperlink"/>
            <w:rFonts w:ascii="等线 Light" w:eastAsia="等线 Light" w:hAnsi="等线 Light"/>
            <w:bCs/>
          </w:rPr>
          <w:t>附</w:t>
        </w:r>
        <w:r>
          <w:rPr>
            <w:kern w:val="2"/>
            <w:sz w:val="21"/>
          </w:rPr>
          <w:tab/>
        </w:r>
        <w:r>
          <w:rPr>
            <w:rStyle w:val="Hyperlink"/>
            <w:rFonts w:ascii="等线 Light" w:eastAsia="等线 Light" w:hAnsi="等线 Light"/>
            <w:bCs/>
          </w:rPr>
          <w:t xml:space="preserve">录 C （资料性附录） </w:t>
        </w:r>
        <w:r>
          <w:rPr>
            <w:rStyle w:val="Hyperlink"/>
            <w:rFonts w:ascii="等线 Light" w:eastAsia="等线 Light" w:hAnsi="等线 Light" w:hint="eastAsia"/>
            <w:bCs/>
          </w:rPr>
          <w:t>常用安全数据</w:t>
        </w:r>
        <w:r>
          <w:tab/>
        </w:r>
        <w:r>
          <w:fldChar w:fldCharType="begin"/>
        </w:r>
        <w:r>
          <w:instrText xml:space="preserve"> PAGEREF _Toc513547948 \h </w:instrText>
        </w:r>
        <w:r>
          <w:fldChar w:fldCharType="separate"/>
        </w:r>
        <w:r>
          <w:t>3</w:t>
        </w:r>
        <w:r>
          <w:rPr>
            <w:rFonts w:hint="eastAsia"/>
          </w:rPr>
          <w:t>3</w:t>
        </w:r>
        <w:r>
          <w:fldChar w:fldCharType="end"/>
        </w:r>
      </w:hyperlink>
    </w:p>
    <w:p>
      <w:pPr>
        <w:pStyle w:val="TOC1"/>
        <w:tabs>
          <w:tab w:val="left" w:pos="440"/>
          <w:tab w:val="right" w:leader="dot" w:pos="9350"/>
        </w:tabs>
        <w:rPr>
          <w:kern w:val="2"/>
          <w:sz w:val="21"/>
        </w:rPr>
      </w:pPr>
      <w:hyperlink w:anchor="_Toc513547950" w:history="1">
        <w:r>
          <w:rPr>
            <w:rStyle w:val="Hyperlink"/>
            <w:rFonts w:ascii="黑体" w:eastAsia="黑体" w:hAnsi="黑体" w:cs="黑体"/>
            <w:bCs/>
            <w:kern w:val="44"/>
          </w:rPr>
          <w:t>编制说明</w:t>
        </w:r>
        <w:r>
          <w:tab/>
        </w:r>
        <w:r>
          <w:fldChar w:fldCharType="begin"/>
        </w:r>
        <w:r>
          <w:instrText xml:space="preserve"> PAGEREF _Toc513547950 \h </w:instrText>
        </w:r>
        <w:r>
          <w:fldChar w:fldCharType="separate"/>
        </w:r>
        <w:r>
          <w:t>3</w:t>
        </w:r>
        <w:r>
          <w:rPr>
            <w:rFonts w:hint="eastAsia"/>
          </w:rPr>
          <w:t>6</w:t>
        </w:r>
        <w:r>
          <w:fldChar w:fldCharType="end"/>
        </w:r>
      </w:hyperlink>
    </w:p>
    <w:p>
      <w:pPr>
        <w:widowControl/>
        <w:jc w:val="left"/>
        <w:rPr>
          <w:kern w:val="0"/>
          <w:sz w:val="20"/>
          <w:szCs w:val="20"/>
        </w:rPr>
      </w:pPr>
      <w:r>
        <w:rPr>
          <w:b/>
          <w:bCs/>
          <w:color w:val="000000"/>
          <w:kern w:val="0"/>
          <w:sz w:val="22"/>
          <w:lang w:val="zh-CN"/>
        </w:rPr>
        <w:fldChar w:fldCharType="end"/>
      </w:r>
    </w:p>
    <w:p>
      <w:pPr>
        <w:widowControl/>
        <w:spacing w:line="200" w:lineRule="exact"/>
        <w:jc w:val="left"/>
        <w:rPr>
          <w:kern w:val="0"/>
          <w:sz w:val="20"/>
          <w:szCs w:val="20"/>
        </w:rPr>
      </w:pPr>
    </w:p>
    <w:p>
      <w:pPr>
        <w:widowControl/>
        <w:spacing w:line="200" w:lineRule="exact"/>
        <w:jc w:val="left"/>
        <w:rPr>
          <w:kern w:val="0"/>
          <w:sz w:val="20"/>
          <w:szCs w:val="20"/>
        </w:rPr>
      </w:pPr>
    </w:p>
    <w:p>
      <w:pPr>
        <w:widowControl/>
        <w:spacing w:line="398" w:lineRule="exact"/>
        <w:jc w:val="left"/>
        <w:rPr>
          <w:kern w:val="0"/>
          <w:sz w:val="20"/>
          <w:szCs w:val="20"/>
        </w:rPr>
      </w:pPr>
    </w:p>
    <w:p>
      <w:pPr>
        <w:widowControl/>
        <w:spacing w:line="73" w:lineRule="exact"/>
        <w:jc w:val="left"/>
        <w:rPr>
          <w:kern w:val="0"/>
          <w:sz w:val="20"/>
          <w:szCs w:val="20"/>
        </w:rPr>
      </w:pPr>
    </w:p>
    <w:p>
      <w:pPr>
        <w:pStyle w:val="Heading2"/>
        <w:numPr>
          <w:ilvl w:val="0"/>
          <w:numId w:val="0"/>
        </w:numPr>
      </w:pPr>
    </w:p>
    <w:p>
      <w:pPr>
        <w:widowControl/>
        <w:spacing w:line="105" w:lineRule="exact"/>
        <w:jc w:val="left"/>
        <w:rPr>
          <w:kern w:val="0"/>
          <w:sz w:val="20"/>
          <w:szCs w:val="20"/>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pPr>
    </w:p>
    <w:p>
      <w:pPr>
        <w:widowControl/>
        <w:spacing w:line="360" w:lineRule="auto"/>
        <w:ind w:left="420" w:firstLine="420" w:firstLineChars="200"/>
        <w:jc w:val="left"/>
        <w:rPr>
          <w:rFonts w:ascii="宋体" w:hAnsi="宋体" w:cs="宋体"/>
          <w:kern w:val="0"/>
          <w:szCs w:val="21"/>
        </w:rPr>
        <w:sectPr>
          <w:footerReference w:type="default" r:id="rId8"/>
          <w:pgSz w:w="11900" w:h="16840"/>
          <w:pgMar w:top="1134" w:right="1134" w:bottom="1134" w:left="1134" w:header="0" w:footer="0" w:gutter="0"/>
          <w:pgNumType w:start="4"/>
          <w:cols w:num="1" w:space="708" w:equalWidth="0">
            <w:col w:w="9466" w:space="0"/>
          </w:cols>
        </w:sectPr>
      </w:pPr>
    </w:p>
    <w:p>
      <w:pPr>
        <w:widowControl/>
        <w:spacing w:line="360" w:lineRule="auto"/>
        <w:ind w:left="420" w:firstLine="420" w:firstLineChars="200"/>
        <w:jc w:val="left"/>
        <w:rPr>
          <w:rFonts w:ascii="宋体" w:hAnsi="宋体" w:cs="宋体"/>
          <w:kern w:val="0"/>
          <w:szCs w:val="21"/>
        </w:rPr>
      </w:pPr>
    </w:p>
    <w:p>
      <w:pPr>
        <w:widowControl/>
        <w:spacing w:line="360" w:lineRule="auto"/>
        <w:jc w:val="center"/>
        <w:rPr>
          <w:rFonts w:ascii="宋体" w:hAnsi="宋体" w:cs="宋体"/>
          <w:kern w:val="0"/>
          <w:sz w:val="32"/>
          <w:szCs w:val="32"/>
        </w:rPr>
        <w:sectPr>
          <w:footerReference w:type="default" r:id="rId9"/>
          <w:type w:val="nextPage"/>
          <w:pgSz w:w="11900" w:h="16840"/>
          <w:pgMar w:top="1134" w:right="1134" w:bottom="1134" w:left="1134" w:header="0" w:footer="0" w:gutter="0"/>
          <w:pgNumType w:start="5"/>
          <w:cols w:num="1" w:space="708" w:equalWidth="0">
            <w:col w:w="9466" w:space="0"/>
          </w:cols>
          <w:titlePg w:val="0"/>
        </w:sectPr>
      </w:pPr>
    </w:p>
    <w:p>
      <w:pPr>
        <w:widowControl/>
        <w:spacing w:line="360" w:lineRule="auto"/>
        <w:jc w:val="center"/>
        <w:rPr>
          <w:rFonts w:ascii="宋体" w:hAnsi="宋体" w:cs="宋体" w:hint="eastAsia"/>
          <w:kern w:val="0"/>
          <w:sz w:val="32"/>
          <w:szCs w:val="32"/>
        </w:rPr>
      </w:pPr>
    </w:p>
    <w:p>
      <w:pPr>
        <w:widowControl/>
        <w:spacing w:line="360" w:lineRule="auto"/>
        <w:jc w:val="center"/>
        <w:rPr>
          <w:rFonts w:ascii="宋体" w:hAnsi="宋体" w:cs="宋体" w:hint="eastAsia"/>
          <w:kern w:val="0"/>
          <w:sz w:val="32"/>
          <w:szCs w:val="32"/>
        </w:rPr>
      </w:pPr>
    </w:p>
    <w:p>
      <w:pPr>
        <w:widowControl/>
        <w:spacing w:line="360" w:lineRule="auto"/>
        <w:jc w:val="center"/>
        <w:rPr>
          <w:kern w:val="0"/>
          <w:sz w:val="20"/>
          <w:szCs w:val="20"/>
        </w:rPr>
      </w:pPr>
      <w:r>
        <w:rPr>
          <w:rFonts w:ascii="宋体" w:hAnsi="宋体" w:cs="宋体" w:hint="eastAsia"/>
          <w:kern w:val="0"/>
          <w:sz w:val="32"/>
          <w:szCs w:val="32"/>
        </w:rPr>
        <w:t>电力线路跨越高速铁路防护技术规程</w:t>
      </w:r>
    </w:p>
    <w:p>
      <w:pPr>
        <w:widowControl/>
        <w:spacing w:line="360" w:lineRule="auto"/>
        <w:jc w:val="left"/>
        <w:rPr>
          <w:kern w:val="0"/>
          <w:sz w:val="20"/>
          <w:szCs w:val="20"/>
        </w:rPr>
      </w:pPr>
    </w:p>
    <w:p>
      <w:pPr>
        <w:widowControl/>
        <w:spacing w:line="360" w:lineRule="auto"/>
        <w:ind w:left="420"/>
        <w:jc w:val="left"/>
        <w:outlineLvl w:val="0"/>
      </w:pPr>
      <w:bookmarkStart w:id="4" w:name="_Toc513547930"/>
      <w:r>
        <w:rPr>
          <w:rFonts w:ascii="黑体" w:eastAsia="黑体" w:hAnsi="黑体" w:cs="黑体"/>
          <w:b/>
          <w:bCs/>
          <w:kern w:val="44"/>
          <w:szCs w:val="44"/>
        </w:rPr>
        <w:t>1</w:t>
      </w:r>
      <w:r>
        <w:rPr>
          <w:rFonts w:hint="eastAsia"/>
        </w:rPr>
        <w:t xml:space="preserve">   范围</w:t>
      </w:r>
      <w:bookmarkEnd w:id="4"/>
    </w:p>
    <w:p>
      <w:pPr>
        <w:widowControl/>
        <w:spacing w:line="360" w:lineRule="auto"/>
        <w:ind w:left="420" w:firstLine="420" w:firstLineChars="200"/>
        <w:jc w:val="left"/>
      </w:pPr>
      <w:r>
        <w:rPr>
          <w:rFonts w:hint="eastAsia"/>
        </w:rPr>
        <w:t>本标准规定了电力线路跨越高速铁路的专业术语及定义、基本规定、施工工艺要求、安全措施及文明施工环保规定、主要设备工器具管理及检测、系统动态实时监测、应急预案的要求。</w:t>
      </w:r>
    </w:p>
    <w:p>
      <w:pPr>
        <w:widowControl/>
        <w:spacing w:line="360" w:lineRule="auto"/>
        <w:ind w:left="420" w:firstLine="420" w:firstLineChars="200"/>
        <w:jc w:val="left"/>
      </w:pPr>
      <w:r>
        <w:rPr>
          <w:rFonts w:hint="eastAsia"/>
        </w:rPr>
        <w:t>本标准适用于电力线路跨越高速铁路，跨越其他铁路等可参考执行。</w:t>
      </w:r>
    </w:p>
    <w:p>
      <w:pPr>
        <w:widowControl/>
        <w:spacing w:line="360" w:lineRule="auto"/>
        <w:ind w:left="420"/>
        <w:jc w:val="left"/>
        <w:outlineLvl w:val="0"/>
      </w:pPr>
      <w:bookmarkStart w:id="5" w:name="_Toc513547931"/>
      <w:r>
        <w:rPr>
          <w:rFonts w:hint="eastAsia"/>
          <w:b/>
          <w:bCs/>
        </w:rPr>
        <w:t xml:space="preserve">2   </w:t>
      </w:r>
      <w:r>
        <w:rPr>
          <w:rFonts w:hint="eastAsia"/>
        </w:rPr>
        <w:t>规范性引用文件</w:t>
      </w:r>
      <w:bookmarkEnd w:id="5"/>
    </w:p>
    <w:p>
      <w:pPr>
        <w:widowControl/>
        <w:spacing w:line="360" w:lineRule="auto"/>
        <w:ind w:left="420" w:firstLine="420" w:firstLineChars="200"/>
        <w:jc w:val="left"/>
        <w:rPr>
          <w:color w:val="000000" w:themeColor="text1"/>
        </w:rPr>
      </w:pPr>
      <w:r>
        <w:rPr>
          <w:rFonts w:hint="eastAsia"/>
          <w:color w:val="000000" w:themeColor="text1"/>
        </w:rPr>
        <w:t>下列文件对于本文件的应用是必不可少的。凡是注日期的引用文件，仅注日期的版本适用于本文件。 凡是不注日期的引用文件，其最新版本（包括所有的修改单）适用于本文件。</w:t>
      </w:r>
    </w:p>
    <w:p>
      <w:pPr>
        <w:pStyle w:val="Heading2"/>
        <w:numPr>
          <w:ilvl w:val="0"/>
          <w:numId w:val="0"/>
        </w:numPr>
        <w:rPr>
          <w:color w:val="000000" w:themeColor="text1"/>
        </w:rPr>
      </w:pPr>
      <w:r>
        <w:rPr>
          <w:rFonts w:hint="eastAsia"/>
          <w:color w:val="000000" w:themeColor="text1"/>
        </w:rPr>
        <w:t xml:space="preserve">    </w:t>
      </w:r>
    </w:p>
    <w:p>
      <w:pPr>
        <w:widowControl/>
        <w:spacing w:line="360" w:lineRule="auto"/>
        <w:ind w:left="420"/>
        <w:jc w:val="left"/>
        <w:rPr>
          <w:color w:val="000000" w:themeColor="text1"/>
        </w:rPr>
      </w:pPr>
      <w:r>
        <w:rPr>
          <w:rFonts w:hint="eastAsia"/>
          <w:color w:val="000000" w:themeColor="text1"/>
        </w:rPr>
        <w:t>（1）《电力建设安全工作规程第2部分：电力线路》（DL5009.2）</w:t>
      </w:r>
    </w:p>
    <w:p>
      <w:pPr>
        <w:widowControl/>
        <w:spacing w:line="360" w:lineRule="auto"/>
        <w:ind w:left="420"/>
        <w:jc w:val="left"/>
        <w:rPr>
          <w:color w:val="000000" w:themeColor="text1"/>
        </w:rPr>
      </w:pPr>
      <w:r>
        <w:rPr>
          <w:rFonts w:hint="eastAsia"/>
          <w:color w:val="000000" w:themeColor="text1"/>
        </w:rPr>
        <w:t>（2）《架空输电线路无跨越架不停电跨越架线施工工艺导则》（DL/T5301）</w:t>
      </w:r>
    </w:p>
    <w:p>
      <w:pPr>
        <w:widowControl/>
        <w:spacing w:line="360" w:lineRule="auto"/>
        <w:ind w:left="420"/>
        <w:jc w:val="left"/>
        <w:rPr>
          <w:color w:val="000000" w:themeColor="text1"/>
        </w:rPr>
      </w:pPr>
      <w:r>
        <w:rPr>
          <w:rFonts w:hint="eastAsia"/>
          <w:color w:val="000000" w:themeColor="text1"/>
        </w:rPr>
        <w:t>（4）《跨越电力线路架线施工规程》（DL 5106）</w:t>
      </w:r>
    </w:p>
    <w:p>
      <w:pPr>
        <w:widowControl/>
        <w:spacing w:line="360" w:lineRule="auto"/>
        <w:ind w:left="420"/>
        <w:jc w:val="left"/>
        <w:rPr>
          <w:color w:val="000000" w:themeColor="text1"/>
        </w:rPr>
      </w:pPr>
      <w:r>
        <w:rPr>
          <w:rFonts w:hint="eastAsia"/>
          <w:color w:val="000000" w:themeColor="text1"/>
        </w:rPr>
        <w:t>（5）《建筑施工承插型盘扣式钢管支架安全技术规程》（JGJ231）</w:t>
      </w:r>
    </w:p>
    <w:p>
      <w:pPr>
        <w:widowControl/>
        <w:spacing w:line="360" w:lineRule="auto"/>
        <w:ind w:left="420"/>
        <w:jc w:val="left"/>
        <w:rPr>
          <w:color w:val="000000" w:themeColor="text1"/>
        </w:rPr>
      </w:pPr>
      <w:r>
        <w:rPr>
          <w:rFonts w:hint="eastAsia"/>
          <w:color w:val="000000" w:themeColor="text1"/>
        </w:rPr>
        <w:t>（6）《铁路营业线施工安全管理实施细则》</w:t>
      </w:r>
    </w:p>
    <w:p>
      <w:pPr>
        <w:widowControl/>
        <w:spacing w:line="360" w:lineRule="auto"/>
        <w:ind w:left="420"/>
        <w:jc w:val="left"/>
        <w:rPr>
          <w:color w:val="000000" w:themeColor="text1"/>
        </w:rPr>
      </w:pPr>
      <w:r>
        <w:rPr>
          <w:rFonts w:hint="eastAsia"/>
          <w:color w:val="000000" w:themeColor="text1"/>
        </w:rPr>
        <w:t>（7）《路外工程建设管理办法》</w:t>
      </w:r>
    </w:p>
    <w:p>
      <w:pPr>
        <w:widowControl/>
        <w:spacing w:line="360" w:lineRule="auto"/>
        <w:ind w:left="420"/>
        <w:jc w:val="left"/>
        <w:rPr>
          <w:color w:val="000000" w:themeColor="text1"/>
        </w:rPr>
      </w:pPr>
      <w:r>
        <w:rPr>
          <w:rFonts w:hint="eastAsia"/>
          <w:color w:val="000000" w:themeColor="text1"/>
        </w:rPr>
        <w:t>（8）《铁路营业线施工管理规定》</w:t>
      </w:r>
    </w:p>
    <w:p>
      <w:pPr>
        <w:widowControl/>
        <w:spacing w:line="360" w:lineRule="auto"/>
        <w:ind w:left="420"/>
        <w:jc w:val="left"/>
        <w:rPr>
          <w:color w:val="000000" w:themeColor="text1"/>
        </w:rPr>
      </w:pPr>
      <w:r>
        <w:rPr>
          <w:rFonts w:hint="eastAsia"/>
          <w:color w:val="000000" w:themeColor="text1"/>
        </w:rPr>
        <w:t>（9）《铁路技术管理规程》</w:t>
      </w:r>
    </w:p>
    <w:p>
      <w:pPr>
        <w:widowControl/>
        <w:spacing w:line="360" w:lineRule="auto"/>
        <w:ind w:left="420"/>
        <w:jc w:val="left"/>
        <w:rPr>
          <w:color w:val="000000" w:themeColor="text1"/>
        </w:rPr>
      </w:pPr>
      <w:r>
        <w:rPr>
          <w:rFonts w:hint="eastAsia"/>
          <w:color w:val="000000" w:themeColor="text1"/>
        </w:rPr>
        <w:t>（10）</w:t>
      </w:r>
      <w:bookmarkStart w:id="6" w:name="_Toc513547932"/>
      <w:r>
        <w:rPr>
          <w:rFonts w:hint="eastAsia"/>
          <w:color w:val="000000" w:themeColor="text1"/>
        </w:rPr>
        <w:t>《上跨结构物管理规定》</w:t>
      </w:r>
    </w:p>
    <w:p>
      <w:pPr>
        <w:widowControl/>
        <w:spacing w:line="360" w:lineRule="auto"/>
        <w:ind w:left="420"/>
        <w:jc w:val="left"/>
        <w:rPr>
          <w:color w:val="000000" w:themeColor="text1"/>
        </w:rPr>
      </w:pPr>
      <w:r>
        <w:rPr>
          <w:rFonts w:hint="eastAsia"/>
          <w:color w:val="000000" w:themeColor="text1"/>
        </w:rPr>
        <w:t>（11）《结构健康监测系统设计标准》（CECS 333）</w:t>
      </w:r>
    </w:p>
    <w:p>
      <w:pPr>
        <w:widowControl/>
        <w:spacing w:line="360" w:lineRule="auto"/>
        <w:ind w:left="420"/>
        <w:jc w:val="left"/>
        <w:rPr>
          <w:color w:val="000000" w:themeColor="text1"/>
        </w:rPr>
      </w:pPr>
    </w:p>
    <w:p>
      <w:pPr>
        <w:widowControl/>
        <w:spacing w:line="360" w:lineRule="auto"/>
        <w:ind w:left="420"/>
        <w:jc w:val="left"/>
        <w:rPr>
          <w:color w:val="000000" w:themeColor="text1"/>
        </w:rPr>
      </w:pPr>
      <w:r>
        <w:rPr>
          <w:rFonts w:ascii="黑体" w:eastAsia="黑体" w:hAnsi="黑体" w:cs="黑体"/>
          <w:b/>
          <w:bCs/>
          <w:kern w:val="44"/>
          <w:szCs w:val="44"/>
        </w:rPr>
        <w:t>3</w:t>
      </w:r>
      <w:r>
        <w:rPr>
          <w:b/>
          <w:bCs/>
          <w:kern w:val="44"/>
          <w:szCs w:val="44"/>
        </w:rPr>
        <w:t xml:space="preserve">   术语和定义</w:t>
      </w:r>
      <w:bookmarkEnd w:id="6"/>
    </w:p>
    <w:p>
      <w:pPr>
        <w:spacing w:line="360" w:lineRule="auto"/>
        <w:rPr>
          <w:kern w:val="0"/>
          <w:sz w:val="18"/>
          <w:szCs w:val="18"/>
        </w:rPr>
      </w:pPr>
      <w:r>
        <w:rPr>
          <w:rFonts w:hint="eastAsia"/>
        </w:rPr>
        <w:t>下列术语和定义适用于本文件。</w:t>
      </w:r>
    </w:p>
    <w:p>
      <w:pPr>
        <w:spacing w:line="360" w:lineRule="auto"/>
      </w:pPr>
      <w:r>
        <w:rPr>
          <w:rFonts w:ascii="黑体" w:eastAsia="黑体" w:hAnsi="黑体" w:cs="黑体"/>
          <w:b/>
          <w:kern w:val="0"/>
          <w:sz w:val="18"/>
          <w:szCs w:val="18"/>
        </w:rPr>
        <w:t>3.1</w:t>
      </w:r>
      <w:r>
        <w:rPr>
          <w:rFonts w:hint="eastAsia"/>
        </w:rPr>
        <w:t>张力架线  installing of conductor with tension</w:t>
      </w:r>
    </w:p>
    <w:p>
      <w:pPr>
        <w:spacing w:line="360" w:lineRule="auto"/>
        <w:ind w:firstLine="420" w:firstLineChars="200"/>
        <w:rPr>
          <w:kern w:val="0"/>
          <w:sz w:val="18"/>
          <w:szCs w:val="18"/>
        </w:rPr>
      </w:pPr>
      <w:r>
        <w:rPr>
          <w:rFonts w:hint="eastAsia"/>
        </w:rPr>
        <w:t>利用张力机、牵引机等设备，在规定的张力范围内悬空展放导、地线的施工方法。</w:t>
      </w:r>
    </w:p>
    <w:p>
      <w:pPr>
        <w:widowControl/>
        <w:spacing w:line="360" w:lineRule="auto"/>
        <w:jc w:val="left"/>
        <w:rPr>
          <w:rFonts w:ascii="宋体" w:hAnsi="宋体" w:cs="宋体"/>
          <w:kern w:val="0"/>
          <w:sz w:val="18"/>
          <w:szCs w:val="18"/>
        </w:rPr>
      </w:pPr>
      <w:r>
        <w:rPr>
          <w:rFonts w:ascii="黑体" w:eastAsia="黑体" w:hAnsi="黑体" w:cs="黑体"/>
          <w:b/>
          <w:kern w:val="0"/>
          <w:sz w:val="18"/>
          <w:szCs w:val="18"/>
        </w:rPr>
        <w:t>3.2</w:t>
      </w:r>
      <w:r>
        <w:rPr>
          <w:rFonts w:hint="eastAsia"/>
        </w:rPr>
        <w:t>跨越架  crossing structure</w:t>
      </w:r>
    </w:p>
    <w:p>
      <w:pPr>
        <w:widowControl/>
        <w:spacing w:line="360" w:lineRule="auto"/>
        <w:ind w:left="420"/>
        <w:jc w:val="left"/>
      </w:pPr>
      <w:r>
        <w:rPr>
          <w:rFonts w:hint="eastAsia"/>
        </w:rPr>
        <w:t>在放线施工中，为使导地线安全通过被跨越物而搭设的临时架体。</w:t>
      </w:r>
    </w:p>
    <w:p>
      <w:pPr>
        <w:spacing w:line="360" w:lineRule="auto"/>
      </w:pPr>
      <w:r>
        <w:rPr>
          <w:rFonts w:ascii="黑体" w:eastAsia="黑体" w:hAnsi="黑体" w:cs="黑体" w:hint="eastAsia"/>
          <w:b/>
          <w:kern w:val="0"/>
          <w:sz w:val="18"/>
          <w:szCs w:val="18"/>
        </w:rPr>
        <w:t>3.3</w:t>
      </w:r>
      <w:r>
        <w:rPr>
          <w:rFonts w:hint="eastAsia"/>
        </w:rPr>
        <w:t>防护网 closed net</w:t>
      </w:r>
    </w:p>
    <w:p>
      <w:pPr>
        <w:spacing w:line="360" w:lineRule="auto"/>
        <w:ind w:firstLine="420" w:firstLineChars="200"/>
      </w:pPr>
      <w:r>
        <w:rPr>
          <w:rFonts w:hint="eastAsia"/>
        </w:rPr>
        <w:t>为保护被跨越物而在跨越档间设置的能够承受事故荷载的绝缘绳网、绝缘撑杆、承力索、连接挂环、牵（锚）网绳及牵（锚）网绳滑轮等的总称。</w:t>
      </w:r>
    </w:p>
    <w:p>
      <w:pPr>
        <w:spacing w:line="360" w:lineRule="auto"/>
        <w:outlineLvl w:val="1"/>
      </w:pPr>
      <w:r>
        <w:rPr>
          <w:rFonts w:ascii="黑体" w:eastAsia="黑体" w:hAnsi="黑体" w:cs="黑体" w:hint="eastAsia"/>
          <w:b/>
          <w:bCs/>
          <w:sz w:val="18"/>
          <w:szCs w:val="18"/>
        </w:rPr>
        <w:t>3.4</w:t>
      </w:r>
      <w:r>
        <w:rPr>
          <w:rFonts w:hint="eastAsia"/>
        </w:rPr>
        <w:t>封网形式 closed type</w:t>
      </w:r>
    </w:p>
    <w:p>
      <w:pPr>
        <w:spacing w:line="360" w:lineRule="auto"/>
        <w:ind w:firstLine="360" w:firstLineChars="200"/>
        <w:sectPr>
          <w:footerReference w:type="default" r:id="rId10"/>
          <w:pgSz w:w="11900" w:h="16840"/>
          <w:pgMar w:top="1134" w:right="1134" w:bottom="1134" w:left="1134" w:header="0" w:footer="0" w:gutter="0"/>
          <w:pgNumType w:start="6"/>
          <w:cols w:num="1" w:space="708" w:equalWidth="0">
            <w:col w:w="9346" w:space="0"/>
          </w:cols>
        </w:sectPr>
      </w:pPr>
      <w:r>
        <w:rPr>
          <w:rFonts w:ascii="黑体" w:eastAsia="黑体" w:hAnsi="黑体" w:cs="黑体" w:hint="eastAsia"/>
          <w:b/>
          <w:bCs/>
          <w:sz w:val="18"/>
          <w:szCs w:val="18"/>
        </w:rPr>
        <w:t xml:space="preserve"> </w:t>
      </w:r>
    </w:p>
    <w:p>
      <w:pPr>
        <w:spacing w:line="360" w:lineRule="auto"/>
        <w:ind w:firstLine="420" w:firstLineChars="200"/>
      </w:pPr>
      <w:r>
        <w:rPr>
          <w:rFonts w:hint="eastAsia"/>
        </w:rPr>
        <w:t>根据不同的被跨铁路情况设置的封网装置的布置形式，分为局部封网形式和全封网形式。跨越档内仅在被跨铁路上方一定范围内布置封网装置，称为局部封网形式；跨越档内布置封网装置长度大于2/3档距的，称为全封网形式。</w:t>
      </w:r>
    </w:p>
    <w:p>
      <w:pPr>
        <w:spacing w:line="360" w:lineRule="auto"/>
        <w:outlineLvl w:val="1"/>
      </w:pPr>
      <w:r>
        <w:rPr>
          <w:rFonts w:ascii="黑体" w:eastAsia="黑体" w:hAnsi="黑体" w:cs="黑体" w:hint="eastAsia"/>
          <w:b/>
          <w:bCs/>
          <w:sz w:val="18"/>
          <w:szCs w:val="18"/>
        </w:rPr>
        <w:t>3.5</w:t>
      </w:r>
      <w:r>
        <w:rPr>
          <w:rFonts w:hint="eastAsia"/>
        </w:rPr>
        <w:t>跨越档参数 parameter of over-crossing position</w:t>
      </w:r>
    </w:p>
    <w:p>
      <w:pPr>
        <w:spacing w:line="360" w:lineRule="auto"/>
      </w:pPr>
      <w:r>
        <w:rPr>
          <w:rFonts w:hint="eastAsia"/>
        </w:rPr>
        <w:t xml:space="preserve">   跨越档参数包括档距、两端塔呼称高、被跨铁路数量、位置、高程及交叉角等。</w:t>
      </w:r>
    </w:p>
    <w:p>
      <w:pPr>
        <w:spacing w:line="360" w:lineRule="auto"/>
        <w:ind w:left="180" w:hanging="180" w:hangingChars="100"/>
        <w:outlineLvl w:val="1"/>
      </w:pPr>
      <w:r>
        <w:rPr>
          <w:rFonts w:ascii="黑体" w:eastAsia="黑体" w:hAnsi="黑体" w:cs="黑体" w:hint="eastAsia"/>
          <w:b/>
          <w:bCs/>
          <w:sz w:val="18"/>
          <w:szCs w:val="18"/>
        </w:rPr>
        <w:t>3.6</w:t>
      </w:r>
      <w:r>
        <w:rPr>
          <w:rFonts w:hint="eastAsia"/>
        </w:rPr>
        <w:t>射绳枪 projection rope gun</w:t>
      </w:r>
    </w:p>
    <w:p>
      <w:pPr>
        <w:spacing w:line="360" w:lineRule="auto"/>
        <w:ind w:left="210" w:hanging="210" w:hangingChars="100"/>
        <w:rPr>
          <w:color w:val="FF0000"/>
        </w:rPr>
      </w:pPr>
      <w:r>
        <w:rPr>
          <w:rFonts w:hint="eastAsia"/>
        </w:rPr>
        <w:t xml:space="preserve">   采用射击的方法使绝缘绳快速越过被跨越物的专用工具。</w:t>
      </w:r>
    </w:p>
    <w:p>
      <w:pPr>
        <w:spacing w:line="360" w:lineRule="auto"/>
        <w:ind w:left="180" w:hanging="180" w:hangingChars="100"/>
        <w:outlineLvl w:val="1"/>
      </w:pPr>
      <w:r>
        <w:rPr>
          <w:rFonts w:ascii="黑体" w:eastAsia="黑体" w:hAnsi="黑体" w:cs="黑体" w:hint="eastAsia"/>
          <w:b/>
          <w:bCs/>
          <w:sz w:val="18"/>
          <w:szCs w:val="18"/>
        </w:rPr>
        <w:t>3.7</w:t>
      </w:r>
      <w:r>
        <w:rPr>
          <w:rFonts w:hint="eastAsia"/>
        </w:rPr>
        <w:t>无人机 drone</w:t>
      </w:r>
    </w:p>
    <w:p>
      <w:pPr>
        <w:spacing w:line="360" w:lineRule="auto"/>
        <w:ind w:left="210" w:hanging="210" w:hangingChars="100"/>
      </w:pPr>
      <w:r>
        <w:rPr>
          <w:rFonts w:hint="eastAsia"/>
        </w:rPr>
        <w:t xml:space="preserve">   将绝缘绳越过被跨越物的无人飞行器。</w:t>
      </w:r>
    </w:p>
    <w:p>
      <w:pPr>
        <w:spacing w:line="360" w:lineRule="auto"/>
        <w:ind w:left="180" w:hanging="180" w:hangingChars="100"/>
        <w:outlineLvl w:val="1"/>
      </w:pPr>
      <w:r>
        <w:rPr>
          <w:rFonts w:ascii="黑体" w:eastAsia="黑体" w:hAnsi="黑体" w:cs="黑体" w:hint="eastAsia"/>
          <w:b/>
          <w:bCs/>
          <w:sz w:val="18"/>
          <w:szCs w:val="18"/>
        </w:rPr>
        <w:t>3.8</w:t>
      </w:r>
      <w:r>
        <w:rPr>
          <w:rFonts w:hint="eastAsia"/>
        </w:rPr>
        <w:t>承插型盘扣式钢管支架 disk lock steel tubular scaffold</w:t>
      </w:r>
    </w:p>
    <w:p>
      <w:pPr>
        <w:spacing w:line="360" w:lineRule="auto"/>
        <w:ind w:firstLine="420" w:firstLineChars="200"/>
        <w:rPr>
          <w:rFonts w:ascii="黑体" w:eastAsia="黑体" w:hAnsi="黑体" w:cs="黑体"/>
          <w:b/>
          <w:bCs/>
          <w:sz w:val="18"/>
          <w:szCs w:val="18"/>
        </w:rPr>
      </w:pPr>
      <w:r>
        <w:rPr>
          <w:rFonts w:hint="eastAsia"/>
        </w:rPr>
        <w:t>立杆采用套管承插连接，水平杆和斜杆采用杆端扣接头卡入连接盘，用楔形插销连接，形成结构几何不变体系的钢管支架。承插型盘扣式钢管支架由立杆、水平杆、斜杆、可调底座及可调托座等构配件构成。根据其用途可分为模板支架和脚手架两类。</w:t>
      </w:r>
    </w:p>
    <w:p>
      <w:pPr>
        <w:spacing w:line="360" w:lineRule="auto"/>
        <w:ind w:left="180" w:hanging="180" w:hangingChars="100"/>
        <w:outlineLvl w:val="1"/>
      </w:pPr>
      <w:r>
        <w:rPr>
          <w:rFonts w:ascii="黑体" w:eastAsia="黑体" w:hAnsi="黑体" w:cs="黑体" w:hint="eastAsia"/>
          <w:b/>
          <w:bCs/>
          <w:sz w:val="18"/>
          <w:szCs w:val="18"/>
        </w:rPr>
        <w:t>3.9</w:t>
      </w:r>
      <w:r>
        <w:rPr>
          <w:rFonts w:hint="eastAsia"/>
        </w:rPr>
        <w:t>可调底座 base jack</w:t>
      </w:r>
    </w:p>
    <w:p>
      <w:pPr>
        <w:spacing w:line="360" w:lineRule="auto"/>
        <w:ind w:left="210" w:hanging="210" w:hangingChars="100"/>
      </w:pPr>
      <w:r>
        <w:rPr>
          <w:rFonts w:hint="eastAsia"/>
        </w:rPr>
        <w:t xml:space="preserve">    安装在立杆底端可调节高度的底座。</w:t>
      </w:r>
    </w:p>
    <w:p>
      <w:pPr>
        <w:spacing w:line="360" w:lineRule="auto"/>
        <w:ind w:left="180" w:hanging="180" w:hangingChars="100"/>
        <w:outlineLvl w:val="1"/>
      </w:pPr>
      <w:r>
        <w:rPr>
          <w:rFonts w:ascii="黑体" w:eastAsia="黑体" w:hAnsi="黑体" w:cs="黑体" w:hint="eastAsia"/>
          <w:b/>
          <w:bCs/>
          <w:sz w:val="18"/>
          <w:szCs w:val="18"/>
        </w:rPr>
        <w:t>3.10</w:t>
      </w:r>
      <w:r>
        <w:rPr>
          <w:rFonts w:hint="eastAsia"/>
        </w:rPr>
        <w:t>有限元法 finite element method</w:t>
      </w:r>
    </w:p>
    <w:p>
      <w:pPr>
        <w:spacing w:line="360" w:lineRule="auto"/>
        <w:ind w:left="210" w:hanging="210" w:hangingChars="100"/>
        <w:rPr>
          <w:rFonts w:ascii="黑体" w:eastAsia="黑体" w:hAnsi="黑体" w:cs="黑体"/>
          <w:b/>
          <w:bCs/>
          <w:sz w:val="18"/>
          <w:szCs w:val="18"/>
        </w:rPr>
      </w:pPr>
      <w:r>
        <w:rPr>
          <w:rFonts w:hint="eastAsia"/>
        </w:rPr>
        <w:t xml:space="preserve">    用于设计阶段验算跨越架结构受力情况的分析方法。</w:t>
      </w:r>
    </w:p>
    <w:p>
      <w:pPr>
        <w:spacing w:line="360" w:lineRule="auto"/>
        <w:ind w:left="180" w:hanging="180" w:hangingChars="100"/>
        <w:outlineLvl w:val="1"/>
      </w:pPr>
      <w:r>
        <w:rPr>
          <w:rFonts w:ascii="黑体" w:eastAsia="黑体" w:hAnsi="黑体" w:cs="黑体" w:hint="eastAsia"/>
          <w:b/>
          <w:bCs/>
          <w:sz w:val="18"/>
          <w:szCs w:val="18"/>
        </w:rPr>
        <w:t>3.11</w:t>
      </w:r>
      <w:r>
        <w:rPr>
          <w:rFonts w:hint="eastAsia"/>
        </w:rPr>
        <w:t>实时监控系统 Real - time monitoring system</w:t>
      </w:r>
    </w:p>
    <w:p>
      <w:pPr>
        <w:spacing w:line="360" w:lineRule="auto"/>
        <w:ind w:left="210" w:hanging="210" w:hangingChars="100"/>
        <w:rPr>
          <w:rFonts w:ascii="黑体" w:eastAsia="黑体" w:hAnsi="黑体" w:cs="黑体"/>
          <w:b/>
          <w:bCs/>
          <w:sz w:val="18"/>
          <w:szCs w:val="18"/>
        </w:rPr>
      </w:pPr>
      <w:r>
        <w:rPr>
          <w:rFonts w:hint="eastAsia"/>
        </w:rPr>
        <w:t xml:space="preserve">    跨越架搭设完成后，用于不间断监测跨越架各项指标维持状况及周围环境的大数据采集传输系统。</w:t>
      </w:r>
    </w:p>
    <w:p>
      <w:pPr>
        <w:spacing w:line="360" w:lineRule="auto"/>
        <w:ind w:left="180" w:hanging="180" w:hangingChars="100"/>
        <w:outlineLvl w:val="1"/>
      </w:pPr>
      <w:r>
        <w:rPr>
          <w:rFonts w:ascii="黑体" w:eastAsia="黑体" w:hAnsi="黑体" w:cs="黑体" w:hint="eastAsia"/>
          <w:b/>
          <w:bCs/>
          <w:sz w:val="18"/>
          <w:szCs w:val="18"/>
        </w:rPr>
        <w:t>3.12</w:t>
      </w:r>
      <w:r>
        <w:rPr>
          <w:rFonts w:hint="eastAsia"/>
        </w:rPr>
        <w:t>“天窗” （铁路术语）</w:t>
      </w:r>
      <w:r>
        <w:t>Skylights</w:t>
      </w:r>
    </w:p>
    <w:p>
      <w:pPr>
        <w:spacing w:line="360" w:lineRule="auto"/>
        <w:ind w:firstLine="420" w:firstLineChars="200"/>
        <w:rPr>
          <w:rFonts w:ascii="黑体" w:hAnsi="黑体" w:cs="黑体"/>
          <w:b/>
          <w:bCs/>
          <w:color w:val="FF0000"/>
          <w:sz w:val="18"/>
          <w:szCs w:val="18"/>
        </w:rPr>
      </w:pPr>
      <w:r>
        <w:rPr>
          <w:rFonts w:hint="eastAsia"/>
          <w:color w:val="000000" w:themeColor="text1"/>
        </w:rPr>
        <w:t>“天窗”：是指列车运行图中不铺画列车运行线或调整、抽减列车运行，为施工和维修作业预留的时间，按用途分为施工天窗和维修天窗。参见铁运[2012]280号文件，跨越施工则需要垂直天窗。</w:t>
      </w:r>
    </w:p>
    <w:p>
      <w:pPr>
        <w:spacing w:line="360" w:lineRule="auto"/>
        <w:ind w:left="180" w:hanging="180" w:hangingChars="100"/>
        <w:outlineLvl w:val="1"/>
      </w:pPr>
      <w:r>
        <w:rPr>
          <w:rFonts w:ascii="黑体" w:eastAsia="黑体" w:hAnsi="黑体" w:cs="黑体" w:hint="eastAsia"/>
          <w:b/>
          <w:bCs/>
          <w:sz w:val="18"/>
          <w:szCs w:val="18"/>
        </w:rPr>
        <w:t>3.13</w:t>
      </w:r>
      <w:r>
        <w:rPr>
          <w:rFonts w:hint="eastAsia"/>
        </w:rPr>
        <w:t>“天窗”点 （铁路术语）</w:t>
      </w:r>
      <w:r>
        <w:t>Skylights</w:t>
      </w:r>
      <w:r>
        <w:rPr>
          <w:rFonts w:hint="eastAsia"/>
        </w:rPr>
        <w:t xml:space="preserve"> time</w:t>
      </w:r>
    </w:p>
    <w:p>
      <w:pPr>
        <w:spacing w:line="360" w:lineRule="auto"/>
        <w:ind w:firstLine="420" w:firstLineChars="200"/>
      </w:pPr>
      <w:r>
        <w:t>强调</w:t>
      </w:r>
      <w:r>
        <w:rPr>
          <w:rFonts w:hint="eastAsia"/>
        </w:rPr>
        <w:t>“</w:t>
      </w:r>
      <w:r>
        <w:t>天窗</w:t>
      </w:r>
      <w:r>
        <w:rPr>
          <w:rFonts w:hint="eastAsia"/>
        </w:rPr>
        <w:t>”时效性的表述方式，语义与“天窗”相同。</w:t>
      </w:r>
    </w:p>
    <w:p>
      <w:pPr>
        <w:pStyle w:val="Heading2"/>
        <w:numPr>
          <w:ilvl w:val="0"/>
          <w:numId w:val="0"/>
        </w:numPr>
        <w:spacing w:line="360" w:lineRule="auto"/>
        <w:rPr>
          <w:b w:val="0"/>
          <w:bCs w:val="0"/>
        </w:rPr>
      </w:pPr>
      <w:r>
        <w:rPr>
          <w:rFonts w:ascii="黑体" w:eastAsia="黑体" w:hAnsi="黑体" w:cs="黑体" w:hint="eastAsia"/>
          <w:sz w:val="18"/>
          <w:szCs w:val="18"/>
        </w:rPr>
        <w:t>3.14</w:t>
      </w:r>
      <w:r>
        <w:rPr>
          <w:rFonts w:hint="eastAsia"/>
          <w:b w:val="0"/>
          <w:bCs w:val="0"/>
        </w:rPr>
        <w:t>施工监测 construction monitoring</w:t>
      </w:r>
    </w:p>
    <w:p>
      <w:pPr>
        <w:spacing w:line="360" w:lineRule="auto"/>
        <w:rPr>
          <w:color w:val="000000" w:themeColor="text1"/>
        </w:rPr>
      </w:pPr>
      <w:r>
        <w:rPr>
          <w:rFonts w:hint="eastAsia"/>
        </w:rPr>
        <w:t xml:space="preserve">   </w:t>
      </w:r>
      <w:r>
        <w:rPr>
          <w:rFonts w:hint="eastAsia"/>
          <w:color w:val="000000" w:themeColor="text1"/>
        </w:rPr>
        <w:t xml:space="preserve"> 以物联网为基础对防护系统进行连续、全面的监测并随时回传信息的监测系统。</w:t>
      </w:r>
    </w:p>
    <w:p>
      <w:pPr>
        <w:pStyle w:val="Heading2"/>
        <w:numPr>
          <w:ilvl w:val="0"/>
          <w:numId w:val="0"/>
        </w:numPr>
        <w:spacing w:line="360" w:lineRule="auto"/>
        <w:rPr>
          <w:b w:val="0"/>
          <w:bCs w:val="0"/>
        </w:rPr>
      </w:pPr>
      <w:r>
        <w:rPr>
          <w:rFonts w:ascii="黑体" w:eastAsia="黑体" w:hAnsi="黑体" w:cs="黑体" w:hint="eastAsia"/>
          <w:sz w:val="18"/>
          <w:szCs w:val="18"/>
        </w:rPr>
        <w:t>3.15</w:t>
      </w:r>
      <w:r>
        <w:rPr>
          <w:rFonts w:hint="eastAsia"/>
          <w:b w:val="0"/>
          <w:bCs w:val="0"/>
        </w:rPr>
        <w:t>传感器 transducer/sensor</w:t>
      </w:r>
    </w:p>
    <w:p>
      <w:pPr>
        <w:spacing w:line="360" w:lineRule="auto"/>
        <w:ind w:firstLine="420"/>
      </w:pPr>
      <w:r>
        <w:rPr>
          <w:rFonts w:hint="eastAsia"/>
        </w:rPr>
        <w:t>能感受规定的被测量并按照一定的规律转换成可用信号的器件或装置，通常由敏感元件和转换元件组成。</w:t>
      </w:r>
    </w:p>
    <w:p>
      <w:pPr>
        <w:pStyle w:val="Heading2"/>
        <w:numPr>
          <w:ilvl w:val="0"/>
          <w:numId w:val="0"/>
        </w:numPr>
        <w:spacing w:line="360" w:lineRule="auto"/>
        <w:rPr>
          <w:b w:val="0"/>
          <w:bCs w:val="0"/>
        </w:rPr>
      </w:pPr>
      <w:r>
        <w:rPr>
          <w:rFonts w:ascii="黑体" w:eastAsia="黑体" w:hAnsi="黑体" w:cs="黑体" w:hint="eastAsia"/>
          <w:sz w:val="18"/>
          <w:szCs w:val="18"/>
        </w:rPr>
        <w:t>3.16</w:t>
      </w:r>
      <w:r>
        <w:rPr>
          <w:rFonts w:hint="eastAsia"/>
          <w:b w:val="0"/>
          <w:bCs w:val="0"/>
        </w:rPr>
        <w:t>传感器布置 sensor placement</w:t>
      </w:r>
    </w:p>
    <w:p>
      <w:pPr>
        <w:spacing w:line="360" w:lineRule="auto"/>
        <w:ind w:firstLine="420"/>
      </w:pPr>
      <w:r>
        <w:rPr>
          <w:rFonts w:hint="eastAsia"/>
        </w:rPr>
        <w:t>利用尽可能少的传感器，将其布置在结构的适当位置，使其能够达到某一特定目标。</w:t>
      </w:r>
    </w:p>
    <w:p>
      <w:pPr>
        <w:pStyle w:val="Heading2"/>
        <w:numPr>
          <w:ilvl w:val="0"/>
          <w:numId w:val="0"/>
        </w:numPr>
        <w:spacing w:line="360" w:lineRule="auto"/>
        <w:rPr>
          <w:b w:val="0"/>
          <w:bCs w:val="0"/>
        </w:rPr>
      </w:pPr>
      <w:r>
        <w:rPr>
          <w:rFonts w:ascii="黑体" w:eastAsia="黑体" w:hAnsi="黑体" w:cs="黑体" w:hint="eastAsia"/>
          <w:sz w:val="18"/>
          <w:szCs w:val="18"/>
        </w:rPr>
        <w:t>3.17</w:t>
      </w:r>
      <w:r>
        <w:rPr>
          <w:rFonts w:hint="eastAsia"/>
          <w:b w:val="0"/>
          <w:bCs w:val="0"/>
        </w:rPr>
        <w:t>安全等级 safety class</w:t>
      </w:r>
    </w:p>
    <w:p>
      <w:pPr>
        <w:spacing w:line="360" w:lineRule="auto"/>
        <w:ind w:firstLine="420"/>
      </w:pPr>
      <w:r>
        <w:rPr>
          <w:rFonts w:hint="eastAsia"/>
        </w:rPr>
        <w:t>根据构件或结构破坏后果的严重程度划分的等级。</w:t>
      </w:r>
    </w:p>
    <w:p>
      <w:pPr>
        <w:pStyle w:val="Heading2"/>
        <w:numPr>
          <w:ilvl w:val="0"/>
          <w:numId w:val="0"/>
        </w:numPr>
        <w:spacing w:line="360" w:lineRule="auto"/>
        <w:rPr>
          <w:b w:val="0"/>
          <w:bCs w:val="0"/>
        </w:rPr>
      </w:pPr>
      <w:r>
        <w:rPr>
          <w:rFonts w:ascii="黑体" w:eastAsia="黑体" w:hAnsi="黑体" w:cs="黑体" w:hint="eastAsia"/>
          <w:sz w:val="18"/>
          <w:szCs w:val="18"/>
        </w:rPr>
        <w:t>3.18</w:t>
      </w:r>
      <w:r>
        <w:rPr>
          <w:rFonts w:hint="eastAsia"/>
          <w:b w:val="0"/>
          <w:bCs w:val="0"/>
        </w:rPr>
        <w:t>预警 warning</w:t>
      </w:r>
    </w:p>
    <w:p>
      <w:pPr>
        <w:spacing w:line="360" w:lineRule="auto"/>
        <w:rPr>
          <w:rFonts w:ascii="黑体" w:eastAsia="黑体" w:hAnsi="黑体" w:cs="黑体"/>
          <w:b/>
          <w:kern w:val="0"/>
          <w:sz w:val="18"/>
          <w:szCs w:val="18"/>
        </w:rPr>
      </w:pPr>
      <w:r>
        <w:rPr>
          <w:rFonts w:hint="eastAsia"/>
        </w:rPr>
        <w:t xml:space="preserve">    在危险发生之前，根据结构监测、损伤诊断和安全评定结果，向相关部门发出紧急信号的过程。</w:t>
      </w:r>
      <w:r>
        <w:rPr>
          <w:rFonts w:ascii="黑体" w:eastAsia="黑体" w:hAnsi="黑体" w:cs="黑体"/>
          <w:b/>
          <w:kern w:val="0"/>
          <w:sz w:val="18"/>
          <w:szCs w:val="18"/>
        </w:rPr>
        <w:br/>
      </w:r>
      <w:r>
        <w:rPr>
          <w:rFonts w:ascii="黑体" w:eastAsia="黑体" w:hAnsi="黑体" w:cs="黑体"/>
          <w:b/>
          <w:kern w:val="0"/>
          <w:sz w:val="18"/>
          <w:szCs w:val="1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https://d.book118.com/458134010124006040</w:t>
        </w:r>
      </w:hyperlink>
    </w:p>
    <w:p>
      <w:pPr>
        <w:spacing w:line="360" w:lineRule="auto"/>
        <w:rPr>
          <w:rFonts w:ascii="黑体" w:eastAsia="黑体" w:hAnsi="黑体" w:cs="黑体"/>
          <w:b/>
          <w:kern w:val="0"/>
          <w:sz w:val="18"/>
          <w:szCs w:val="18"/>
        </w:rPr>
      </w:pPr>
    </w:p>
    <w:sectPr>
      <w:footerReference w:type="default" r:id="rId12"/>
      <w:type w:val="nextPage"/>
      <w:pgSz w:w="11900" w:h="16840"/>
      <w:pgMar w:top="1134" w:right="1134" w:bottom="1134" w:left="1134" w:header="0" w:footer="0" w:gutter="0"/>
      <w:pgNumType w:start="7"/>
      <w:cols w:num="1" w:space="708" w:equalWidth="0">
        <w:col w:w="9346"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_GBK">
    <w:panose1 w:val="02000000000000000000"/>
    <w:charset w:val="86"/>
    <w:family w:val="script"/>
    <w:pitch w:val="default"/>
    <w:sig w:usb0="A00002BF" w:usb1="38CF7CFA" w:usb2="00082016" w:usb3="00000000" w:csb0="00040001" w:csb1="00000000"/>
  </w:font>
  <w:font w:name="等线 Light">
    <w:panose1 w:val="02010600030101010101"/>
    <w:charset w:val="86"/>
    <w:family w:val="auto"/>
    <w:pitch w:val="default"/>
    <w:sig w:usb0="A00002BF" w:usb1="38CF7CFA" w:usb2="00000016" w:usb3="00000000" w:csb0="0004000F" w:csb1="00000000"/>
  </w:font>
  <w:font w:name="MS PGothic">
    <w:panose1 w:val="020B0600070205080204"/>
    <w:charset w:val="80"/>
    <w:family w:val="swiss"/>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jc w:val="center"/>
                          </w:pPr>
                          <w:r>
                            <w:fldChar w:fldCharType="begin"/>
                          </w:r>
                          <w:r>
                            <w:instrText>PAGE   \* MERGEFORMAT</w:instrText>
                          </w:r>
                          <w:r>
                            <w:fldChar w:fldCharType="separate"/>
                          </w:r>
                          <w:r>
                            <w:rPr>
                              <w:lang w:val="zh-CN"/>
                            </w:rPr>
                            <w:t>6</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pPr>
                    <w:r>
                      <w:fldChar w:fldCharType="begin"/>
                    </w:r>
                    <w:r>
                      <w:instrText>PAGE   \* MERGEFORMAT</w:instrText>
                    </w:r>
                    <w:r>
                      <w:fldChar w:fldCharType="separate"/>
                    </w:r>
                    <w:r>
                      <w:rPr>
                        <w:lang w:val="zh-CN"/>
                      </w:rPr>
                      <w:t>6</w:t>
                    </w:r>
                    <w:r>
                      <w:rPr>
                        <w:lang w:val="zh-CN"/>
                      </w:rPr>
                      <w:fldChar w:fldCharType="end"/>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631303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jc w:val="center"/>
                          </w:pPr>
                          <w:r>
                            <w:fldChar w:fldCharType="begin"/>
                          </w:r>
                          <w:r>
                            <w:instrText>PAGE   \* MERGEFORMAT</w:instrText>
                          </w:r>
                          <w:r>
                            <w:fldChar w:fldCharType="separate"/>
                          </w:r>
                          <w:r>
                            <w:rPr>
                              <w:lang w:val="zh-CN"/>
                            </w:rPr>
                            <w:t>7</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pPr>
                    <w:r>
                      <w:fldChar w:fldCharType="begin"/>
                    </w:r>
                    <w:r>
                      <w:instrText>PAGE   \* MERGEFORMAT</w:instrText>
                    </w:r>
                    <w:r>
                      <w:fldChar w:fldCharType="separate"/>
                    </w:r>
                    <w:r>
                      <w:rPr>
                        <w:lang w:val="zh-CN"/>
                      </w:rPr>
                      <w:t>7</w:t>
                    </w:r>
                    <w:r>
                      <w:rPr>
                        <w:lang w:val="zh-CN"/>
                      </w:rPr>
                      <w:fldChar w:fldCharType="end"/>
                    </w:r>
                  </w:p>
                </w:txbxContent>
              </v:textbox>
              <w10:wrap anchorx="margin"/>
            </v:shape>
          </w:pict>
        </mc:Fallback>
      </mc:AlternateContent>
    </w:r>
  </w:p>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A60076F"/>
    <w:multiLevelType w:val="singleLevel"/>
    <w:tmpl w:val="5A60076F"/>
    <w:lvl w:ilvl="0">
      <w:start w:val="1"/>
      <w:numFmt w:val="chineseCounting"/>
      <w:pStyle w:val="Heading2"/>
      <w:suff w:val="nothing"/>
      <w:lvlText w:val="%1、"/>
      <w:lvlJc w:val="left"/>
    </w:lvl>
  </w:abstractNum>
  <w:abstractNum w:abstractNumId="1">
    <w:nsid w:val="5A6A8BBA"/>
    <w:multiLevelType w:val="singleLevel"/>
    <w:tmpl w:val="5A6A8BBA"/>
    <w:lvl w:ilvl="0">
      <w:start w:val="1"/>
      <w:numFmt w:val="decimal"/>
      <w:suff w:val="nothing"/>
      <w:lvlText w:val="（%1）"/>
      <w:lvlJc w:val="left"/>
    </w:lvl>
  </w:abstractNum>
  <w:abstractNum w:abstractNumId="2">
    <w:nsid w:val="5A6AF2B3"/>
    <w:multiLevelType w:val="singleLevel"/>
    <w:tmpl w:val="5A6AF2B3"/>
    <w:lvl w:ilvl="0">
      <w:start w:val="1"/>
      <w:numFmt w:val="decimal"/>
      <w:suff w:val="nothing"/>
      <w:lvlText w:val="（%1）"/>
      <w:lvlJc w:val="left"/>
    </w:lvl>
  </w:abstractNum>
  <w:abstractNum w:abstractNumId="3">
    <w:nsid w:val="5A6BCBE5"/>
    <w:multiLevelType w:val="singleLevel"/>
    <w:tmpl w:val="5A6BCBE5"/>
    <w:lvl w:ilvl="0">
      <w:start w:val="1"/>
      <w:numFmt w:val="decimal"/>
      <w:suff w:val="nothing"/>
      <w:lvlText w:val="（%1）"/>
      <w:lvlJc w:val="left"/>
    </w:lvl>
  </w:abstractNum>
  <w:abstractNum w:abstractNumId="4">
    <w:nsid w:val="5AA0E94F"/>
    <w:multiLevelType w:val="singleLevel"/>
    <w:tmpl w:val="5AA0E94F"/>
    <w:lvl w:ilvl="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96682"/>
    <w:rsid w:val="00051CDC"/>
    <w:rsid w:val="000601EE"/>
    <w:rsid w:val="00094484"/>
    <w:rsid w:val="000A6996"/>
    <w:rsid w:val="00121B7A"/>
    <w:rsid w:val="001A4809"/>
    <w:rsid w:val="00393C9A"/>
    <w:rsid w:val="003C20A2"/>
    <w:rsid w:val="004C4355"/>
    <w:rsid w:val="004C7907"/>
    <w:rsid w:val="004D56C8"/>
    <w:rsid w:val="005C0658"/>
    <w:rsid w:val="006A3A1D"/>
    <w:rsid w:val="00723A83"/>
    <w:rsid w:val="007423CD"/>
    <w:rsid w:val="007A7E77"/>
    <w:rsid w:val="00816F8A"/>
    <w:rsid w:val="008A65A2"/>
    <w:rsid w:val="00946D6C"/>
    <w:rsid w:val="00A01B95"/>
    <w:rsid w:val="00A21F5E"/>
    <w:rsid w:val="00A27B31"/>
    <w:rsid w:val="00AD2F90"/>
    <w:rsid w:val="00B16F4A"/>
    <w:rsid w:val="00BA22C7"/>
    <w:rsid w:val="00BA71A7"/>
    <w:rsid w:val="00BB12E3"/>
    <w:rsid w:val="00BD2BDD"/>
    <w:rsid w:val="00BF0726"/>
    <w:rsid w:val="00C329FA"/>
    <w:rsid w:val="00C66A98"/>
    <w:rsid w:val="00D11C8F"/>
    <w:rsid w:val="00D4353B"/>
    <w:rsid w:val="00DA6ED2"/>
    <w:rsid w:val="00DC6636"/>
    <w:rsid w:val="00E83FA9"/>
    <w:rsid w:val="00ED08B0"/>
    <w:rsid w:val="02CE6C6D"/>
    <w:rsid w:val="033433C3"/>
    <w:rsid w:val="03C343CA"/>
    <w:rsid w:val="04E3544A"/>
    <w:rsid w:val="056A0BB1"/>
    <w:rsid w:val="05AB69FB"/>
    <w:rsid w:val="05DD4FAD"/>
    <w:rsid w:val="0656712C"/>
    <w:rsid w:val="07E816E5"/>
    <w:rsid w:val="0AB133EF"/>
    <w:rsid w:val="0BBB023D"/>
    <w:rsid w:val="0D3222F4"/>
    <w:rsid w:val="0F887BBA"/>
    <w:rsid w:val="0FFC2627"/>
    <w:rsid w:val="12480D8D"/>
    <w:rsid w:val="12F03894"/>
    <w:rsid w:val="1670060C"/>
    <w:rsid w:val="193C58C1"/>
    <w:rsid w:val="199625B9"/>
    <w:rsid w:val="1A6A0B64"/>
    <w:rsid w:val="1AD33092"/>
    <w:rsid w:val="1ADF3FBD"/>
    <w:rsid w:val="1D0B646A"/>
    <w:rsid w:val="21347731"/>
    <w:rsid w:val="21F60E1D"/>
    <w:rsid w:val="237E07E6"/>
    <w:rsid w:val="23C43FB2"/>
    <w:rsid w:val="286A7B25"/>
    <w:rsid w:val="28B42E2D"/>
    <w:rsid w:val="29475635"/>
    <w:rsid w:val="2BEE37A0"/>
    <w:rsid w:val="2DD9331F"/>
    <w:rsid w:val="2EF34D66"/>
    <w:rsid w:val="30B80F51"/>
    <w:rsid w:val="34223E1C"/>
    <w:rsid w:val="345F4D70"/>
    <w:rsid w:val="35AE04FE"/>
    <w:rsid w:val="363C6F0A"/>
    <w:rsid w:val="36FC0F37"/>
    <w:rsid w:val="377C7873"/>
    <w:rsid w:val="37A61058"/>
    <w:rsid w:val="38222625"/>
    <w:rsid w:val="383351D5"/>
    <w:rsid w:val="387069F5"/>
    <w:rsid w:val="3CC7415C"/>
    <w:rsid w:val="3D975B41"/>
    <w:rsid w:val="3E9D41A3"/>
    <w:rsid w:val="3F4B5F09"/>
    <w:rsid w:val="41510DD2"/>
    <w:rsid w:val="431014A6"/>
    <w:rsid w:val="45CC137B"/>
    <w:rsid w:val="47DF7B6C"/>
    <w:rsid w:val="4B1C7020"/>
    <w:rsid w:val="4D7F3F35"/>
    <w:rsid w:val="4DAC04C0"/>
    <w:rsid w:val="50561DF4"/>
    <w:rsid w:val="51B65EDA"/>
    <w:rsid w:val="525A13E7"/>
    <w:rsid w:val="551A2F7E"/>
    <w:rsid w:val="56957A2C"/>
    <w:rsid w:val="577D7492"/>
    <w:rsid w:val="58E2451E"/>
    <w:rsid w:val="595369D4"/>
    <w:rsid w:val="5A3B0B86"/>
    <w:rsid w:val="5B42280A"/>
    <w:rsid w:val="5D36498F"/>
    <w:rsid w:val="5D51604A"/>
    <w:rsid w:val="5F54400E"/>
    <w:rsid w:val="60082506"/>
    <w:rsid w:val="626E5570"/>
    <w:rsid w:val="63D87C6F"/>
    <w:rsid w:val="64A1535E"/>
    <w:rsid w:val="66AD08CE"/>
    <w:rsid w:val="66E74616"/>
    <w:rsid w:val="6742267D"/>
    <w:rsid w:val="68896682"/>
    <w:rsid w:val="68AA4A54"/>
    <w:rsid w:val="68C56A75"/>
    <w:rsid w:val="6A1E1802"/>
    <w:rsid w:val="6BC13859"/>
    <w:rsid w:val="6D7C2AD8"/>
    <w:rsid w:val="6FF657CA"/>
    <w:rsid w:val="703C0BD9"/>
    <w:rsid w:val="70D11974"/>
    <w:rsid w:val="71361915"/>
    <w:rsid w:val="73BC192C"/>
    <w:rsid w:val="740948E4"/>
    <w:rsid w:val="77062E37"/>
    <w:rsid w:val="772F4924"/>
    <w:rsid w:val="774F0746"/>
    <w:rsid w:val="780940A0"/>
    <w:rsid w:val="7A140BFA"/>
    <w:rsid w:val="7C147FF2"/>
    <w:rsid w:val="7C907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2"/>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line="576" w:lineRule="auto"/>
      <w:outlineLvl w:val="0"/>
    </w:pPr>
    <w:rPr>
      <w:b/>
      <w:kern w:val="44"/>
      <w:sz w:val="44"/>
    </w:rPr>
  </w:style>
  <w:style w:type="paragraph" w:styleId="Heading2">
    <w:name w:val="heading 2"/>
    <w:basedOn w:val="Normal"/>
    <w:next w:val="Normal"/>
    <w:unhideWhenUsed/>
    <w:qFormat/>
    <w:pPr>
      <w:numPr>
        <w:ilvl w:val="0"/>
        <w:numId w:val="1"/>
      </w:numPr>
      <w:outlineLvl w:val="1"/>
    </w:pPr>
    <w:rPr>
      <w:b/>
      <w:bCs/>
    </w:rPr>
  </w:style>
  <w:style w:type="paragraph" w:styleId="Heading3">
    <w:name w:val="heading 3"/>
    <w:basedOn w:val="Normal"/>
    <w:next w:val="Normal"/>
    <w:semiHidden/>
    <w:unhideWhenUsed/>
    <w:qFormat/>
    <w:pPr>
      <w:spacing w:line="360" w:lineRule="auto"/>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ocumentMap">
    <w:name w:val="Document Map"/>
    <w:basedOn w:val="Normal"/>
    <w:qFormat/>
    <w:pPr>
      <w:shd w:val="clear" w:color="auto" w:fill="000080"/>
    </w:pPr>
  </w:style>
  <w:style w:type="paragraph" w:styleId="BodyText">
    <w:name w:val="Body Text"/>
    <w:basedOn w:val="Normal"/>
    <w:qFormat/>
    <w:pPr>
      <w:spacing w:after="120"/>
    </w:pPr>
    <w:rPr>
      <w:rFonts w:ascii="Times New Roman"/>
    </w:rPr>
  </w:style>
  <w:style w:type="paragraph" w:styleId="PlainText">
    <w:name w:val="Plain Text"/>
    <w:basedOn w:val="Normal"/>
    <w:qFormat/>
    <w:rPr>
      <w:rFonts w:ascii="宋体" w:hAnsi="Courier New"/>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pPr>
      <w:widowControl/>
      <w:spacing w:after="100" w:line="259" w:lineRule="auto"/>
      <w:jc w:val="left"/>
    </w:pPr>
    <w:rPr>
      <w:rFonts w:ascii="等线" w:eastAsia="等线" w:hAnsi="等线"/>
      <w:kern w:val="0"/>
      <w:sz w:val="22"/>
      <w:szCs w:val="22"/>
    </w:rPr>
  </w:style>
  <w:style w:type="paragraph" w:styleId="TOC2">
    <w:name w:val="toc 2"/>
    <w:basedOn w:val="Normal"/>
    <w:next w:val="Normal"/>
    <w:qFormat/>
    <w:pPr>
      <w:widowControl/>
      <w:spacing w:after="100" w:line="259" w:lineRule="auto"/>
      <w:ind w:left="220"/>
      <w:jc w:val="left"/>
    </w:pPr>
    <w:rPr>
      <w:rFonts w:ascii="等线" w:eastAsia="等线" w:hAnsi="等线"/>
      <w:kern w:val="0"/>
      <w:sz w:val="22"/>
      <w:szCs w:val="22"/>
    </w:rPr>
  </w:style>
  <w:style w:type="paragraph" w:styleId="NormalWeb">
    <w:name w:val="Normal (Web)"/>
    <w:basedOn w:val="Normal"/>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qFormat/>
    <w:rPr>
      <w:color w:val="0563C1"/>
      <w:u w:val="single"/>
    </w:rPr>
  </w:style>
  <w:style w:type="paragraph" w:customStyle="1" w:styleId="CharChar1CharCharChar">
    <w:name w:val="Char Char1 Char Char Char"/>
    <w:basedOn w:val="DocumentMap"/>
    <w:qFormat/>
  </w:style>
  <w:style w:type="paragraph" w:customStyle="1" w:styleId="CharCharCharChar">
    <w:name w:val="Char Char Char Char"/>
    <w:basedOn w:val="Normal"/>
    <w:qFormat/>
    <w:rPr>
      <w:rFonts w:ascii="Times New Roman" w:hAnsi="Times New Roman"/>
    </w:rPr>
  </w:style>
  <w:style w:type="paragraph" w:styleId="ListParagraph">
    <w:name w:val="List Paragraph"/>
    <w:basedOn w:val="Normal"/>
    <w:uiPriority w:val="34"/>
    <w:qFormat/>
    <w:pPr>
      <w:spacing w:line="360" w:lineRule="auto"/>
      <w:ind w:firstLine="420" w:firstLineChars="200"/>
    </w:pPr>
  </w:style>
  <w:style w:type="paragraph" w:customStyle="1" w:styleId="a">
    <w:name w:val="目录标题"/>
    <w:next w:val="TOC1"/>
    <w:qFormat/>
    <w:pPr>
      <w:spacing w:line="360" w:lineRule="auto"/>
    </w:pPr>
    <w:rPr>
      <w:rFonts w:ascii="黑体" w:eastAsia="黑体" w:hAnsi="宋体" w:cs="Times New Roman"/>
      <w:kern w:val="2"/>
      <w:sz w:val="21"/>
      <w:szCs w:val="2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458134010124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Info spid="_x0000_s10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4453</Words>
  <Characters>25385</Characters>
  <Application>Microsoft Office Word</Application>
  <DocSecurity>0</DocSecurity>
  <Lines>211</Lines>
  <Paragraphs>59</Paragraphs>
  <ScaleCrop>false</ScaleCrop>
  <Company/>
  <LinksUpToDate>false</LinksUpToDate>
  <CharactersWithSpaces>29779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991566197</dc:creator>
  <cp:lastModifiedBy>Administrator</cp:lastModifiedBy>
  <cp:revision>13</cp:revision>
  <cp:lastPrinted>2019-01-19T03:26:00Z</cp:lastPrinted>
  <dcterms:created xsi:type="dcterms:W3CDTF">2019-01-23T21:51:00Z</dcterms:created>
  <dcterms:modified xsi:type="dcterms:W3CDTF">2024-02-27T15:35:54Z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659913C983BD4372BDABCF828F6A8F9B</vt:lpwstr>
  </property>
  <property fmtid="{D5CDD505-2E9C-101B-9397-08002B2CF9AE}" pid="3" name="KSOProductBuildVer">
    <vt:lpwstr>2052-11.8.2.11718</vt:lpwstr>
  </property>
</Properties>
</file>