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7"/>
        <w:ind w:left="214"/>
        <w:rPr>
          <w:rFonts w:ascii="黑体"/>
        </w:rPr>
      </w:pPr>
      <w:r>
        <w:rPr>
          <w:rFonts w:ascii="黑体"/>
        </w:rPr>
        <w:t>ICS</w:t>
      </w:r>
      <w:r>
        <w:rPr>
          <w:rFonts w:ascii="黑体"/>
          <w:spacing w:val="-47"/>
        </w:rPr>
        <w:t xml:space="preserve"> </w:t>
      </w:r>
      <w:r>
        <w:rPr>
          <w:rFonts w:ascii="黑体"/>
        </w:rPr>
        <w:t>13.100</w:t>
      </w:r>
    </w:p>
    <w:p>
      <w:pPr>
        <w:pStyle w:val="BodyText"/>
        <w:spacing w:before="43"/>
        <w:ind w:left="214"/>
        <w:rPr>
          <w:rFonts w:ascii="黑体"/>
        </w:rPr>
      </w:pPr>
      <w:r>
        <w:rPr>
          <w:rFonts w:ascii="黑体"/>
        </w:rPr>
        <w:t>C 65</w:t>
      </w:r>
    </w:p>
    <w:p>
      <w:pPr>
        <w:pStyle w:val="Title"/>
      </w:pPr>
      <w:r>
        <w:rPr>
          <w:b w:val="0"/>
        </w:rPr>
        <w:br w:type="column"/>
      </w:r>
      <w:r>
        <w:rPr>
          <w:w w:val="130"/>
        </w:rPr>
        <w:t>DB4401</w:t>
      </w:r>
    </w:p>
    <w:p>
      <w:pPr>
        <w:spacing w:after="0"/>
        <w:sectPr>
          <w:type w:val="continuous"/>
          <w:pgSz w:w="11910" w:h="16840"/>
          <w:pgMar w:top="500" w:right="940" w:bottom="280" w:left="820" w:header="708" w:footer="708"/>
          <w:cols w:num="2" w:space="708" w:equalWidth="0">
            <w:col w:w="1261" w:space="4296"/>
            <w:col w:w="4593" w:space="0"/>
          </w:cols>
        </w:sectPr>
      </w:pPr>
    </w:p>
    <w:p>
      <w:pPr>
        <w:pStyle w:val="BodyText"/>
        <w:rPr>
          <w:rFonts w:ascii="Times New Roman"/>
          <w:b/>
          <w:sz w:val="20"/>
        </w:rPr>
      </w:pPr>
    </w:p>
    <w:p>
      <w:pPr>
        <w:pStyle w:val="BodyText"/>
        <w:spacing w:before="6"/>
        <w:rPr>
          <w:rFonts w:ascii="Times New Roman"/>
          <w:b/>
          <w:sz w:val="16"/>
        </w:rPr>
      </w:pPr>
    </w:p>
    <w:p>
      <w:pPr>
        <w:tabs>
          <w:tab w:val="left" w:pos="1613"/>
          <w:tab w:val="left" w:pos="3120"/>
          <w:tab w:val="left" w:pos="4625"/>
          <w:tab w:val="left" w:pos="6132"/>
          <w:tab w:val="left" w:pos="7637"/>
          <w:tab w:val="left" w:pos="9144"/>
        </w:tabs>
        <w:spacing w:before="28"/>
        <w:ind w:left="108" w:right="0" w:firstLine="0"/>
        <w:jc w:val="left"/>
        <w:rPr>
          <w:rFonts w:ascii="黑体" w:eastAsia="黑体" w:hint="eastAsia"/>
          <w:sz w:val="52"/>
        </w:rPr>
      </w:pPr>
      <w:r>
        <w:rPr>
          <w:rFonts w:ascii="黑体" w:eastAsia="黑体" w:hint="eastAsia"/>
          <w:sz w:val="52"/>
        </w:rPr>
        <w:t>广</w:t>
        <w:tab/>
        <w:t>州</w:t>
        <w:tab/>
        <w:t>市</w:t>
        <w:tab/>
        <w:t>地</w:t>
        <w:tab/>
        <w:t>方</w:t>
        <w:tab/>
        <w:t>标</w:t>
        <w:tab/>
        <w:t>准</w:t>
      </w:r>
    </w:p>
    <w:p>
      <w:pPr>
        <w:spacing w:before="277"/>
        <w:ind w:left="0" w:right="582" w:firstLine="0"/>
        <w:jc w:val="right"/>
        <w:rPr>
          <w:rFonts w:ascii="黑体" w:hAnsi="黑体"/>
          <w:sz w:val="28"/>
        </w:rPr>
      </w:pPr>
      <w:r>
        <w:rPr>
          <w:rFonts w:ascii="黑体" w:hAnsi="黑体"/>
          <w:sz w:val="28"/>
        </w:rPr>
        <w:t>DB4401/T 91—2020</w:t>
      </w:r>
    </w:p>
    <w:p>
      <w:pPr>
        <w:pStyle w:val="BodyText"/>
        <w:rPr>
          <w:rFonts w:ascii="黑体"/>
          <w:sz w:val="20"/>
        </w:rPr>
      </w:pPr>
    </w:p>
    <w:p>
      <w:pPr>
        <w:pStyle w:val="BodyText"/>
        <w:spacing w:before="1"/>
        <w:rPr>
          <w:rFonts w:ascii="黑体"/>
          <w:sz w:val="20"/>
        </w:rPr>
      </w:pPr>
      <w:r>
        <w:pict>
          <v:shape id="_x0000_s1025" style="width:481.95pt;height:0.1pt;margin-top:15.31pt;margin-left:46.44pt;mso-position-horizontal-relative:page;mso-wrap-distance-left:0;mso-wrap-distance-right:0;position:absolute;z-index:-251658240" coordorigin="929,306" coordsize="9639,0" path="m929,306l10567,306e" filled="f" stroked="t" strokecolor="black" strokeweight="0.96pt">
            <v:stroke dashstyle="solid"/>
            <v:path arrowok="t"/>
            <w10:wrap type="topAndBottom"/>
          </v:shape>
        </w:pic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
        <w:rPr>
          <w:rFonts w:ascii="黑体"/>
          <w:sz w:val="16"/>
        </w:rPr>
      </w:pPr>
    </w:p>
    <w:p>
      <w:pPr>
        <w:spacing w:before="28"/>
        <w:ind w:left="0" w:right="100" w:firstLine="0"/>
        <w:jc w:val="center"/>
        <w:rPr>
          <w:rFonts w:ascii="黑体" w:eastAsia="黑体" w:hint="eastAsia"/>
          <w:sz w:val="52"/>
        </w:rPr>
      </w:pPr>
      <w:r>
        <w:rPr>
          <w:rFonts w:ascii="黑体" w:eastAsia="黑体" w:hint="eastAsia"/>
          <w:sz w:val="52"/>
        </w:rPr>
        <w:t>建筑物白蚁防治技术规范</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5"/>
        <w:rPr>
          <w:rFonts w:ascii="黑体"/>
          <w:sz w:val="26"/>
        </w:rPr>
      </w:pPr>
    </w:p>
    <w:p>
      <w:pPr>
        <w:tabs>
          <w:tab w:val="left" w:pos="7709"/>
        </w:tabs>
        <w:spacing w:before="62"/>
        <w:ind w:left="219" w:right="0" w:firstLine="0"/>
        <w:jc w:val="left"/>
        <w:rPr>
          <w:rFonts w:ascii="黑体" w:eastAsia="黑体" w:hint="eastAsia"/>
          <w:sz w:val="28"/>
        </w:rPr>
      </w:pPr>
      <w:r>
        <w:pict>
          <v:shape id="_x0000_s1026" style="width:482.05pt;height:0.1pt;margin-top:22.98pt;margin-left:48.48pt;mso-position-horizontal-relative:page;mso-wrap-distance-left:0;mso-wrap-distance-right:0;position:absolute;z-index:-251657216" coordorigin="970,460" coordsize="9641,0" path="m970,460l10610,460e" filled="f" stroked="t" strokecolor="black" strokeweight="0.96pt">
            <v:stroke dashstyle="solid"/>
            <v:path arrowok="t"/>
            <w10:wrap type="topAndBottom"/>
          </v:shape>
        </w:pict>
      </w:r>
      <w:r>
        <w:rPr>
          <w:rFonts w:ascii="黑体" w:eastAsia="黑体" w:hint="eastAsia"/>
          <w:sz w:val="28"/>
        </w:rPr>
        <w:t>2020-07-29</w:t>
      </w:r>
      <w:r>
        <w:rPr>
          <w:rFonts w:ascii="黑体" w:eastAsia="黑体" w:hint="eastAsia"/>
          <w:spacing w:val="-71"/>
          <w:sz w:val="28"/>
        </w:rPr>
        <w:t xml:space="preserve"> </w:t>
      </w:r>
      <w:r>
        <w:rPr>
          <w:rFonts w:ascii="黑体" w:eastAsia="黑体" w:hint="eastAsia"/>
          <w:sz w:val="28"/>
        </w:rPr>
        <w:t>发布</w:t>
        <w:tab/>
        <w:t>2020-09-01</w:t>
      </w:r>
      <w:r>
        <w:rPr>
          <w:rFonts w:ascii="黑体" w:eastAsia="黑体" w:hint="eastAsia"/>
          <w:spacing w:val="-71"/>
          <w:sz w:val="28"/>
        </w:rPr>
        <w:t xml:space="preserve"> </w:t>
      </w:r>
      <w:r>
        <w:rPr>
          <w:rFonts w:ascii="黑体" w:eastAsia="黑体" w:hint="eastAsia"/>
          <w:sz w:val="28"/>
        </w:rPr>
        <w:t>实施</w:t>
      </w:r>
    </w:p>
    <w:p>
      <w:pPr>
        <w:pStyle w:val="BodyText"/>
        <w:spacing w:before="10"/>
        <w:rPr>
          <w:rFonts w:ascii="黑体"/>
          <w:sz w:val="37"/>
        </w:rPr>
      </w:pPr>
    </w:p>
    <w:p>
      <w:pPr>
        <w:tabs>
          <w:tab w:val="left" w:pos="4711"/>
        </w:tabs>
        <w:spacing w:before="0"/>
        <w:ind w:left="0" w:right="412" w:firstLine="0"/>
        <w:jc w:val="center"/>
        <w:rPr>
          <w:rFonts w:ascii="黑体" w:eastAsia="黑体" w:hint="eastAsia"/>
          <w:sz w:val="28"/>
        </w:rPr>
      </w:pPr>
      <w:r>
        <w:rPr>
          <w:rFonts w:ascii="黑体" w:eastAsia="黑体" w:hint="eastAsia"/>
          <w:spacing w:val="40"/>
          <w:sz w:val="36"/>
        </w:rPr>
        <w:t>广</w:t>
      </w:r>
      <w:r>
        <w:rPr>
          <w:rFonts w:ascii="黑体" w:eastAsia="黑体" w:hint="eastAsia"/>
          <w:spacing w:val="38"/>
          <w:sz w:val="36"/>
        </w:rPr>
        <w:t>州</w:t>
      </w:r>
      <w:r>
        <w:rPr>
          <w:rFonts w:ascii="黑体" w:eastAsia="黑体" w:hint="eastAsia"/>
          <w:spacing w:val="40"/>
          <w:sz w:val="36"/>
        </w:rPr>
        <w:t>市市</w:t>
      </w:r>
      <w:r>
        <w:rPr>
          <w:rFonts w:ascii="黑体" w:eastAsia="黑体" w:hint="eastAsia"/>
          <w:spacing w:val="38"/>
          <w:sz w:val="36"/>
        </w:rPr>
        <w:t>场</w:t>
      </w:r>
      <w:r>
        <w:rPr>
          <w:rFonts w:ascii="黑体" w:eastAsia="黑体" w:hint="eastAsia"/>
          <w:spacing w:val="40"/>
          <w:sz w:val="36"/>
        </w:rPr>
        <w:t>监督</w:t>
      </w:r>
      <w:r>
        <w:rPr>
          <w:rFonts w:ascii="黑体" w:eastAsia="黑体" w:hint="eastAsia"/>
          <w:spacing w:val="38"/>
          <w:sz w:val="36"/>
        </w:rPr>
        <w:t>管</w:t>
      </w:r>
      <w:r>
        <w:rPr>
          <w:rFonts w:ascii="黑体" w:eastAsia="黑体" w:hint="eastAsia"/>
          <w:spacing w:val="40"/>
          <w:sz w:val="36"/>
        </w:rPr>
        <w:t>理</w:t>
      </w:r>
      <w:r>
        <w:rPr>
          <w:rFonts w:ascii="黑体" w:eastAsia="黑体" w:hint="eastAsia"/>
          <w:sz w:val="36"/>
        </w:rPr>
        <w:t>局</w:t>
      </w:r>
      <w:r>
        <w:rPr>
          <w:rFonts w:ascii="黑体" w:eastAsia="黑体" w:hint="eastAsia"/>
          <w:spacing w:val="62"/>
          <w:sz w:val="36"/>
        </w:rPr>
        <w:t xml:space="preserve"> </w:t>
      </w:r>
      <w:r>
        <w:rPr>
          <w:rFonts w:ascii="黑体" w:eastAsia="黑体" w:hint="eastAsia"/>
          <w:position w:val="3"/>
          <w:sz w:val="28"/>
        </w:rPr>
        <w:t>发</w:t>
        <w:tab/>
        <w:t>布</w:t>
      </w:r>
    </w:p>
    <w:p>
      <w:pPr>
        <w:spacing w:after="0"/>
        <w:jc w:val="center"/>
        <w:rPr>
          <w:rFonts w:ascii="黑体" w:eastAsia="黑体" w:hint="eastAsia"/>
          <w:sz w:val="28"/>
        </w:rPr>
        <w:sectPr>
          <w:type w:val="continuous"/>
          <w:pgSz w:w="11910" w:h="16840"/>
          <w:pgMar w:top="500" w:right="940" w:bottom="280" w:left="820" w:header="708" w:footer="708"/>
          <w:pgNumType w:start="2"/>
          <w:cols w:space="708"/>
        </w:sectPr>
      </w:pPr>
    </w:p>
    <w:p>
      <w:pPr>
        <w:pStyle w:val="BodyText"/>
        <w:spacing w:before="7"/>
        <w:rPr>
          <w:rFonts w:ascii="黑体"/>
          <w:sz w:val="15"/>
        </w:rPr>
      </w:pPr>
    </w:p>
    <w:p>
      <w:pPr>
        <w:spacing w:after="0"/>
        <w:rPr>
          <w:rFonts w:ascii="黑体"/>
          <w:sz w:val="15"/>
        </w:rPr>
        <w:sectPr>
          <w:pgSz w:w="11910" w:h="16840"/>
          <w:pgMar w:top="1580" w:right="940" w:bottom="280" w:left="820" w:header="708" w:footer="708"/>
          <w:pgNumType w:start="3"/>
          <w:cols w:space="708"/>
        </w:sectPr>
      </w:pPr>
    </w:p>
    <w:p>
      <w:pPr>
        <w:pStyle w:val="BodyText"/>
        <w:rPr>
          <w:rFonts w:ascii="黑体"/>
          <w:sz w:val="20"/>
        </w:rPr>
      </w:pPr>
    </w:p>
    <w:p>
      <w:pPr>
        <w:pStyle w:val="BodyText"/>
        <w:rPr>
          <w:rFonts w:ascii="黑体"/>
          <w:sz w:val="20"/>
        </w:rPr>
      </w:pPr>
    </w:p>
    <w:p>
      <w:pPr>
        <w:pStyle w:val="BodyText"/>
        <w:spacing w:before="3"/>
        <w:rPr>
          <w:rFonts w:ascii="黑体"/>
          <w:sz w:val="26"/>
        </w:rPr>
      </w:pPr>
    </w:p>
    <w:p>
      <w:pPr>
        <w:pStyle w:val="Heading1"/>
        <w:tabs>
          <w:tab w:val="left" w:pos="1200"/>
        </w:tabs>
        <w:spacing w:before="55"/>
      </w:pPr>
      <w:r>
        <w:t>目</w:t>
        <w:tab/>
        <w:t>次</w:t>
      </w:r>
    </w:p>
    <w:p>
      <w:pPr>
        <w:pStyle w:val="BodyText"/>
        <w:rPr>
          <w:rFonts w:ascii="黑体"/>
          <w:sz w:val="32"/>
        </w:rPr>
      </w:pPr>
    </w:p>
    <w:p>
      <w:pPr>
        <w:pStyle w:val="BodyText"/>
        <w:spacing w:before="10"/>
        <w:rPr>
          <w:rFonts w:ascii="黑体"/>
          <w:sz w:val="29"/>
        </w:rPr>
      </w:pPr>
    </w:p>
    <w:p>
      <w:pPr>
        <w:pStyle w:val="BodyText"/>
        <w:tabs>
          <w:tab w:val="left" w:leader="dot" w:pos="9627"/>
        </w:tabs>
        <w:ind w:left="595"/>
      </w:pPr>
      <w:r>
        <w:t>前言</w:t>
        <w:tab/>
        <w:t>Ⅲ</w:t>
      </w:r>
    </w:p>
    <w:p>
      <w:pPr>
        <w:pStyle w:val="ListParagraph"/>
        <w:numPr>
          <w:ilvl w:val="0"/>
          <w:numId w:val="1"/>
        </w:numPr>
        <w:tabs>
          <w:tab w:val="left" w:pos="912"/>
          <w:tab w:val="left" w:pos="913"/>
          <w:tab w:val="right" w:leader="dot" w:pos="9837"/>
        </w:tabs>
        <w:spacing w:before="122" w:after="0" w:line="240" w:lineRule="auto"/>
        <w:ind w:left="912" w:right="0" w:hanging="318"/>
        <w:jc w:val="left"/>
        <w:rPr>
          <w:sz w:val="21"/>
        </w:rPr>
      </w:pPr>
      <w:r>
        <w:rPr>
          <w:sz w:val="21"/>
        </w:rPr>
        <w:t>范围</w:t>
        <w:tab/>
        <w:t>1</w:t>
      </w:r>
    </w:p>
    <w:p>
      <w:pPr>
        <w:pStyle w:val="ListParagraph"/>
        <w:numPr>
          <w:ilvl w:val="0"/>
          <w:numId w:val="1"/>
        </w:numPr>
        <w:tabs>
          <w:tab w:val="left" w:pos="912"/>
          <w:tab w:val="left" w:pos="913"/>
          <w:tab w:val="right" w:leader="dot" w:pos="9837"/>
        </w:tabs>
        <w:spacing w:before="120" w:after="0" w:line="240" w:lineRule="auto"/>
        <w:ind w:left="912" w:right="0" w:hanging="318"/>
        <w:jc w:val="left"/>
        <w:rPr>
          <w:sz w:val="21"/>
        </w:rPr>
      </w:pPr>
      <w:r>
        <w:rPr>
          <w:sz w:val="21"/>
        </w:rPr>
        <w:t>规范性引用文件</w:t>
        <w:tab/>
        <w:t>1</w:t>
      </w:r>
    </w:p>
    <w:p>
      <w:pPr>
        <w:pStyle w:val="ListParagraph"/>
        <w:numPr>
          <w:ilvl w:val="0"/>
          <w:numId w:val="1"/>
        </w:numPr>
        <w:tabs>
          <w:tab w:val="left" w:pos="912"/>
          <w:tab w:val="left" w:pos="913"/>
          <w:tab w:val="right" w:leader="dot" w:pos="9837"/>
        </w:tabs>
        <w:spacing w:before="122" w:after="0" w:line="240" w:lineRule="auto"/>
        <w:ind w:left="912" w:right="0" w:hanging="318"/>
        <w:jc w:val="left"/>
        <w:rPr>
          <w:sz w:val="21"/>
        </w:rPr>
      </w:pPr>
      <w:r>
        <w:rPr>
          <w:sz w:val="21"/>
        </w:rPr>
        <w:t>术语和定义</w:t>
        <w:tab/>
        <w:t>1</w:t>
      </w:r>
    </w:p>
    <w:p>
      <w:pPr>
        <w:pStyle w:val="ListParagraph"/>
        <w:numPr>
          <w:ilvl w:val="0"/>
          <w:numId w:val="1"/>
        </w:numPr>
        <w:tabs>
          <w:tab w:val="left" w:pos="912"/>
          <w:tab w:val="left" w:pos="913"/>
          <w:tab w:val="right" w:leader="dot" w:pos="9837"/>
        </w:tabs>
        <w:spacing w:before="120" w:after="0" w:line="240" w:lineRule="auto"/>
        <w:ind w:left="912" w:right="0" w:hanging="318"/>
        <w:jc w:val="left"/>
        <w:rPr>
          <w:sz w:val="21"/>
        </w:rPr>
      </w:pPr>
      <w:r>
        <w:rPr>
          <w:sz w:val="21"/>
        </w:rPr>
        <w:t>白</w:t>
      </w:r>
      <w:r>
        <w:rPr>
          <w:spacing w:val="4"/>
          <w:sz w:val="21"/>
        </w:rPr>
        <w:t>蚁</w:t>
      </w:r>
      <w:r>
        <w:rPr>
          <w:sz w:val="21"/>
        </w:rPr>
        <w:t>预防</w:t>
        <w:tab/>
        <w:t>2</w:t>
      </w:r>
    </w:p>
    <w:p>
      <w:pPr>
        <w:pStyle w:val="ListParagraph"/>
        <w:numPr>
          <w:ilvl w:val="1"/>
          <w:numId w:val="1"/>
        </w:numPr>
        <w:tabs>
          <w:tab w:val="left" w:pos="1332"/>
          <w:tab w:val="left" w:pos="1333"/>
          <w:tab w:val="right" w:leader="dot" w:pos="9837"/>
        </w:tabs>
        <w:spacing w:before="122" w:after="0" w:line="240" w:lineRule="auto"/>
        <w:ind w:left="1332" w:right="0" w:hanging="526"/>
        <w:jc w:val="left"/>
        <w:rPr>
          <w:sz w:val="21"/>
        </w:rPr>
      </w:pPr>
      <w:r>
        <w:rPr>
          <w:sz w:val="21"/>
        </w:rPr>
        <w:t>一</w:t>
      </w:r>
      <w:r>
        <w:rPr>
          <w:spacing w:val="4"/>
          <w:sz w:val="21"/>
        </w:rPr>
        <w:t>般</w:t>
      </w:r>
      <w:r>
        <w:rPr>
          <w:sz w:val="21"/>
        </w:rPr>
        <w:t>规定</w:t>
        <w:tab/>
        <w:t>2</w:t>
      </w:r>
    </w:p>
    <w:p>
      <w:pPr>
        <w:pStyle w:val="ListParagraph"/>
        <w:numPr>
          <w:ilvl w:val="1"/>
          <w:numId w:val="1"/>
        </w:numPr>
        <w:tabs>
          <w:tab w:val="left" w:pos="1332"/>
          <w:tab w:val="left" w:pos="1333"/>
          <w:tab w:val="right" w:leader="dot" w:pos="9837"/>
        </w:tabs>
        <w:spacing w:before="43" w:after="0" w:line="240" w:lineRule="auto"/>
        <w:ind w:left="1332" w:right="0" w:hanging="526"/>
        <w:jc w:val="left"/>
        <w:rPr>
          <w:sz w:val="21"/>
        </w:rPr>
      </w:pPr>
      <w:r>
        <w:rPr>
          <w:sz w:val="21"/>
        </w:rPr>
        <w:t>新</w:t>
      </w:r>
      <w:r>
        <w:rPr>
          <w:spacing w:val="4"/>
          <w:sz w:val="21"/>
        </w:rPr>
        <w:t>建</w:t>
      </w:r>
      <w:r>
        <w:rPr>
          <w:sz w:val="21"/>
        </w:rPr>
        <w:t>房屋</w:t>
        <w:tab/>
        <w:t>3</w:t>
      </w:r>
    </w:p>
    <w:p>
      <w:pPr>
        <w:pStyle w:val="ListParagraph"/>
        <w:numPr>
          <w:ilvl w:val="1"/>
          <w:numId w:val="1"/>
        </w:numPr>
        <w:tabs>
          <w:tab w:val="left" w:pos="1332"/>
          <w:tab w:val="left" w:pos="1333"/>
          <w:tab w:val="right" w:leader="dot" w:pos="9837"/>
        </w:tabs>
        <w:spacing w:before="43" w:after="0" w:line="240" w:lineRule="auto"/>
        <w:ind w:left="1332" w:right="0" w:hanging="526"/>
        <w:jc w:val="left"/>
        <w:rPr>
          <w:sz w:val="21"/>
        </w:rPr>
      </w:pPr>
      <w:r>
        <w:rPr>
          <w:sz w:val="21"/>
        </w:rPr>
        <w:t>古</w:t>
      </w:r>
      <w:r>
        <w:rPr>
          <w:spacing w:val="4"/>
          <w:sz w:val="21"/>
        </w:rPr>
        <w:t>建</w:t>
      </w:r>
      <w:r>
        <w:rPr>
          <w:sz w:val="21"/>
        </w:rPr>
        <w:t>筑</w:t>
        <w:tab/>
        <w:t>6</w:t>
      </w:r>
    </w:p>
    <w:p>
      <w:pPr>
        <w:pStyle w:val="ListParagraph"/>
        <w:numPr>
          <w:ilvl w:val="1"/>
          <w:numId w:val="1"/>
        </w:numPr>
        <w:tabs>
          <w:tab w:val="left" w:pos="1332"/>
          <w:tab w:val="left" w:pos="1333"/>
          <w:tab w:val="right" w:leader="dot" w:pos="9837"/>
        </w:tabs>
        <w:spacing w:before="43" w:after="0" w:line="240" w:lineRule="auto"/>
        <w:ind w:left="1332" w:right="0" w:hanging="526"/>
        <w:jc w:val="left"/>
        <w:rPr>
          <w:sz w:val="21"/>
        </w:rPr>
      </w:pPr>
      <w:r>
        <w:rPr>
          <w:sz w:val="21"/>
        </w:rPr>
        <w:t>地</w:t>
      </w:r>
      <w:r>
        <w:rPr>
          <w:spacing w:val="4"/>
          <w:sz w:val="21"/>
        </w:rPr>
        <w:t>下</w:t>
      </w:r>
      <w:r>
        <w:rPr>
          <w:sz w:val="21"/>
        </w:rPr>
        <w:t>轨道</w:t>
      </w:r>
      <w:r>
        <w:rPr>
          <w:spacing w:val="4"/>
          <w:sz w:val="21"/>
        </w:rPr>
        <w:t>交</w:t>
      </w:r>
      <w:r>
        <w:rPr>
          <w:sz w:val="21"/>
        </w:rPr>
        <w:t>通系统</w:t>
        <w:tab/>
        <w:t>7</w:t>
      </w:r>
    </w:p>
    <w:p>
      <w:pPr>
        <w:pStyle w:val="ListParagraph"/>
        <w:numPr>
          <w:ilvl w:val="1"/>
          <w:numId w:val="1"/>
        </w:numPr>
        <w:tabs>
          <w:tab w:val="left" w:pos="1332"/>
          <w:tab w:val="left" w:pos="1333"/>
          <w:tab w:val="right" w:leader="dot" w:pos="9837"/>
        </w:tabs>
        <w:spacing w:before="42" w:after="0" w:line="240" w:lineRule="auto"/>
        <w:ind w:left="1332" w:right="0" w:hanging="526"/>
        <w:jc w:val="left"/>
        <w:rPr>
          <w:sz w:val="21"/>
        </w:rPr>
      </w:pPr>
      <w:r>
        <w:rPr>
          <w:sz w:val="21"/>
        </w:rPr>
        <w:t>桥梁</w:t>
        <w:tab/>
        <w:t>8</w:t>
      </w:r>
    </w:p>
    <w:p>
      <w:pPr>
        <w:pStyle w:val="ListParagraph"/>
        <w:numPr>
          <w:ilvl w:val="1"/>
          <w:numId w:val="1"/>
        </w:numPr>
        <w:tabs>
          <w:tab w:val="left" w:pos="1332"/>
          <w:tab w:val="left" w:pos="1333"/>
          <w:tab w:val="right" w:leader="dot" w:pos="9837"/>
        </w:tabs>
        <w:spacing w:before="43" w:after="0" w:line="240" w:lineRule="auto"/>
        <w:ind w:left="1332" w:right="0" w:hanging="526"/>
        <w:jc w:val="left"/>
        <w:rPr>
          <w:sz w:val="21"/>
        </w:rPr>
      </w:pPr>
      <w:r>
        <w:rPr>
          <w:sz w:val="21"/>
        </w:rPr>
        <w:t>电缆</w:t>
        <w:tab/>
        <w:t>8</w:t>
      </w:r>
    </w:p>
    <w:p>
      <w:pPr>
        <w:pStyle w:val="ListParagraph"/>
        <w:numPr>
          <w:ilvl w:val="1"/>
          <w:numId w:val="1"/>
        </w:numPr>
        <w:tabs>
          <w:tab w:val="left" w:pos="1332"/>
          <w:tab w:val="left" w:pos="1333"/>
          <w:tab w:val="right" w:leader="dot" w:pos="9837"/>
        </w:tabs>
        <w:spacing w:before="43" w:after="0" w:line="240" w:lineRule="auto"/>
        <w:ind w:left="1332" w:right="0" w:hanging="526"/>
        <w:jc w:val="left"/>
        <w:rPr>
          <w:sz w:val="21"/>
        </w:rPr>
      </w:pPr>
      <w:r>
        <w:rPr>
          <w:sz w:val="21"/>
        </w:rPr>
        <w:t>园</w:t>
      </w:r>
      <w:r>
        <w:rPr>
          <w:spacing w:val="4"/>
          <w:sz w:val="21"/>
        </w:rPr>
        <w:t>林</w:t>
      </w:r>
      <w:r>
        <w:rPr>
          <w:sz w:val="21"/>
        </w:rPr>
        <w:t>绿化</w:t>
        <w:tab/>
        <w:t>9</w:t>
      </w:r>
    </w:p>
    <w:p>
      <w:pPr>
        <w:pStyle w:val="ListParagraph"/>
        <w:numPr>
          <w:ilvl w:val="1"/>
          <w:numId w:val="1"/>
        </w:numPr>
        <w:tabs>
          <w:tab w:val="left" w:pos="1332"/>
          <w:tab w:val="left" w:pos="1333"/>
          <w:tab w:val="right" w:leader="dot" w:pos="9837"/>
        </w:tabs>
        <w:spacing w:before="43" w:after="0" w:line="240" w:lineRule="auto"/>
        <w:ind w:left="1332" w:right="0" w:hanging="526"/>
        <w:jc w:val="left"/>
        <w:rPr>
          <w:sz w:val="21"/>
        </w:rPr>
      </w:pPr>
      <w:r>
        <w:rPr>
          <w:sz w:val="21"/>
        </w:rPr>
        <w:t>水</w:t>
      </w:r>
      <w:r>
        <w:rPr>
          <w:spacing w:val="4"/>
          <w:sz w:val="21"/>
        </w:rPr>
        <w:t>利</w:t>
      </w:r>
      <w:r>
        <w:rPr>
          <w:sz w:val="21"/>
        </w:rPr>
        <w:t>堤坝</w:t>
        <w:tab/>
        <w:t>9</w:t>
      </w:r>
    </w:p>
    <w:p>
      <w:pPr>
        <w:pStyle w:val="ListParagraph"/>
        <w:numPr>
          <w:ilvl w:val="1"/>
          <w:numId w:val="1"/>
        </w:numPr>
        <w:tabs>
          <w:tab w:val="left" w:pos="1332"/>
          <w:tab w:val="left" w:pos="1333"/>
          <w:tab w:val="right" w:leader="dot" w:pos="9837"/>
        </w:tabs>
        <w:spacing w:before="43" w:after="0" w:line="240" w:lineRule="auto"/>
        <w:ind w:left="1332" w:right="0" w:hanging="526"/>
        <w:jc w:val="left"/>
        <w:rPr>
          <w:sz w:val="21"/>
        </w:rPr>
      </w:pPr>
      <w:r>
        <w:rPr>
          <w:sz w:val="21"/>
        </w:rPr>
        <w:t>药</w:t>
      </w:r>
      <w:r>
        <w:rPr>
          <w:spacing w:val="4"/>
          <w:sz w:val="21"/>
        </w:rPr>
        <w:t>物</w:t>
      </w:r>
      <w:r>
        <w:rPr>
          <w:sz w:val="21"/>
        </w:rPr>
        <w:t>的选</w:t>
      </w:r>
      <w:r>
        <w:rPr>
          <w:spacing w:val="4"/>
          <w:sz w:val="21"/>
        </w:rPr>
        <w:t>择</w:t>
      </w:r>
      <w:r>
        <w:rPr>
          <w:sz w:val="21"/>
        </w:rPr>
        <w:t>使用</w:t>
        <w:tab/>
        <w:t>9</w:t>
      </w:r>
    </w:p>
    <w:p>
      <w:pPr>
        <w:pStyle w:val="ListParagraph"/>
        <w:numPr>
          <w:ilvl w:val="1"/>
          <w:numId w:val="1"/>
        </w:numPr>
        <w:tabs>
          <w:tab w:val="left" w:pos="1435"/>
          <w:tab w:val="left" w:pos="1436"/>
          <w:tab w:val="right" w:leader="dot" w:pos="9837"/>
        </w:tabs>
        <w:spacing w:before="43" w:after="0" w:line="240" w:lineRule="auto"/>
        <w:ind w:left="1435" w:right="0" w:hanging="629"/>
        <w:jc w:val="left"/>
        <w:rPr>
          <w:sz w:val="21"/>
        </w:rPr>
      </w:pPr>
      <w:r>
        <w:rPr>
          <w:sz w:val="21"/>
        </w:rPr>
        <w:t>验收</w:t>
        <w:tab/>
        <w:t>9</w:t>
      </w:r>
    </w:p>
    <w:p>
      <w:pPr>
        <w:pStyle w:val="BodyText"/>
        <w:tabs>
          <w:tab w:val="left" w:pos="1435"/>
          <w:tab w:val="right" w:leader="dot" w:pos="9837"/>
        </w:tabs>
        <w:spacing w:before="43"/>
        <w:ind w:left="807"/>
      </w:pPr>
      <w:r>
        <w:t>4.11</w:t>
        <w:tab/>
        <w:t>复查</w:t>
        <w:tab/>
        <w:t>11</w:t>
      </w:r>
    </w:p>
    <w:p>
      <w:pPr>
        <w:pStyle w:val="ListParagraph"/>
        <w:numPr>
          <w:ilvl w:val="0"/>
          <w:numId w:val="1"/>
        </w:numPr>
        <w:tabs>
          <w:tab w:val="left" w:pos="912"/>
          <w:tab w:val="left" w:pos="913"/>
          <w:tab w:val="right" w:leader="dot" w:pos="9837"/>
        </w:tabs>
        <w:spacing w:before="120" w:after="0" w:line="240" w:lineRule="auto"/>
        <w:ind w:left="912" w:right="0" w:hanging="318"/>
        <w:jc w:val="left"/>
        <w:rPr>
          <w:sz w:val="21"/>
        </w:rPr>
      </w:pPr>
      <w:r>
        <w:rPr>
          <w:sz w:val="21"/>
        </w:rPr>
        <w:t>白</w:t>
      </w:r>
      <w:r>
        <w:rPr>
          <w:spacing w:val="4"/>
          <w:sz w:val="21"/>
        </w:rPr>
        <w:t>蚁</w:t>
      </w:r>
      <w:r>
        <w:rPr>
          <w:sz w:val="21"/>
        </w:rPr>
        <w:t>灭治</w:t>
        <w:tab/>
        <w:t>11</w:t>
      </w:r>
    </w:p>
    <w:p>
      <w:pPr>
        <w:pStyle w:val="ListParagraph"/>
        <w:numPr>
          <w:ilvl w:val="1"/>
          <w:numId w:val="1"/>
        </w:numPr>
        <w:tabs>
          <w:tab w:val="left" w:pos="1332"/>
          <w:tab w:val="left" w:pos="1333"/>
          <w:tab w:val="right" w:leader="dot" w:pos="9837"/>
        </w:tabs>
        <w:spacing w:before="122" w:after="0" w:line="240" w:lineRule="auto"/>
        <w:ind w:left="1332" w:right="0" w:hanging="526"/>
        <w:jc w:val="left"/>
        <w:rPr>
          <w:sz w:val="21"/>
        </w:rPr>
      </w:pPr>
      <w:r>
        <w:rPr>
          <w:sz w:val="21"/>
        </w:rPr>
        <w:t>一</w:t>
      </w:r>
      <w:r>
        <w:rPr>
          <w:spacing w:val="4"/>
          <w:sz w:val="21"/>
        </w:rPr>
        <w:t>般</w:t>
      </w:r>
      <w:r>
        <w:rPr>
          <w:sz w:val="21"/>
        </w:rPr>
        <w:t>规定</w:t>
        <w:tab/>
        <w:t>11</w:t>
      </w:r>
    </w:p>
    <w:p>
      <w:pPr>
        <w:pStyle w:val="ListParagraph"/>
        <w:numPr>
          <w:ilvl w:val="1"/>
          <w:numId w:val="1"/>
        </w:numPr>
        <w:tabs>
          <w:tab w:val="left" w:pos="1332"/>
          <w:tab w:val="left" w:pos="1333"/>
          <w:tab w:val="right" w:leader="dot" w:pos="9837"/>
        </w:tabs>
        <w:spacing w:before="43" w:after="0" w:line="240" w:lineRule="auto"/>
        <w:ind w:left="1332" w:right="0" w:hanging="526"/>
        <w:jc w:val="left"/>
        <w:rPr>
          <w:sz w:val="21"/>
        </w:rPr>
      </w:pPr>
      <w:r>
        <w:rPr>
          <w:sz w:val="21"/>
        </w:rPr>
        <w:t>既</w:t>
      </w:r>
      <w:r>
        <w:rPr>
          <w:spacing w:val="4"/>
          <w:sz w:val="21"/>
        </w:rPr>
        <w:t>有</w:t>
      </w:r>
      <w:r>
        <w:rPr>
          <w:sz w:val="21"/>
        </w:rPr>
        <w:t>房屋</w:t>
        <w:tab/>
        <w:t>11</w:t>
      </w:r>
    </w:p>
    <w:p>
      <w:pPr>
        <w:pStyle w:val="ListParagraph"/>
        <w:numPr>
          <w:ilvl w:val="1"/>
          <w:numId w:val="1"/>
        </w:numPr>
        <w:tabs>
          <w:tab w:val="left" w:pos="1332"/>
          <w:tab w:val="left" w:pos="1333"/>
          <w:tab w:val="right" w:leader="dot" w:pos="9837"/>
        </w:tabs>
        <w:spacing w:before="43" w:after="0" w:line="240" w:lineRule="auto"/>
        <w:ind w:left="1332" w:right="0" w:hanging="526"/>
        <w:jc w:val="left"/>
        <w:rPr>
          <w:sz w:val="21"/>
        </w:rPr>
      </w:pPr>
      <w:r>
        <w:rPr>
          <w:sz w:val="21"/>
        </w:rPr>
        <w:t>古建筑</w:t>
        <w:tab/>
        <w:t>13</w:t>
      </w:r>
    </w:p>
    <w:p>
      <w:pPr>
        <w:pStyle w:val="ListParagraph"/>
        <w:numPr>
          <w:ilvl w:val="1"/>
          <w:numId w:val="1"/>
        </w:numPr>
        <w:tabs>
          <w:tab w:val="left" w:pos="1332"/>
          <w:tab w:val="left" w:pos="1333"/>
          <w:tab w:val="right" w:leader="dot" w:pos="9837"/>
        </w:tabs>
        <w:spacing w:before="43" w:after="0" w:line="240" w:lineRule="auto"/>
        <w:ind w:left="1332" w:right="0" w:hanging="526"/>
        <w:jc w:val="left"/>
        <w:rPr>
          <w:sz w:val="21"/>
        </w:rPr>
      </w:pPr>
      <w:r>
        <w:rPr>
          <w:sz w:val="21"/>
        </w:rPr>
        <w:t>地下轨道交通系统</w:t>
        <w:tab/>
        <w:t>14</w:t>
      </w:r>
    </w:p>
    <w:p>
      <w:pPr>
        <w:pStyle w:val="BodyText"/>
        <w:tabs>
          <w:tab w:val="left" w:pos="1332"/>
          <w:tab w:val="right" w:leader="dot" w:pos="9837"/>
        </w:tabs>
        <w:spacing w:before="43"/>
        <w:ind w:left="807"/>
      </w:pPr>
      <w:r>
        <w:t>5.5</w:t>
        <w:tab/>
        <w:t>桥梁</w:t>
        <w:tab/>
        <w:t>14</w:t>
      </w:r>
    </w:p>
    <w:p>
      <w:pPr>
        <w:pStyle w:val="BodyText"/>
        <w:tabs>
          <w:tab w:val="left" w:pos="1332"/>
          <w:tab w:val="right" w:leader="dot" w:pos="9837"/>
        </w:tabs>
        <w:spacing w:before="43"/>
        <w:ind w:left="807"/>
      </w:pPr>
      <w:r>
        <w:t>5.6</w:t>
        <w:tab/>
        <w:t>电缆</w:t>
        <w:tab/>
        <w:t>15</w:t>
      </w:r>
    </w:p>
    <w:p>
      <w:pPr>
        <w:pStyle w:val="ListParagraph"/>
        <w:numPr>
          <w:ilvl w:val="1"/>
          <w:numId w:val="44"/>
        </w:numPr>
        <w:tabs>
          <w:tab w:val="left" w:pos="1332"/>
          <w:tab w:val="left" w:pos="1333"/>
          <w:tab w:val="right" w:leader="dot" w:pos="9837"/>
        </w:tabs>
        <w:spacing w:before="43" w:after="0" w:line="240" w:lineRule="auto"/>
        <w:ind w:left="1332" w:right="0" w:hanging="526"/>
        <w:jc w:val="left"/>
        <w:rPr>
          <w:sz w:val="21"/>
        </w:rPr>
      </w:pPr>
      <w:r>
        <w:rPr>
          <w:sz w:val="21"/>
        </w:rPr>
        <w:t>园林绿化</w:t>
        <w:tab/>
        <w:t>15</w:t>
      </w:r>
    </w:p>
    <w:p>
      <w:pPr>
        <w:pStyle w:val="ListParagraph"/>
        <w:numPr>
          <w:ilvl w:val="1"/>
          <w:numId w:val="44"/>
        </w:numPr>
        <w:tabs>
          <w:tab w:val="left" w:pos="1332"/>
          <w:tab w:val="left" w:pos="1333"/>
          <w:tab w:val="right" w:leader="dot" w:pos="9837"/>
        </w:tabs>
        <w:spacing w:before="43" w:after="0" w:line="240" w:lineRule="auto"/>
        <w:ind w:left="1332" w:right="0" w:hanging="526"/>
        <w:jc w:val="left"/>
        <w:rPr>
          <w:sz w:val="21"/>
        </w:rPr>
      </w:pPr>
      <w:r>
        <w:rPr>
          <w:sz w:val="21"/>
        </w:rPr>
        <w:t>水利堤坝</w:t>
        <w:tab/>
        <w:t>15</w:t>
      </w:r>
    </w:p>
    <w:p>
      <w:pPr>
        <w:pStyle w:val="ListParagraph"/>
        <w:numPr>
          <w:ilvl w:val="1"/>
          <w:numId w:val="44"/>
        </w:numPr>
        <w:tabs>
          <w:tab w:val="left" w:pos="1332"/>
          <w:tab w:val="left" w:pos="1333"/>
          <w:tab w:val="right" w:leader="dot" w:pos="9837"/>
        </w:tabs>
        <w:spacing w:before="43" w:after="0" w:line="240" w:lineRule="auto"/>
        <w:ind w:left="1332" w:right="0" w:hanging="526"/>
        <w:jc w:val="left"/>
        <w:rPr>
          <w:sz w:val="21"/>
        </w:rPr>
      </w:pPr>
      <w:r>
        <w:rPr>
          <w:sz w:val="21"/>
        </w:rPr>
        <w:t>药物的选择使用</w:t>
        <w:tab/>
        <w:t>16</w:t>
      </w:r>
    </w:p>
    <w:p>
      <w:pPr>
        <w:pStyle w:val="BodyText"/>
        <w:tabs>
          <w:tab w:val="left" w:pos="1435"/>
          <w:tab w:val="right" w:leader="dot" w:pos="9837"/>
        </w:tabs>
        <w:spacing w:before="43"/>
        <w:ind w:left="807"/>
      </w:pPr>
      <w:r>
        <w:t>5.10</w:t>
        <w:tab/>
        <w:t>验收</w:t>
        <w:tab/>
        <w:t>16</w:t>
      </w:r>
    </w:p>
    <w:p>
      <w:pPr>
        <w:pStyle w:val="BodyText"/>
        <w:tabs>
          <w:tab w:val="left" w:pos="2806"/>
          <w:tab w:val="right" w:leader="dot" w:pos="9837"/>
        </w:tabs>
        <w:spacing w:before="119"/>
        <w:ind w:left="595"/>
      </w:pPr>
      <w:r>
        <w:t>附</w:t>
      </w:r>
      <w:r>
        <w:rPr>
          <w:spacing w:val="4"/>
        </w:rPr>
        <w:t>录</w:t>
      </w:r>
      <w:r>
        <w:t>A（规范性附录）</w:t>
        <w:tab/>
        <w:t>药物和药械管理</w:t>
        <w:tab/>
        <w:t>17</w:t>
      </w:r>
    </w:p>
    <w:p>
      <w:pPr>
        <w:pStyle w:val="BodyText"/>
        <w:tabs>
          <w:tab w:val="left" w:pos="2806"/>
          <w:tab w:val="right" w:leader="dot" w:pos="9837"/>
        </w:tabs>
        <w:spacing w:before="122"/>
        <w:ind w:left="595"/>
      </w:pPr>
      <w:r>
        <w:t>附</w:t>
      </w:r>
      <w:r>
        <w:rPr>
          <w:spacing w:val="4"/>
        </w:rPr>
        <w:t>录</w:t>
      </w:r>
      <w:r>
        <w:t>B（规范性附录）</w:t>
        <w:tab/>
        <w:t>安全防护</w:t>
        <w:tab/>
        <w:t>18</w:t>
      </w:r>
    </w:p>
    <w:p>
      <w:pPr>
        <w:pStyle w:val="BodyText"/>
        <w:tabs>
          <w:tab w:val="left" w:pos="2806"/>
          <w:tab w:val="right" w:leader="dot" w:pos="9837"/>
        </w:tabs>
        <w:spacing w:before="120"/>
        <w:ind w:left="595"/>
      </w:pPr>
      <w:r>
        <w:t>附</w:t>
      </w:r>
      <w:r>
        <w:rPr>
          <w:spacing w:val="4"/>
        </w:rPr>
        <w:t>录</w:t>
      </w:r>
      <w:r>
        <w:t>C（规范性附录）</w:t>
        <w:tab/>
        <w:t>药物中毒的急救</w:t>
        <w:tab/>
        <w:t>19</w:t>
      </w:r>
    </w:p>
    <w:p>
      <w:pPr>
        <w:pStyle w:val="BodyText"/>
        <w:tabs>
          <w:tab w:val="left" w:pos="2755"/>
          <w:tab w:val="right" w:leader="dot" w:pos="9837"/>
        </w:tabs>
        <w:spacing w:before="122"/>
        <w:ind w:left="595"/>
      </w:pPr>
      <w:r>
        <w:t>附</w:t>
      </w:r>
      <w:r>
        <w:rPr>
          <w:spacing w:val="4"/>
        </w:rPr>
        <w:t>录</w:t>
      </w:r>
      <w:r>
        <w:rPr>
          <w:spacing w:val="-27"/>
        </w:rPr>
        <w:t>D（</w:t>
      </w:r>
      <w:r>
        <w:t>资料性附录）</w:t>
        <w:tab/>
        <w:t>白蚁预防工程施工记录表</w:t>
        <w:tab/>
        <w:t>20</w:t>
      </w:r>
    </w:p>
    <w:p>
      <w:pPr>
        <w:pStyle w:val="BodyText"/>
        <w:tabs>
          <w:tab w:val="left" w:pos="2755"/>
          <w:tab w:val="right" w:leader="dot" w:pos="9837"/>
        </w:tabs>
        <w:spacing w:before="120"/>
        <w:ind w:left="595"/>
      </w:pPr>
      <w:r>
        <w:t>附</w:t>
      </w:r>
      <w:r>
        <w:rPr>
          <w:spacing w:val="4"/>
        </w:rPr>
        <w:t>录</w:t>
      </w:r>
      <w:r>
        <w:rPr>
          <w:spacing w:val="-27"/>
        </w:rPr>
        <w:t>E（</w:t>
      </w:r>
      <w:r>
        <w:t>资料性附录）</w:t>
        <w:tab/>
        <w:t>白蚁灭治施工现场记录表</w:t>
        <w:tab/>
        <w:t>21</w:t>
      </w:r>
    </w:p>
    <w:p>
      <w:pPr>
        <w:pStyle w:val="BodyText"/>
        <w:tabs>
          <w:tab w:val="left" w:pos="2755"/>
          <w:tab w:val="right" w:leader="dot" w:pos="9837"/>
        </w:tabs>
        <w:spacing w:before="122"/>
        <w:ind w:left="595"/>
      </w:pPr>
      <w:r>
        <w:t>附</w:t>
      </w:r>
      <w:r>
        <w:rPr>
          <w:spacing w:val="4"/>
        </w:rPr>
        <w:t>录</w:t>
      </w:r>
      <w:r>
        <w:rPr>
          <w:spacing w:val="-27"/>
        </w:rPr>
        <w:t>F（</w:t>
      </w:r>
      <w:r>
        <w:t>资料性附录）</w:t>
        <w:tab/>
        <w:t>白蚁灭治施工质量验收记录</w:t>
        <w:tab/>
        <w:t>22</w:t>
      </w:r>
    </w:p>
    <w:p>
      <w:pPr>
        <w:pStyle w:val="BodyText"/>
        <w:tabs>
          <w:tab w:val="left" w:pos="2755"/>
          <w:tab w:val="right" w:leader="dot" w:pos="9837"/>
        </w:tabs>
        <w:spacing w:before="120"/>
        <w:ind w:left="595"/>
      </w:pPr>
      <w:r>
        <w:t>附</w:t>
      </w:r>
      <w:r>
        <w:rPr>
          <w:spacing w:val="4"/>
        </w:rPr>
        <w:t>录</w:t>
      </w:r>
      <w:r>
        <w:rPr>
          <w:spacing w:val="-27"/>
        </w:rPr>
        <w:t>G（</w:t>
      </w:r>
      <w:r>
        <w:t>资料性附录）</w:t>
        <w:tab/>
        <w:t>白蚁防治工程回访复查表</w:t>
        <w:tab/>
        <w:t>23</w:t>
      </w:r>
    </w:p>
    <w:p>
      <w:pPr>
        <w:pStyle w:val="BodyText"/>
        <w:tabs>
          <w:tab w:val="left" w:pos="2806"/>
          <w:tab w:val="right" w:leader="dot" w:pos="9837"/>
        </w:tabs>
        <w:spacing w:before="122"/>
        <w:ind w:left="595"/>
      </w:pPr>
      <w:r>
        <w:t>附</w:t>
      </w:r>
      <w:r>
        <w:rPr>
          <w:spacing w:val="4"/>
        </w:rPr>
        <w:t>录</w:t>
      </w:r>
      <w:r>
        <w:t>H（资料性附录）</w:t>
        <w:tab/>
        <w:t>广州市常见的白蚁为害种类</w:t>
        <w:tab/>
        <w:t>24</w:t>
      </w:r>
    </w:p>
    <w:p>
      <w:pPr>
        <w:spacing w:after="0"/>
        <w:sectPr>
          <w:headerReference w:type="default" r:id="rId4"/>
          <w:footerReference w:type="default" r:id="rId5"/>
          <w:pgSz w:w="11910" w:h="16840"/>
          <w:pgMar w:top="1080" w:right="940" w:bottom="1400" w:left="820" w:header="881" w:footer="1201"/>
          <w:pgNumType w:start="1"/>
          <w:cols w:space="708"/>
        </w:sectPr>
      </w:pPr>
    </w:p>
    <w:p>
      <w:pPr>
        <w:pStyle w:val="BodyText"/>
        <w:spacing w:before="7"/>
        <w:rPr>
          <w:sz w:val="15"/>
        </w:rPr>
      </w:pPr>
    </w:p>
    <w:p>
      <w:pPr>
        <w:spacing w:after="0"/>
        <w:rPr>
          <w:sz w:val="15"/>
        </w:rPr>
        <w:sectPr>
          <w:headerReference w:type="even" r:id="rId6"/>
          <w:headerReference w:type="default" r:id="rId7"/>
          <w:footerReference w:type="even" r:id="rId8"/>
          <w:footerReference w:type="default" r:id="rId9"/>
          <w:pgSz w:w="11910" w:h="16840"/>
          <w:pgMar w:top="1580" w:right="940" w:bottom="280" w:left="820" w:header="0" w:footer="0"/>
          <w:pgNumType w:start="2"/>
          <w:cols w:space="708"/>
        </w:sectPr>
      </w:pPr>
    </w:p>
    <w:p>
      <w:pPr>
        <w:pStyle w:val="BodyText"/>
        <w:rPr>
          <w:sz w:val="32"/>
        </w:rPr>
      </w:pPr>
    </w:p>
    <w:p>
      <w:pPr>
        <w:pStyle w:val="BodyText"/>
        <w:rPr>
          <w:sz w:val="32"/>
        </w:rPr>
      </w:pPr>
    </w:p>
    <w:p>
      <w:pPr>
        <w:pStyle w:val="BodyText"/>
        <w:rPr>
          <w:sz w:val="43"/>
        </w:rPr>
      </w:pPr>
    </w:p>
    <w:p>
      <w:pPr>
        <w:pStyle w:val="Heading1"/>
        <w:tabs>
          <w:tab w:val="left" w:pos="1838"/>
        </w:tabs>
        <w:ind w:left="399"/>
      </w:pPr>
      <w:r>
        <w:t>前</w:t>
        <w:tab/>
        <w:t>言</w:t>
      </w:r>
    </w:p>
    <w:p>
      <w:pPr>
        <w:pStyle w:val="BodyText"/>
        <w:rPr>
          <w:rFonts w:ascii="黑体"/>
          <w:sz w:val="32"/>
        </w:rPr>
      </w:pPr>
    </w:p>
    <w:p>
      <w:pPr>
        <w:pStyle w:val="BodyText"/>
        <w:spacing w:before="1"/>
        <w:rPr>
          <w:rFonts w:ascii="黑体"/>
          <w:sz w:val="34"/>
        </w:rPr>
      </w:pPr>
    </w:p>
    <w:p>
      <w:pPr>
        <w:pStyle w:val="BodyText"/>
        <w:spacing w:before="1" w:line="278" w:lineRule="auto"/>
        <w:ind w:left="1016" w:right="362"/>
        <w:jc w:val="both"/>
      </w:pPr>
      <w:r>
        <w:rPr>
          <w:spacing w:val="-11"/>
        </w:rPr>
        <w:t xml:space="preserve">本标准按 </w:t>
      </w:r>
      <w:r>
        <w:t>GB/T 1.1-2009</w:t>
      </w:r>
      <w:r>
        <w:rPr>
          <w:spacing w:val="3"/>
        </w:rPr>
        <w:t xml:space="preserve">《标准化工作导则 第 </w:t>
      </w:r>
      <w:r>
        <w:t>1</w:t>
      </w:r>
      <w:r>
        <w:rPr>
          <w:spacing w:val="-8"/>
        </w:rPr>
        <w:t xml:space="preserve"> 部分：标准的结构和编写》给出的规则起草。本标准由广州市住房和城乡建设局提出并归口。</w:t>
      </w:r>
    </w:p>
    <w:p>
      <w:pPr>
        <w:pStyle w:val="BodyText"/>
        <w:spacing w:line="278" w:lineRule="auto"/>
        <w:ind w:left="595" w:right="194" w:firstLine="420"/>
        <w:jc w:val="both"/>
      </w:pPr>
      <w:r>
        <w:rPr>
          <w:spacing w:val="-8"/>
        </w:rPr>
        <w:t>本标准起草单位：广州市房屋安全管理所、广州市白蚁防治所、广州市白蚁防治行业协会、广州市</w:t>
      </w:r>
      <w:r>
        <w:rPr>
          <w:spacing w:val="-7"/>
        </w:rPr>
        <w:t>联城白蚁虫害防治行业协会、华南农业大学、广东省生物资源应用研究所、中国广州分析测试中心、广州市华隆白蚁防治工程有限公司、广州市康家白蚁防治服务有限公司、广州市粤城白蚁害虫防治有限公</w:t>
      </w:r>
      <w:r>
        <w:t>司、广州粤昆源生物科技发展有限公司。</w:t>
      </w:r>
    </w:p>
    <w:p>
      <w:pPr>
        <w:pStyle w:val="BodyText"/>
        <w:spacing w:line="278" w:lineRule="auto"/>
        <w:ind w:left="595" w:right="98" w:firstLine="420"/>
      </w:pPr>
      <w:r>
        <w:rPr>
          <w:w w:val="95"/>
        </w:rPr>
        <w:t xml:space="preserve">本标准主要起草人：文红、方培育、冯树明、邓卫平、赵丹、周君立、黄广惠、钟颖娴、许俊翀、   </w:t>
      </w:r>
      <w:r>
        <w:rPr>
          <w:spacing w:val="-8"/>
        </w:rPr>
        <w:t>苗静、陈享环、田伟金、关锐、陈孔超、欧阳伟健、徐伟军、黄继光、李志强、庄天勇、宋玉梅、周培才、胡伟权、林怡、佘和、彭俭华、曾环标。</w:t>
      </w:r>
    </w:p>
    <w:p>
      <w:pPr>
        <w:spacing w:after="0" w:line="278" w:lineRule="auto"/>
        <w:sectPr>
          <w:headerReference w:type="even" r:id="rId10"/>
          <w:headerReference w:type="default" r:id="rId11"/>
          <w:footerReference w:type="even" r:id="rId12"/>
          <w:footerReference w:type="default" r:id="rId13"/>
          <w:pgSz w:w="11910" w:h="16840"/>
          <w:pgMar w:top="1080" w:right="940" w:bottom="1400" w:left="820" w:header="881" w:footer="1201"/>
          <w:pgNumType w:start="3"/>
          <w:cols w:space="708"/>
        </w:sectPr>
      </w:pPr>
    </w:p>
    <w:p>
      <w:pPr>
        <w:pStyle w:val="BodyText"/>
        <w:spacing w:before="7"/>
        <w:rPr>
          <w:sz w:val="15"/>
        </w:rPr>
      </w:pPr>
    </w:p>
    <w:p>
      <w:pPr>
        <w:spacing w:after="0"/>
        <w:rPr>
          <w:sz w:val="15"/>
        </w:rPr>
        <w:sectPr>
          <w:headerReference w:type="even" r:id="rId14"/>
          <w:headerReference w:type="default" r:id="rId15"/>
          <w:footerReference w:type="even" r:id="rId16"/>
          <w:footerReference w:type="default" r:id="rId17"/>
          <w:pgSz w:w="11910" w:h="16840"/>
          <w:pgMar w:top="1580" w:right="940" w:bottom="280" w:left="820" w:header="0" w:footer="0"/>
          <w:pgNumType w:start="4"/>
          <w:cols w:space="708"/>
        </w:sectPr>
      </w:pPr>
    </w:p>
    <w:p>
      <w:pPr>
        <w:pStyle w:val="BodyText"/>
        <w:rPr>
          <w:sz w:val="20"/>
        </w:rPr>
      </w:pPr>
    </w:p>
    <w:p>
      <w:pPr>
        <w:pStyle w:val="Heading1"/>
        <w:spacing w:before="200"/>
        <w:ind w:right="283"/>
      </w:pPr>
      <w:r>
        <w:t>建筑物白蚁防治技术规范</w:t>
      </w: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
        <w:rPr>
          <w:rFonts w:ascii="黑体"/>
          <w:sz w:val="25"/>
        </w:rPr>
      </w:pPr>
    </w:p>
    <w:p>
      <w:pPr>
        <w:pStyle w:val="ListParagraph"/>
        <w:numPr>
          <w:ilvl w:val="0"/>
          <w:numId w:val="45"/>
        </w:numPr>
        <w:tabs>
          <w:tab w:val="left" w:pos="1291"/>
          <w:tab w:val="left" w:pos="1292"/>
        </w:tabs>
        <w:spacing w:before="70" w:after="0" w:line="240" w:lineRule="auto"/>
        <w:ind w:left="1291" w:right="0" w:hanging="317"/>
        <w:jc w:val="left"/>
        <w:rPr>
          <w:rFonts w:ascii="黑体" w:eastAsia="黑体" w:hint="eastAsia"/>
          <w:sz w:val="21"/>
        </w:rPr>
      </w:pPr>
      <w:r>
        <w:rPr>
          <w:rFonts w:ascii="黑体" w:eastAsia="黑体" w:hint="eastAsia"/>
          <w:sz w:val="21"/>
        </w:rPr>
        <w:t>范围</w:t>
      </w:r>
    </w:p>
    <w:p>
      <w:pPr>
        <w:pStyle w:val="BodyText"/>
        <w:spacing w:before="8"/>
        <w:rPr>
          <w:rFonts w:ascii="黑体"/>
          <w:sz w:val="27"/>
        </w:rPr>
      </w:pPr>
    </w:p>
    <w:p>
      <w:pPr>
        <w:pStyle w:val="BodyText"/>
        <w:spacing w:before="1"/>
        <w:ind w:left="1395"/>
      </w:pPr>
      <w:r>
        <w:t>本标准规定了建筑物的白蚁预防和灭治。</w:t>
      </w:r>
    </w:p>
    <w:p>
      <w:pPr>
        <w:pStyle w:val="BodyText"/>
        <w:spacing w:before="43"/>
        <w:ind w:left="1395"/>
      </w:pPr>
      <w:r>
        <w:t>本标准适用于建筑物、构筑物及其附属设施的白蚁预防和灭治工程的设计与施工。</w:t>
      </w:r>
    </w:p>
    <w:p>
      <w:pPr>
        <w:pStyle w:val="BodyText"/>
        <w:spacing w:before="42" w:line="278" w:lineRule="auto"/>
        <w:ind w:left="975" w:right="768" w:firstLine="420"/>
      </w:pPr>
      <w:r>
        <w:t>建（构）筑物及其附属设施的白蚁防治工程除符合本标准外，还应符合国家现行法律、法规及有关标准规范的规定。</w:t>
      </w:r>
    </w:p>
    <w:p>
      <w:pPr>
        <w:pStyle w:val="BodyText"/>
        <w:spacing w:before="5"/>
        <w:rPr>
          <w:sz w:val="24"/>
        </w:rPr>
      </w:pPr>
    </w:p>
    <w:p>
      <w:pPr>
        <w:pStyle w:val="ListParagraph"/>
        <w:numPr>
          <w:ilvl w:val="0"/>
          <w:numId w:val="45"/>
        </w:numPr>
        <w:tabs>
          <w:tab w:val="left" w:pos="1291"/>
          <w:tab w:val="left" w:pos="1292"/>
        </w:tabs>
        <w:spacing w:before="0" w:after="0" w:line="240" w:lineRule="auto"/>
        <w:ind w:left="1291" w:right="0" w:hanging="317"/>
        <w:jc w:val="left"/>
        <w:rPr>
          <w:rFonts w:ascii="黑体" w:eastAsia="黑体" w:hint="eastAsia"/>
          <w:sz w:val="21"/>
        </w:rPr>
      </w:pPr>
      <w:r>
        <w:rPr>
          <w:rFonts w:ascii="黑体" w:eastAsia="黑体" w:hint="eastAsia"/>
          <w:sz w:val="21"/>
        </w:rPr>
        <w:t>规范性引用文件</w:t>
      </w:r>
    </w:p>
    <w:p>
      <w:pPr>
        <w:pStyle w:val="BodyText"/>
        <w:spacing w:before="9"/>
        <w:rPr>
          <w:rFonts w:ascii="黑体"/>
          <w:sz w:val="27"/>
        </w:rPr>
      </w:pPr>
    </w:p>
    <w:p>
      <w:pPr>
        <w:pStyle w:val="BodyText"/>
        <w:spacing w:line="278" w:lineRule="auto"/>
        <w:ind w:left="975" w:right="768" w:firstLine="420"/>
      </w:pPr>
      <w:r>
        <w:t>下列文件对于本文件的应用是必不可少的。凡是注日期的引用文件，仅注日期的版本适用于本文件。凡是不注日期的引用文件，其最新版本（包括所有的修改单）适用于本文件。</w:t>
      </w:r>
    </w:p>
    <w:p>
      <w:pPr>
        <w:pStyle w:val="BodyText"/>
        <w:tabs>
          <w:tab w:val="left" w:pos="3286"/>
        </w:tabs>
        <w:spacing w:line="269" w:lineRule="exact"/>
        <w:ind w:left="1395"/>
      </w:pPr>
      <w:r>
        <w:t>GB/T</w:t>
      </w:r>
      <w:r>
        <w:rPr>
          <w:spacing w:val="-2"/>
        </w:rPr>
        <w:t xml:space="preserve"> </w:t>
      </w:r>
      <w:r>
        <w:t>50768—2012</w:t>
        <w:tab/>
      </w:r>
      <w:r>
        <w:rPr>
          <w:w w:val="95"/>
        </w:rPr>
        <w:t>白蚁防治工程基本术语标准</w:t>
      </w:r>
    </w:p>
    <w:p>
      <w:pPr>
        <w:pStyle w:val="BodyText"/>
        <w:tabs>
          <w:tab w:val="left" w:pos="3286"/>
        </w:tabs>
        <w:spacing w:before="43"/>
        <w:ind w:left="1395"/>
      </w:pPr>
      <w:r>
        <w:t>GB/T</w:t>
      </w:r>
      <w:r>
        <w:rPr>
          <w:spacing w:val="-2"/>
        </w:rPr>
        <w:t xml:space="preserve"> </w:t>
      </w:r>
      <w:r>
        <w:t>51253—2017</w:t>
        <w:tab/>
      </w:r>
      <w:r>
        <w:rPr>
          <w:w w:val="95"/>
        </w:rPr>
        <w:t>建设工程白蚁危害评定标准</w:t>
      </w:r>
    </w:p>
    <w:p>
      <w:pPr>
        <w:pStyle w:val="BodyText"/>
        <w:tabs>
          <w:tab w:val="left" w:pos="3286"/>
        </w:tabs>
        <w:spacing w:before="43"/>
        <w:ind w:left="1395"/>
      </w:pPr>
      <w:r>
        <w:t>DB44/T 857—2011</w:t>
        <w:tab/>
      </w:r>
      <w:r>
        <w:rPr>
          <w:w w:val="95"/>
        </w:rPr>
        <w:t>新建房屋白蚁预防技术规程</w:t>
      </w:r>
    </w:p>
    <w:p>
      <w:pPr>
        <w:pStyle w:val="BodyText"/>
        <w:spacing w:before="9"/>
        <w:rPr>
          <w:sz w:val="27"/>
        </w:rPr>
      </w:pPr>
    </w:p>
    <w:p>
      <w:pPr>
        <w:pStyle w:val="ListParagraph"/>
        <w:numPr>
          <w:ilvl w:val="0"/>
          <w:numId w:val="45"/>
        </w:numPr>
        <w:tabs>
          <w:tab w:val="left" w:pos="1291"/>
          <w:tab w:val="left" w:pos="1292"/>
        </w:tabs>
        <w:spacing w:before="0" w:after="0" w:line="240" w:lineRule="auto"/>
        <w:ind w:left="1291" w:right="0" w:hanging="317"/>
        <w:jc w:val="left"/>
        <w:rPr>
          <w:rFonts w:ascii="黑体" w:eastAsia="黑体" w:hint="eastAsia"/>
          <w:sz w:val="21"/>
        </w:rPr>
      </w:pPr>
      <w:r>
        <w:rPr>
          <w:rFonts w:ascii="黑体" w:eastAsia="黑体" w:hint="eastAsia"/>
          <w:sz w:val="21"/>
        </w:rPr>
        <w:t>术语和定义</w:t>
      </w:r>
    </w:p>
    <w:p>
      <w:pPr>
        <w:pStyle w:val="BodyText"/>
        <w:spacing w:before="9"/>
        <w:rPr>
          <w:rFonts w:ascii="黑体"/>
          <w:sz w:val="27"/>
        </w:rPr>
      </w:pPr>
    </w:p>
    <w:p>
      <w:pPr>
        <w:pStyle w:val="BodyText"/>
        <w:spacing w:line="278" w:lineRule="auto"/>
        <w:ind w:left="975" w:right="673" w:firstLine="420"/>
        <w:rPr>
          <w:rFonts w:ascii="黑体" w:eastAsia="黑体" w:hAnsi="黑体" w:hint="eastAsia"/>
        </w:rPr>
      </w:pPr>
      <w:r>
        <w:t>GB/T 50768—2012</w:t>
      </w:r>
      <w:r>
        <w:rPr>
          <w:spacing w:val="4"/>
        </w:rPr>
        <w:t>、</w:t>
      </w:r>
      <w:r>
        <w:t>DB44/T 857—2011</w:t>
      </w:r>
      <w:r>
        <w:rPr>
          <w:spacing w:val="-4"/>
        </w:rPr>
        <w:t xml:space="preserve"> 界定的以及下列术语和定义适用于本文件，为</w:t>
      </w:r>
      <w:r>
        <w:rPr>
          <w:spacing w:val="-8"/>
        </w:rPr>
        <w:t xml:space="preserve">了便于使用，以下重复列出了 </w:t>
      </w:r>
      <w:r>
        <w:t>GB/T 50768—2012、DB44/T 857—2011</w:t>
      </w:r>
      <w:r>
        <w:rPr>
          <w:spacing w:val="-8"/>
        </w:rPr>
        <w:t xml:space="preserve"> 中的某些术语和定义。</w:t>
      </w:r>
      <w:r>
        <w:rPr>
          <w:rFonts w:ascii="黑体" w:eastAsia="黑体" w:hAnsi="黑体" w:hint="eastAsia"/>
          <w:spacing w:val="-8"/>
        </w:rPr>
        <w:t>3.1</w:t>
      </w:r>
    </w:p>
    <w:p>
      <w:pPr>
        <w:pStyle w:val="BodyText"/>
        <w:spacing w:line="269" w:lineRule="exact"/>
        <w:ind w:left="1395"/>
        <w:rPr>
          <w:rFonts w:ascii="黑体" w:eastAsia="黑体" w:hint="eastAsia"/>
        </w:rPr>
      </w:pPr>
      <w:r>
        <w:rPr>
          <w:rFonts w:ascii="黑体" w:eastAsia="黑体" w:hint="eastAsia"/>
          <w:w w:val="95"/>
        </w:rPr>
        <w:t>药物屏障</w:t>
      </w:r>
    </w:p>
    <w:p>
      <w:pPr>
        <w:pStyle w:val="BodyText"/>
        <w:spacing w:before="42" w:line="278" w:lineRule="auto"/>
        <w:ind w:left="975" w:right="856" w:firstLine="420"/>
      </w:pPr>
      <w:r>
        <w:rPr>
          <w:spacing w:val="-4"/>
        </w:rPr>
        <w:t>通过对保护对象进行白蚁防治药剂处理后所形成的防止白蚁侵入的屏障，包括垂直屏障</w:t>
      </w:r>
      <w:r>
        <w:t>和水平屏障。</w:t>
      </w:r>
    </w:p>
    <w:p>
      <w:pPr>
        <w:pStyle w:val="BodyText"/>
        <w:ind w:left="1395"/>
      </w:pPr>
      <w:r>
        <w:t>[GB/T 50768—2012,定义 4.2.2]</w:t>
      </w:r>
    </w:p>
    <w:p>
      <w:pPr>
        <w:pStyle w:val="BodyText"/>
        <w:spacing w:before="43"/>
        <w:ind w:left="975"/>
        <w:rPr>
          <w:rFonts w:ascii="黑体"/>
        </w:rPr>
      </w:pPr>
      <w:r>
        <w:rPr>
          <w:rFonts w:ascii="黑体"/>
        </w:rPr>
        <w:t>3.2</w:t>
      </w:r>
    </w:p>
    <w:p>
      <w:pPr>
        <w:pStyle w:val="BodyText"/>
        <w:spacing w:before="43"/>
        <w:ind w:left="1395"/>
        <w:rPr>
          <w:rFonts w:ascii="黑体" w:eastAsia="黑体" w:hint="eastAsia"/>
        </w:rPr>
      </w:pPr>
      <w:r>
        <w:rPr>
          <w:rFonts w:ascii="黑体" w:eastAsia="黑体" w:hint="eastAsia"/>
        </w:rPr>
        <w:t>水平屏障</w:t>
      </w:r>
    </w:p>
    <w:p>
      <w:pPr>
        <w:pStyle w:val="BodyText"/>
        <w:spacing w:before="43"/>
        <w:ind w:left="1395"/>
      </w:pPr>
      <w:r>
        <w:t>为防止白蚁从垂直方向侵入建筑物,通过使用白蚁防治药剂处理建筑物地面和周边水平</w:t>
      </w:r>
    </w:p>
    <w:p>
      <w:pPr>
        <w:pStyle w:val="BodyText"/>
        <w:spacing w:before="43" w:line="278" w:lineRule="auto"/>
        <w:ind w:left="1395" w:right="5692" w:hanging="421"/>
      </w:pPr>
      <w:r>
        <w:t>方向的土壤而形成的药物土壤屏障。[GB/T 50768—2012,定义 4.2.3]</w:t>
      </w:r>
    </w:p>
    <w:p>
      <w:pPr>
        <w:pStyle w:val="BodyText"/>
        <w:ind w:left="975"/>
        <w:rPr>
          <w:rFonts w:ascii="黑体"/>
        </w:rPr>
      </w:pPr>
      <w:r>
        <w:rPr>
          <w:rFonts w:ascii="黑体"/>
        </w:rPr>
        <w:t>3.3</w:t>
      </w:r>
    </w:p>
    <w:p>
      <w:pPr>
        <w:pStyle w:val="BodyText"/>
        <w:spacing w:before="43"/>
        <w:ind w:left="1395"/>
        <w:rPr>
          <w:rFonts w:ascii="黑体" w:eastAsia="黑体" w:hint="eastAsia"/>
        </w:rPr>
      </w:pPr>
      <w:r>
        <w:rPr>
          <w:rFonts w:ascii="黑体" w:eastAsia="黑体" w:hint="eastAsia"/>
        </w:rPr>
        <w:t>垂直屏障</w:t>
      </w:r>
    </w:p>
    <w:p>
      <w:pPr>
        <w:pStyle w:val="BodyText"/>
        <w:spacing w:before="43"/>
        <w:ind w:left="1395"/>
      </w:pPr>
      <w:r>
        <w:t>为防止白蚁从水平方向侵入建筑物,通过使用白蚁防治药剂处理建筑物基础两侧和建筑</w:t>
      </w:r>
    </w:p>
    <w:p>
      <w:pPr>
        <w:pStyle w:val="BodyText"/>
        <w:spacing w:before="43" w:line="278" w:lineRule="auto"/>
        <w:ind w:left="1395" w:right="4761" w:hanging="421"/>
      </w:pPr>
      <w:r>
        <w:t>物周边垂直方向的土壤而形成的药物土壤屏障。[GB/T 50768—2012,定义 4.2.4]</w:t>
      </w:r>
    </w:p>
    <w:p>
      <w:pPr>
        <w:pStyle w:val="BodyText"/>
        <w:spacing w:line="269" w:lineRule="exact"/>
        <w:ind w:left="975"/>
        <w:rPr>
          <w:rFonts w:ascii="黑体"/>
        </w:rPr>
      </w:pPr>
      <w:r>
        <w:rPr>
          <w:rFonts w:ascii="黑体"/>
        </w:rPr>
        <w:t>3.4</w:t>
      </w:r>
    </w:p>
    <w:p>
      <w:pPr>
        <w:pStyle w:val="BodyText"/>
        <w:spacing w:before="43"/>
        <w:ind w:left="1395"/>
        <w:rPr>
          <w:rFonts w:ascii="黑体" w:eastAsia="黑体" w:hint="eastAsia"/>
        </w:rPr>
      </w:pPr>
      <w:r>
        <w:rPr>
          <w:rFonts w:ascii="黑体" w:eastAsia="黑体" w:hint="eastAsia"/>
        </w:rPr>
        <w:t>木材防护剂</w:t>
      </w:r>
    </w:p>
    <w:p>
      <w:pPr>
        <w:pStyle w:val="BodyText"/>
        <w:spacing w:before="43" w:line="278" w:lineRule="auto"/>
        <w:ind w:left="1395" w:right="2241"/>
      </w:pPr>
      <w:r>
        <w:t>能毒杀或抑制真菌、昆虫等生物因子，保护木材不受侵害的化学物质。[DB44/T 857—2011,定义 3.9]</w:t>
      </w:r>
    </w:p>
    <w:p>
      <w:pPr>
        <w:pStyle w:val="BodyText"/>
        <w:spacing w:line="269" w:lineRule="exact"/>
        <w:ind w:left="975"/>
        <w:rPr>
          <w:rFonts w:ascii="黑体"/>
        </w:rPr>
      </w:pPr>
      <w:r>
        <w:rPr>
          <w:rFonts w:ascii="黑体"/>
        </w:rPr>
        <w:t>3.5</w:t>
      </w:r>
    </w:p>
    <w:p>
      <w:pPr>
        <w:spacing w:after="0" w:line="269" w:lineRule="exact"/>
        <w:rPr>
          <w:rFonts w:ascii="黑体"/>
        </w:rPr>
        <w:sectPr>
          <w:headerReference w:type="even" r:id="rId18"/>
          <w:headerReference w:type="default" r:id="rId19"/>
          <w:footerReference w:type="even" r:id="rId20"/>
          <w:footerReference w:type="default" r:id="rId21"/>
          <w:pgSz w:w="11910" w:h="16840"/>
          <w:pgMar w:top="1080" w:right="940" w:bottom="1400" w:left="820" w:header="881" w:footer="1204"/>
          <w:pgNumType w:start="1"/>
          <w:cols w:space="708"/>
        </w:sectPr>
      </w:pPr>
    </w:p>
    <w:p>
      <w:pPr>
        <w:pStyle w:val="BodyText"/>
        <w:spacing w:before="5"/>
        <w:rPr>
          <w:rFonts w:ascii="黑体"/>
          <w:sz w:val="23"/>
        </w:rPr>
      </w:pPr>
    </w:p>
    <w:p>
      <w:pPr>
        <w:pStyle w:val="BodyText"/>
        <w:spacing w:before="70"/>
        <w:ind w:left="1395"/>
        <w:rPr>
          <w:rFonts w:ascii="黑体" w:eastAsia="黑体" w:hint="eastAsia"/>
        </w:rPr>
      </w:pPr>
      <w:r>
        <w:rPr>
          <w:rFonts w:ascii="黑体" w:eastAsia="黑体" w:hint="eastAsia"/>
        </w:rPr>
        <w:t>涂刷法</w:t>
      </w:r>
    </w:p>
    <w:p>
      <w:pPr>
        <w:pStyle w:val="BodyText"/>
        <w:spacing w:before="43" w:line="278" w:lineRule="auto"/>
        <w:ind w:left="1395" w:right="2661"/>
      </w:pPr>
      <w:r>
        <w:t>将白蚁防治药液直接涂刷于木构件或其他需处理物件表面的方法。[GB/T 50768—2012,定义 4.2.7]</w:t>
      </w:r>
    </w:p>
    <w:p>
      <w:pPr>
        <w:pStyle w:val="BodyText"/>
        <w:spacing w:line="269" w:lineRule="exact"/>
        <w:ind w:left="975"/>
        <w:rPr>
          <w:rFonts w:ascii="黑体"/>
        </w:rPr>
      </w:pPr>
      <w:r>
        <w:rPr>
          <w:rFonts w:ascii="黑体"/>
        </w:rPr>
        <w:t>3.6</w:t>
      </w:r>
    </w:p>
    <w:p>
      <w:pPr>
        <w:pStyle w:val="BodyText"/>
        <w:spacing w:before="43"/>
        <w:ind w:left="1395"/>
        <w:rPr>
          <w:rFonts w:ascii="黑体" w:eastAsia="黑体" w:hint="eastAsia"/>
        </w:rPr>
      </w:pPr>
      <w:r>
        <w:rPr>
          <w:rFonts w:ascii="黑体" w:eastAsia="黑体" w:hint="eastAsia"/>
        </w:rPr>
        <w:t>喷洒法</w:t>
      </w:r>
    </w:p>
    <w:p>
      <w:pPr>
        <w:pStyle w:val="BodyText"/>
        <w:spacing w:before="43" w:line="278" w:lineRule="auto"/>
        <w:ind w:left="1395" w:right="981"/>
      </w:pPr>
      <w:r>
        <w:t>利用器械产生的压力使白蚁防治药液以水流状的形式喷射或洒落到处理部位的方法。[GB/T 50768—2012,定义 4.2.5]</w:t>
      </w:r>
    </w:p>
    <w:p>
      <w:pPr>
        <w:pStyle w:val="BodyText"/>
        <w:spacing w:line="269" w:lineRule="exact"/>
        <w:ind w:left="975"/>
        <w:rPr>
          <w:rFonts w:ascii="黑体"/>
        </w:rPr>
      </w:pPr>
      <w:r>
        <w:rPr>
          <w:rFonts w:ascii="黑体"/>
        </w:rPr>
        <w:t>3.7</w:t>
      </w:r>
    </w:p>
    <w:p>
      <w:pPr>
        <w:pStyle w:val="BodyText"/>
        <w:spacing w:before="43"/>
        <w:ind w:left="1395"/>
        <w:rPr>
          <w:rFonts w:ascii="黑体" w:eastAsia="黑体" w:hint="eastAsia"/>
        </w:rPr>
      </w:pPr>
      <w:r>
        <w:rPr>
          <w:rFonts w:ascii="黑体" w:eastAsia="黑体" w:hint="eastAsia"/>
        </w:rPr>
        <w:t>浸渍法</w:t>
      </w:r>
    </w:p>
    <w:p>
      <w:pPr>
        <w:pStyle w:val="BodyText"/>
        <w:spacing w:before="43"/>
        <w:ind w:left="1395"/>
      </w:pPr>
      <w:r>
        <w:t>将木构件或其他需处理物件放入白蚁防治药液中浸泡一定时间,使其吸附药物达到防治</w:t>
      </w:r>
    </w:p>
    <w:p>
      <w:pPr>
        <w:pStyle w:val="BodyText"/>
        <w:spacing w:before="43" w:line="278" w:lineRule="auto"/>
        <w:ind w:left="1395" w:right="5755" w:hanging="421"/>
      </w:pPr>
      <w:r>
        <w:t>白蚁效果的一种药物处理方法。[GB/T 50768—2012,</w:t>
      </w:r>
      <w:r>
        <w:rPr>
          <w:spacing w:val="-20"/>
        </w:rPr>
        <w:t xml:space="preserve">定义 </w:t>
      </w:r>
      <w:r>
        <w:t>4.2.9]</w:t>
      </w:r>
    </w:p>
    <w:p>
      <w:pPr>
        <w:pStyle w:val="BodyText"/>
        <w:ind w:left="975"/>
        <w:rPr>
          <w:rFonts w:ascii="黑体"/>
        </w:rPr>
      </w:pPr>
      <w:r>
        <w:rPr>
          <w:rFonts w:ascii="黑体"/>
        </w:rPr>
        <w:t>3.8</w:t>
      </w:r>
    </w:p>
    <w:p>
      <w:pPr>
        <w:pStyle w:val="BodyText"/>
        <w:spacing w:before="43"/>
        <w:ind w:left="1395"/>
        <w:rPr>
          <w:rFonts w:ascii="黑体" w:eastAsia="黑体" w:hint="eastAsia"/>
        </w:rPr>
      </w:pPr>
      <w:r>
        <w:rPr>
          <w:rFonts w:ascii="黑体" w:eastAsia="黑体" w:hint="eastAsia"/>
        </w:rPr>
        <w:t>监测控制系统</w:t>
      </w:r>
    </w:p>
    <w:p>
      <w:pPr>
        <w:pStyle w:val="BodyText"/>
        <w:spacing w:before="43"/>
        <w:ind w:left="1395"/>
      </w:pPr>
      <w:r>
        <w:t>通过“监测-灭杀-监测”的循环过程，实现保护对象免受白蚁危害的一整套白蚁防治专</w:t>
      </w:r>
    </w:p>
    <w:p>
      <w:pPr>
        <w:pStyle w:val="BodyText"/>
        <w:spacing w:before="43" w:line="278" w:lineRule="auto"/>
        <w:ind w:left="1395" w:right="2241" w:hanging="421"/>
      </w:pPr>
      <w:r>
        <w:t>业装置的总称，由监测装置、检测设备、白蚁灭治药剂及辅助工具等组成。[GB/T 50768—2012,定义 5.2.3]</w:t>
      </w:r>
    </w:p>
    <w:p>
      <w:pPr>
        <w:pStyle w:val="BodyText"/>
        <w:ind w:left="975"/>
        <w:rPr>
          <w:rFonts w:ascii="黑体"/>
        </w:rPr>
      </w:pPr>
      <w:r>
        <w:rPr>
          <w:rFonts w:ascii="黑体"/>
        </w:rPr>
        <w:t>3.9</w:t>
      </w:r>
    </w:p>
    <w:p>
      <w:pPr>
        <w:pStyle w:val="BodyText"/>
        <w:spacing w:before="43"/>
        <w:ind w:left="1395"/>
        <w:rPr>
          <w:rFonts w:ascii="黑体" w:eastAsia="黑体" w:hint="eastAsia"/>
        </w:rPr>
      </w:pPr>
      <w:r>
        <w:rPr>
          <w:rFonts w:ascii="黑体" w:eastAsia="黑体" w:hint="eastAsia"/>
        </w:rPr>
        <w:t>监测装置</w:t>
      </w:r>
    </w:p>
    <w:p>
      <w:pPr>
        <w:pStyle w:val="BodyText"/>
        <w:spacing w:before="42" w:line="278" w:lineRule="auto"/>
        <w:ind w:left="1395" w:right="5390"/>
      </w:pPr>
      <w:r>
        <w:t>装有饵料用于监测白蚁活动的装置。[GB/T 50768—2012,定义 5.2.4]</w:t>
      </w:r>
    </w:p>
    <w:p>
      <w:pPr>
        <w:pStyle w:val="BodyText"/>
        <w:ind w:left="975"/>
        <w:rPr>
          <w:rFonts w:ascii="黑体"/>
        </w:rPr>
      </w:pPr>
      <w:r>
        <w:rPr>
          <w:rFonts w:ascii="黑体"/>
        </w:rPr>
        <w:t>3.10</w:t>
      </w:r>
    </w:p>
    <w:p>
      <w:pPr>
        <w:pStyle w:val="BodyText"/>
        <w:spacing w:before="43"/>
        <w:ind w:left="1395"/>
        <w:rPr>
          <w:rFonts w:ascii="黑体" w:eastAsia="黑体" w:hint="eastAsia"/>
        </w:rPr>
      </w:pPr>
      <w:r>
        <w:rPr>
          <w:rFonts w:ascii="黑体" w:eastAsia="黑体" w:hint="eastAsia"/>
        </w:rPr>
        <w:t>饵料</w:t>
      </w:r>
    </w:p>
    <w:p>
      <w:pPr>
        <w:pStyle w:val="BodyText"/>
        <w:spacing w:before="43" w:line="278" w:lineRule="auto"/>
        <w:ind w:left="1395" w:right="1610"/>
      </w:pPr>
      <w:r>
        <w:t>不含杀灭白蚁有效成分，且对白蚁具有较好的引诱力和适口性的纤维质材料。[GB/T 50768—2012,定义 5.2.1]</w:t>
      </w:r>
    </w:p>
    <w:p>
      <w:pPr>
        <w:pStyle w:val="BodyText"/>
        <w:spacing w:line="269" w:lineRule="exact"/>
        <w:ind w:left="975"/>
        <w:rPr>
          <w:rFonts w:ascii="黑体"/>
        </w:rPr>
      </w:pPr>
      <w:r>
        <w:rPr>
          <w:rFonts w:ascii="黑体"/>
        </w:rPr>
        <w:t>3.11</w:t>
      </w:r>
    </w:p>
    <w:p>
      <w:pPr>
        <w:pStyle w:val="BodyText"/>
        <w:spacing w:before="43"/>
        <w:ind w:left="1395"/>
        <w:rPr>
          <w:rFonts w:ascii="黑体" w:eastAsia="黑体" w:hint="eastAsia"/>
        </w:rPr>
      </w:pPr>
      <w:r>
        <w:rPr>
          <w:rFonts w:ascii="黑体" w:eastAsia="黑体" w:hint="eastAsia"/>
          <w:w w:val="95"/>
        </w:rPr>
        <w:t>饵剂</w:t>
      </w:r>
    </w:p>
    <w:p>
      <w:pPr>
        <w:pStyle w:val="BodyText"/>
        <w:spacing w:before="43" w:line="278" w:lineRule="auto"/>
        <w:ind w:left="975" w:right="856" w:firstLine="420"/>
      </w:pPr>
      <w:r>
        <w:rPr>
          <w:spacing w:val="-8"/>
          <w:w w:val="95"/>
        </w:rPr>
        <w:t xml:space="preserve">由杀虫剂、饵料等组成，对白蚁具有“引诱——喂食——杀灭”三位一体效果的白蚁防  </w:t>
      </w:r>
      <w:r>
        <w:rPr>
          <w:spacing w:val="-8"/>
        </w:rPr>
        <w:t>治药剂。</w:t>
      </w:r>
    </w:p>
    <w:p>
      <w:pPr>
        <w:pStyle w:val="BodyText"/>
        <w:ind w:left="1395"/>
      </w:pPr>
      <w:r>
        <w:t>[GB/T 50768—2012,定义 5.1.5]</w:t>
      </w:r>
    </w:p>
    <w:p>
      <w:pPr>
        <w:pStyle w:val="BodyText"/>
        <w:spacing w:before="43"/>
        <w:ind w:left="975"/>
        <w:rPr>
          <w:rFonts w:ascii="黑体"/>
        </w:rPr>
      </w:pPr>
      <w:r>
        <w:rPr>
          <w:rFonts w:ascii="黑体"/>
        </w:rPr>
        <w:t>3.12</w:t>
      </w:r>
    </w:p>
    <w:p>
      <w:pPr>
        <w:pStyle w:val="BodyText"/>
        <w:spacing w:before="43"/>
        <w:ind w:left="1395"/>
        <w:rPr>
          <w:rFonts w:ascii="黑体" w:eastAsia="黑体" w:hint="eastAsia"/>
        </w:rPr>
      </w:pPr>
      <w:r>
        <w:rPr>
          <w:rFonts w:ascii="黑体" w:eastAsia="黑体" w:hint="eastAsia"/>
        </w:rPr>
        <w:t>喷粉法</w:t>
      </w:r>
    </w:p>
    <w:p>
      <w:pPr>
        <w:pStyle w:val="BodyText"/>
        <w:spacing w:before="43" w:line="278" w:lineRule="auto"/>
        <w:ind w:left="975" w:right="856" w:firstLine="420"/>
      </w:pPr>
      <w:r>
        <w:rPr>
          <w:spacing w:val="-8"/>
        </w:rPr>
        <w:t>将白蚁灭治粉剂，采用直接喷施的方式，让部分白蚁个体沾染上药粉，达到杀灭或控制</w:t>
      </w:r>
      <w:r>
        <w:t>白蚁群体目的的方法。</w:t>
      </w:r>
    </w:p>
    <w:p>
      <w:pPr>
        <w:pStyle w:val="BodyText"/>
        <w:ind w:left="1395"/>
      </w:pPr>
      <w:r>
        <w:t>[GB/T 50768—2012,定义 4.2.16]</w:t>
      </w:r>
    </w:p>
    <w:p>
      <w:pPr>
        <w:pStyle w:val="BodyText"/>
        <w:spacing w:before="8"/>
        <w:rPr>
          <w:sz w:val="27"/>
        </w:rPr>
      </w:pPr>
    </w:p>
    <w:p>
      <w:pPr>
        <w:pStyle w:val="ListParagraph"/>
        <w:numPr>
          <w:ilvl w:val="0"/>
          <w:numId w:val="42"/>
        </w:numPr>
        <w:tabs>
          <w:tab w:val="left" w:pos="1291"/>
          <w:tab w:val="left" w:pos="1292"/>
        </w:tabs>
        <w:spacing w:before="0" w:after="0" w:line="240" w:lineRule="auto"/>
        <w:ind w:left="1291" w:right="0" w:hanging="317"/>
        <w:jc w:val="left"/>
        <w:rPr>
          <w:rFonts w:ascii="黑体" w:eastAsia="黑体" w:hint="eastAsia"/>
          <w:sz w:val="21"/>
        </w:rPr>
      </w:pPr>
      <w:r>
        <w:rPr>
          <w:rFonts w:ascii="黑体" w:eastAsia="黑体" w:hint="eastAsia"/>
          <w:sz w:val="21"/>
        </w:rPr>
        <w:t>白蚁预防</w:t>
      </w:r>
    </w:p>
    <w:p>
      <w:pPr>
        <w:pStyle w:val="BodyText"/>
        <w:spacing w:before="9"/>
        <w:rPr>
          <w:rFonts w:ascii="黑体"/>
          <w:sz w:val="27"/>
        </w:rPr>
      </w:pPr>
    </w:p>
    <w:p>
      <w:pPr>
        <w:pStyle w:val="ListParagraph"/>
        <w:numPr>
          <w:ilvl w:val="1"/>
          <w:numId w:val="42"/>
        </w:numPr>
        <w:tabs>
          <w:tab w:val="left" w:pos="1500"/>
          <w:tab w:val="left" w:pos="1501"/>
        </w:tabs>
        <w:spacing w:before="0" w:after="0" w:line="240" w:lineRule="auto"/>
        <w:ind w:left="1500" w:right="0" w:hanging="526"/>
        <w:jc w:val="left"/>
        <w:rPr>
          <w:rFonts w:ascii="黑体" w:eastAsia="黑体" w:hint="eastAsia"/>
          <w:sz w:val="21"/>
        </w:rPr>
      </w:pPr>
      <w:r>
        <w:rPr>
          <w:rFonts w:ascii="黑体" w:eastAsia="黑体" w:hint="eastAsia"/>
          <w:sz w:val="21"/>
        </w:rPr>
        <w:t>一般规定</w:t>
      </w:r>
    </w:p>
    <w:p>
      <w:pPr>
        <w:pStyle w:val="BodyText"/>
        <w:spacing w:before="7"/>
        <w:rPr>
          <w:rFonts w:ascii="黑体"/>
          <w:sz w:val="15"/>
        </w:rPr>
      </w:pPr>
    </w:p>
    <w:p>
      <w:pPr>
        <w:pStyle w:val="BodyText"/>
        <w:spacing w:line="278" w:lineRule="auto"/>
        <w:ind w:left="975" w:right="751" w:firstLine="420"/>
        <w:sectPr>
          <w:headerReference w:type="even" r:id="rId22"/>
          <w:headerReference w:type="default" r:id="rId23"/>
          <w:footerReference w:type="even" r:id="rId24"/>
          <w:footerReference w:type="default" r:id="rId25"/>
          <w:pgSz w:w="11910" w:h="16840"/>
          <w:pgMar w:top="1080" w:right="940" w:bottom="1440" w:left="820" w:header="881" w:footer="1250"/>
          <w:pgNumType w:start="2"/>
          <w:cols w:space="708"/>
        </w:sectPr>
      </w:pPr>
      <w:r>
        <w:rPr>
          <w:spacing w:val="-2"/>
        </w:rPr>
        <w:t>白蚁预防工程应根据建</w:t>
      </w:r>
      <w:r>
        <w:t>（构</w:t>
      </w:r>
      <w:r>
        <w:rPr>
          <w:spacing w:val="-15"/>
        </w:rPr>
        <w:t>）</w:t>
      </w:r>
      <w:r>
        <w:rPr>
          <w:spacing w:val="-6"/>
        </w:rPr>
        <w:t>筑物的性质、使用功能、结构形式、白蚁种类等因素，结</w:t>
      </w:r>
      <w:r>
        <w:rPr>
          <w:spacing w:val="-11"/>
        </w:rPr>
        <w:t>合物理屏障技术、药物屏障技术、监测控制系统技术，运用综合治理理念，提出相应的技术</w:t>
      </w:r>
      <w:r>
        <w:rPr>
          <w:spacing w:val="-10"/>
        </w:rPr>
        <w:t>措施。建设项目正式开工前应进行蚁患调查，并对存在的蚁患作灭治处理，根据建设项目的</w:t>
      </w:r>
      <w:r>
        <w:rPr>
          <w:spacing w:val="-18"/>
        </w:rPr>
        <w:t xml:space="preserve">具体情况制订施工方案。白蚁预防工程进行时，应对施工的情况和过程作现场记录；完工后， </w:t>
      </w:r>
    </w:p>
    <w:p>
      <w:pPr>
        <w:pStyle w:val="BodyText"/>
        <w:spacing w:line="278" w:lineRule="auto"/>
        <w:ind w:left="975" w:right="751" w:firstLine="420"/>
      </w:pPr>
      <w:r>
        <w:t>应有工程完工验收报告；验收后应建立预防工程技术档案。</w:t>
      </w:r>
    </w:p>
    <w:p>
      <w:pPr>
        <w:spacing w:after="0" w:line="278" w:lineRule="auto"/>
        <w:sectPr>
          <w:headerReference w:type="even" r:id="rId26"/>
          <w:headerReference w:type="default" r:id="rId27"/>
          <w:footerReference w:type="even" r:id="rId28"/>
          <w:footerReference w:type="default" r:id="rId29"/>
          <w:type w:val="nextPage"/>
          <w:pgSz w:w="11910" w:h="16840"/>
          <w:pgMar w:top="1080" w:right="940" w:bottom="1440" w:left="820" w:header="881" w:footer="1250"/>
          <w:pgNumType w:start="3"/>
          <w:cols w:space="708"/>
          <w:titlePg w:val="0"/>
        </w:sectPr>
      </w:pPr>
    </w:p>
    <w:p>
      <w:pPr>
        <w:pStyle w:val="BodyText"/>
        <w:spacing w:before="5"/>
        <w:rPr>
          <w:sz w:val="23"/>
        </w:rPr>
      </w:pPr>
    </w:p>
    <w:p>
      <w:pPr>
        <w:pStyle w:val="ListParagraph"/>
        <w:numPr>
          <w:ilvl w:val="1"/>
          <w:numId w:val="42"/>
        </w:numPr>
        <w:tabs>
          <w:tab w:val="left" w:pos="1500"/>
          <w:tab w:val="left" w:pos="1501"/>
        </w:tabs>
        <w:spacing w:before="70" w:after="0" w:line="240" w:lineRule="auto"/>
        <w:ind w:left="1500" w:right="0" w:hanging="526"/>
        <w:jc w:val="left"/>
        <w:rPr>
          <w:rFonts w:ascii="黑体" w:eastAsia="黑体" w:hint="eastAsia"/>
          <w:sz w:val="21"/>
        </w:rPr>
      </w:pPr>
      <w:r>
        <w:rPr>
          <w:rFonts w:ascii="黑体" w:eastAsia="黑体" w:hint="eastAsia"/>
          <w:sz w:val="21"/>
        </w:rPr>
        <w:t>新建房屋</w:t>
      </w:r>
    </w:p>
    <w:p>
      <w:pPr>
        <w:pStyle w:val="BodyText"/>
        <w:spacing w:before="7"/>
        <w:rPr>
          <w:rFonts w:ascii="黑体"/>
          <w:sz w:val="15"/>
        </w:rPr>
      </w:pPr>
    </w:p>
    <w:p>
      <w:pPr>
        <w:pStyle w:val="ListParagraph"/>
        <w:numPr>
          <w:ilvl w:val="2"/>
          <w:numId w:val="42"/>
        </w:numPr>
        <w:tabs>
          <w:tab w:val="left" w:pos="1711"/>
          <w:tab w:val="left" w:pos="1713"/>
        </w:tabs>
        <w:spacing w:before="0" w:after="0" w:line="240" w:lineRule="auto"/>
        <w:ind w:left="1712" w:right="0" w:hanging="738"/>
        <w:jc w:val="left"/>
        <w:rPr>
          <w:rFonts w:ascii="黑体" w:eastAsia="黑体" w:hint="eastAsia"/>
          <w:sz w:val="21"/>
        </w:rPr>
      </w:pPr>
      <w:r>
        <w:rPr>
          <w:rFonts w:ascii="黑体" w:eastAsia="黑体" w:hint="eastAsia"/>
          <w:sz w:val="21"/>
        </w:rPr>
        <w:t>防蚁设计规定</w:t>
      </w:r>
    </w:p>
    <w:p>
      <w:pPr>
        <w:pStyle w:val="BodyText"/>
        <w:spacing w:before="6"/>
        <w:rPr>
          <w:rFonts w:ascii="黑体"/>
          <w:sz w:val="15"/>
        </w:rPr>
      </w:pPr>
    </w:p>
    <w:p>
      <w:pPr>
        <w:pStyle w:val="BodyText"/>
        <w:spacing w:before="1"/>
        <w:ind w:left="1395"/>
      </w:pPr>
      <w:r>
        <w:t>设计应符合以下规定：</w:t>
      </w:r>
    </w:p>
    <w:p>
      <w:pPr>
        <w:pStyle w:val="ListParagraph"/>
        <w:numPr>
          <w:ilvl w:val="3"/>
          <w:numId w:val="42"/>
        </w:numPr>
        <w:tabs>
          <w:tab w:val="left" w:pos="1815"/>
          <w:tab w:val="left" w:pos="1816"/>
        </w:tabs>
        <w:spacing w:before="43" w:after="0" w:line="240" w:lineRule="auto"/>
        <w:ind w:left="1815" w:right="0" w:hanging="421"/>
        <w:jc w:val="left"/>
        <w:rPr>
          <w:sz w:val="21"/>
        </w:rPr>
      </w:pPr>
      <w:r>
        <w:rPr>
          <w:sz w:val="21"/>
        </w:rPr>
        <w:t>地下室和首层宜减少木构件的使用，对必须使用木构件的环境应保持通风和防潮；</w:t>
      </w:r>
    </w:p>
    <w:p>
      <w:pPr>
        <w:pStyle w:val="ListParagraph"/>
        <w:numPr>
          <w:ilvl w:val="3"/>
          <w:numId w:val="42"/>
        </w:numPr>
        <w:tabs>
          <w:tab w:val="left" w:pos="1815"/>
          <w:tab w:val="left" w:pos="1816"/>
        </w:tabs>
        <w:spacing w:before="43" w:after="0" w:line="240" w:lineRule="auto"/>
        <w:ind w:left="1815" w:right="0" w:hanging="421"/>
        <w:jc w:val="left"/>
        <w:rPr>
          <w:sz w:val="21"/>
        </w:rPr>
      </w:pPr>
      <w:r>
        <w:rPr>
          <w:sz w:val="21"/>
        </w:rPr>
        <w:t>做好室内外的给排水和防水设计，保持地面干燥；</w:t>
      </w:r>
    </w:p>
    <w:p>
      <w:pPr>
        <w:pStyle w:val="ListParagraph"/>
        <w:numPr>
          <w:ilvl w:val="3"/>
          <w:numId w:val="42"/>
        </w:numPr>
        <w:tabs>
          <w:tab w:val="left" w:pos="1815"/>
          <w:tab w:val="left" w:pos="1816"/>
        </w:tabs>
        <w:spacing w:before="43" w:after="0" w:line="278" w:lineRule="auto"/>
        <w:ind w:left="1815" w:right="856" w:hanging="421"/>
        <w:jc w:val="left"/>
        <w:rPr>
          <w:sz w:val="21"/>
        </w:rPr>
      </w:pPr>
      <w:r>
        <w:rPr>
          <w:spacing w:val="-10"/>
          <w:sz w:val="21"/>
        </w:rPr>
        <w:t>卫生间、厨房、排水管附近等近水源部位，墙体宜采用实体墙，并减少木构件的使</w:t>
      </w:r>
      <w:r>
        <w:rPr>
          <w:sz w:val="21"/>
        </w:rPr>
        <w:t>用；</w:t>
      </w:r>
    </w:p>
    <w:p>
      <w:pPr>
        <w:pStyle w:val="ListParagraph"/>
        <w:numPr>
          <w:ilvl w:val="3"/>
          <w:numId w:val="42"/>
        </w:numPr>
        <w:tabs>
          <w:tab w:val="left" w:pos="1815"/>
          <w:tab w:val="left" w:pos="1816"/>
        </w:tabs>
        <w:spacing w:before="0" w:after="0" w:line="278" w:lineRule="auto"/>
        <w:ind w:left="1815" w:right="856" w:hanging="421"/>
        <w:jc w:val="left"/>
        <w:rPr>
          <w:sz w:val="21"/>
        </w:rPr>
      </w:pPr>
      <w:r>
        <w:rPr>
          <w:spacing w:val="-5"/>
          <w:sz w:val="21"/>
        </w:rPr>
        <w:t>中空或楼顶绿化工程应在原防水保护层上铺设阻隔防水层，不宜选用白蚁喜欢取食</w:t>
      </w:r>
      <w:r>
        <w:rPr>
          <w:sz w:val="21"/>
        </w:rPr>
        <w:t>的树种；</w:t>
      </w:r>
    </w:p>
    <w:p>
      <w:pPr>
        <w:pStyle w:val="ListParagraph"/>
        <w:numPr>
          <w:ilvl w:val="3"/>
          <w:numId w:val="42"/>
        </w:numPr>
        <w:tabs>
          <w:tab w:val="left" w:pos="1815"/>
          <w:tab w:val="left" w:pos="1816"/>
        </w:tabs>
        <w:spacing w:before="0" w:after="0" w:line="240" w:lineRule="auto"/>
        <w:ind w:left="1815" w:right="0" w:hanging="421"/>
        <w:jc w:val="left"/>
        <w:rPr>
          <w:sz w:val="21"/>
        </w:rPr>
      </w:pPr>
      <w:r>
        <w:rPr>
          <w:sz w:val="21"/>
        </w:rPr>
        <w:t>首层楼梯底部不宜封闭；</w:t>
      </w:r>
    </w:p>
    <w:p>
      <w:pPr>
        <w:pStyle w:val="ListParagraph"/>
        <w:numPr>
          <w:ilvl w:val="3"/>
          <w:numId w:val="42"/>
        </w:numPr>
        <w:tabs>
          <w:tab w:val="left" w:pos="1815"/>
          <w:tab w:val="left" w:pos="1816"/>
        </w:tabs>
        <w:spacing w:before="42" w:after="0" w:line="278" w:lineRule="auto"/>
        <w:ind w:left="1815" w:right="856" w:hanging="421"/>
        <w:jc w:val="left"/>
        <w:rPr>
          <w:sz w:val="21"/>
        </w:rPr>
      </w:pPr>
      <w:r>
        <w:rPr>
          <w:spacing w:val="-7"/>
          <w:sz w:val="21"/>
        </w:rPr>
        <w:t>无地下室房屋首层所有的木柱、木楼梯、木门框等木构件均不应直接接触土壤，地</w:t>
      </w:r>
      <w:r>
        <w:rPr>
          <w:sz w:val="21"/>
        </w:rPr>
        <w:t>面应做防潮处理；</w:t>
      </w:r>
    </w:p>
    <w:p>
      <w:pPr>
        <w:pStyle w:val="ListParagraph"/>
        <w:numPr>
          <w:ilvl w:val="3"/>
          <w:numId w:val="42"/>
        </w:numPr>
        <w:tabs>
          <w:tab w:val="left" w:pos="1815"/>
          <w:tab w:val="left" w:pos="1816"/>
        </w:tabs>
        <w:spacing w:before="0" w:after="0" w:line="269" w:lineRule="exact"/>
        <w:ind w:left="1815" w:right="0" w:hanging="421"/>
        <w:jc w:val="left"/>
        <w:rPr>
          <w:sz w:val="21"/>
        </w:rPr>
      </w:pPr>
      <w:r>
        <w:rPr>
          <w:sz w:val="21"/>
        </w:rPr>
        <w:t>电缆沟采用混凝土结构，沟内的电缆支架，不得使用易被白蚁蛀食的材料。</w:t>
      </w:r>
    </w:p>
    <w:p>
      <w:pPr>
        <w:pStyle w:val="BodyText"/>
        <w:spacing w:before="7"/>
        <w:rPr>
          <w:sz w:val="15"/>
        </w:rPr>
      </w:pPr>
    </w:p>
    <w:p>
      <w:pPr>
        <w:pStyle w:val="ListParagraph"/>
        <w:numPr>
          <w:ilvl w:val="2"/>
          <w:numId w:val="42"/>
        </w:numPr>
        <w:tabs>
          <w:tab w:val="left" w:pos="1711"/>
          <w:tab w:val="left" w:pos="1713"/>
        </w:tabs>
        <w:spacing w:before="0" w:after="0" w:line="240" w:lineRule="auto"/>
        <w:ind w:left="1712" w:right="0" w:hanging="738"/>
        <w:jc w:val="left"/>
        <w:rPr>
          <w:rFonts w:ascii="黑体" w:eastAsia="黑体" w:hint="eastAsia"/>
          <w:sz w:val="21"/>
        </w:rPr>
      </w:pPr>
      <w:r>
        <w:rPr>
          <w:rFonts w:ascii="黑体" w:eastAsia="黑体" w:hint="eastAsia"/>
          <w:sz w:val="21"/>
        </w:rPr>
        <w:t>处理方法和要求</w:t>
      </w:r>
    </w:p>
    <w:p>
      <w:pPr>
        <w:pStyle w:val="BodyText"/>
        <w:spacing w:before="6"/>
        <w:rPr>
          <w:rFonts w:ascii="黑体"/>
          <w:sz w:val="15"/>
        </w:rPr>
      </w:pPr>
    </w:p>
    <w:p>
      <w:pPr>
        <w:pStyle w:val="ListParagraph"/>
        <w:numPr>
          <w:ilvl w:val="3"/>
          <w:numId w:val="41"/>
        </w:numPr>
        <w:tabs>
          <w:tab w:val="left" w:pos="1920"/>
          <w:tab w:val="left" w:pos="1921"/>
        </w:tabs>
        <w:spacing w:before="1" w:after="0" w:line="240" w:lineRule="auto"/>
        <w:ind w:left="1920" w:right="0" w:hanging="946"/>
        <w:jc w:val="left"/>
        <w:rPr>
          <w:rFonts w:ascii="黑体" w:eastAsia="黑体" w:hint="eastAsia"/>
          <w:sz w:val="21"/>
        </w:rPr>
      </w:pPr>
      <w:r>
        <w:rPr>
          <w:rFonts w:ascii="黑体" w:eastAsia="黑体" w:hint="eastAsia"/>
          <w:sz w:val="21"/>
        </w:rPr>
        <w:t>物理屏障</w:t>
      </w:r>
    </w:p>
    <w:p>
      <w:pPr>
        <w:pStyle w:val="BodyText"/>
        <w:spacing w:before="6"/>
        <w:rPr>
          <w:rFonts w:ascii="黑体"/>
          <w:sz w:val="15"/>
        </w:rPr>
      </w:pPr>
    </w:p>
    <w:p>
      <w:pPr>
        <w:pStyle w:val="BodyText"/>
        <w:ind w:left="1395"/>
      </w:pPr>
      <w:r>
        <w:t>物理屏障主要有颗粒屏障法。颗粒屏障法的处理方法及要求如下：</w:t>
      </w:r>
    </w:p>
    <w:p>
      <w:pPr>
        <w:pStyle w:val="ListParagraph"/>
        <w:numPr>
          <w:ilvl w:val="4"/>
          <w:numId w:val="41"/>
        </w:numPr>
        <w:tabs>
          <w:tab w:val="left" w:pos="1816"/>
        </w:tabs>
        <w:spacing w:before="43" w:after="0" w:line="278" w:lineRule="auto"/>
        <w:ind w:left="1815" w:right="856" w:hanging="421"/>
        <w:jc w:val="both"/>
        <w:rPr>
          <w:sz w:val="21"/>
        </w:rPr>
      </w:pPr>
      <w:r>
        <w:rPr>
          <w:spacing w:val="-8"/>
          <w:sz w:val="21"/>
        </w:rPr>
        <w:t xml:space="preserve">采用颗粒直径在 </w:t>
      </w:r>
      <w:r>
        <w:rPr>
          <w:sz w:val="21"/>
        </w:rPr>
        <w:t>1.7mm～2.4mm</w:t>
      </w:r>
      <w:r>
        <w:rPr>
          <w:spacing w:val="-9"/>
          <w:sz w:val="21"/>
        </w:rPr>
        <w:t xml:space="preserve">、相对密度不应小于 </w:t>
      </w:r>
      <w:r>
        <w:rPr>
          <w:sz w:val="21"/>
        </w:rPr>
        <w:t>2.60</w:t>
      </w:r>
      <w:r>
        <w:rPr>
          <w:spacing w:val="-9"/>
          <w:sz w:val="21"/>
        </w:rPr>
        <w:t xml:space="preserve"> 的各类砂子、砂石或特殊</w:t>
      </w:r>
      <w:r>
        <w:rPr>
          <w:spacing w:val="-2"/>
          <w:w w:val="99"/>
          <w:sz w:val="21"/>
        </w:rPr>
        <w:t>的岩石颗粒</w:t>
      </w:r>
      <w:r>
        <w:rPr>
          <w:spacing w:val="2"/>
          <w:w w:val="99"/>
          <w:sz w:val="21"/>
        </w:rPr>
        <w:t>（</w:t>
      </w:r>
      <w:r>
        <w:rPr>
          <w:w w:val="99"/>
          <w:sz w:val="21"/>
        </w:rPr>
        <w:t>如玄武岩颗粒</w:t>
      </w:r>
      <w:r>
        <w:rPr>
          <w:spacing w:val="-104"/>
          <w:w w:val="99"/>
          <w:sz w:val="21"/>
        </w:rPr>
        <w:t>）</w:t>
      </w:r>
      <w:r>
        <w:rPr>
          <w:spacing w:val="-1"/>
          <w:w w:val="99"/>
          <w:sz w:val="21"/>
        </w:rPr>
        <w:t>，设置成阻止白蚁进入房屋的屏障；</w:t>
      </w:r>
    </w:p>
    <w:p>
      <w:pPr>
        <w:pStyle w:val="ListParagraph"/>
        <w:numPr>
          <w:ilvl w:val="4"/>
          <w:numId w:val="41"/>
        </w:numPr>
        <w:tabs>
          <w:tab w:val="left" w:pos="1816"/>
        </w:tabs>
        <w:spacing w:before="0" w:after="0" w:line="278" w:lineRule="auto"/>
        <w:ind w:left="1815" w:right="856" w:hanging="421"/>
        <w:jc w:val="both"/>
        <w:rPr>
          <w:sz w:val="21"/>
        </w:rPr>
      </w:pPr>
      <w:r>
        <w:rPr>
          <w:spacing w:val="-7"/>
          <w:sz w:val="21"/>
        </w:rPr>
        <w:t>将粒径大小合适的颗粒，铺在地基四周沟渠、墙基空隙、墙体空腔、围栏地基、廊</w:t>
      </w:r>
      <w:r>
        <w:rPr>
          <w:sz w:val="21"/>
        </w:rPr>
        <w:t>柱下、护墙底和装饰板里面，形成颗粒屏障；</w:t>
      </w:r>
    </w:p>
    <w:p>
      <w:pPr>
        <w:pStyle w:val="ListParagraph"/>
        <w:numPr>
          <w:ilvl w:val="4"/>
          <w:numId w:val="41"/>
        </w:numPr>
        <w:tabs>
          <w:tab w:val="left" w:pos="1816"/>
        </w:tabs>
        <w:spacing w:before="0" w:after="0" w:line="278" w:lineRule="auto"/>
        <w:ind w:left="1815" w:right="856" w:hanging="421"/>
        <w:jc w:val="both"/>
        <w:rPr>
          <w:sz w:val="21"/>
        </w:rPr>
      </w:pPr>
      <w:r>
        <w:rPr>
          <w:spacing w:val="-3"/>
          <w:sz w:val="21"/>
        </w:rPr>
        <w:t>在紧靠墙基的土壤表面或壕沟内铺设颗粒屏障，屏障的宽度不应小于 100mm</w:t>
      </w:r>
      <w:r>
        <w:rPr>
          <w:spacing w:val="-6"/>
          <w:sz w:val="21"/>
        </w:rPr>
        <w:t>，深度</w:t>
      </w:r>
      <w:r>
        <w:rPr>
          <w:spacing w:val="-14"/>
          <w:sz w:val="21"/>
        </w:rPr>
        <w:t xml:space="preserve">不应小于 </w:t>
      </w:r>
      <w:r>
        <w:rPr>
          <w:sz w:val="21"/>
        </w:rPr>
        <w:t>100mm</w:t>
      </w:r>
      <w:r>
        <w:rPr>
          <w:spacing w:val="-3"/>
          <w:sz w:val="21"/>
        </w:rPr>
        <w:t>；房屋四周的颗粒屏障铺设完成后，应覆盖石板、砖块或浇灌混凝</w:t>
      </w:r>
      <w:r>
        <w:rPr>
          <w:sz w:val="21"/>
        </w:rPr>
        <w:t>土；</w:t>
      </w:r>
    </w:p>
    <w:p>
      <w:pPr>
        <w:pStyle w:val="ListParagraph"/>
        <w:numPr>
          <w:ilvl w:val="4"/>
          <w:numId w:val="41"/>
        </w:numPr>
        <w:tabs>
          <w:tab w:val="left" w:pos="1816"/>
        </w:tabs>
        <w:spacing w:before="0" w:after="0" w:line="278" w:lineRule="auto"/>
        <w:ind w:left="1815" w:right="859" w:hanging="421"/>
        <w:jc w:val="both"/>
        <w:rPr>
          <w:sz w:val="21"/>
        </w:rPr>
      </w:pPr>
      <w:r>
        <w:rPr>
          <w:spacing w:val="-6"/>
          <w:sz w:val="21"/>
        </w:rPr>
        <w:t>混凝土颗粒屏障的铺设应在混凝土浇灌前进行。，颗粒铺设时需连续均匀，应将颗</w:t>
      </w:r>
      <w:r>
        <w:rPr>
          <w:sz w:val="21"/>
        </w:rPr>
        <w:t>粒夯紧；</w:t>
      </w:r>
    </w:p>
    <w:p>
      <w:pPr>
        <w:pStyle w:val="BodyText"/>
        <w:spacing w:line="278" w:lineRule="auto"/>
        <w:ind w:left="1815" w:right="856" w:hanging="421"/>
        <w:jc w:val="both"/>
      </w:pPr>
      <w:r>
        <w:t>e）</w:t>
      </w:r>
      <w:r>
        <w:rPr>
          <w:spacing w:val="-11"/>
        </w:rPr>
        <w:t xml:space="preserve"> 墙基的回填土沟、地表排水沟设置屏障时应注意：在屋檐、屋顶排水管、房屋四周</w:t>
      </w:r>
      <w:r>
        <w:rPr>
          <w:spacing w:val="-5"/>
        </w:rPr>
        <w:t>的排水沟和地表水导流渠砂粒作为回填土使用时，应将砂粒夯紧，但不能造成墙基</w:t>
      </w:r>
      <w:r>
        <w:rPr>
          <w:spacing w:val="-10"/>
          <w:w w:val="95"/>
        </w:rPr>
        <w:t xml:space="preserve">开裂；围栏柱下方、地下电缆、水管和煤气管道、线缆和电线杆、中空磁砖、挡土  </w:t>
      </w:r>
      <w:r>
        <w:rPr>
          <w:spacing w:val="-12"/>
        </w:rPr>
        <w:t>墙、屋墩和梁柱下面、混凝土墙基下方、地基与混凝土走廊、阳台、天井和台阶之</w:t>
      </w:r>
      <w:r>
        <w:t>间也应设置屏障。</w:t>
      </w:r>
    </w:p>
    <w:p>
      <w:pPr>
        <w:pStyle w:val="ListParagraph"/>
        <w:numPr>
          <w:ilvl w:val="3"/>
          <w:numId w:val="41"/>
        </w:numPr>
        <w:tabs>
          <w:tab w:val="left" w:pos="1920"/>
          <w:tab w:val="left" w:pos="1921"/>
        </w:tabs>
        <w:spacing w:before="155" w:after="0" w:line="240" w:lineRule="auto"/>
        <w:ind w:left="1920" w:right="0" w:hanging="946"/>
        <w:jc w:val="left"/>
        <w:rPr>
          <w:rFonts w:ascii="黑体" w:eastAsia="黑体" w:hint="eastAsia"/>
          <w:sz w:val="21"/>
        </w:rPr>
      </w:pPr>
      <w:r>
        <w:rPr>
          <w:rFonts w:ascii="黑体" w:eastAsia="黑体" w:hint="eastAsia"/>
          <w:sz w:val="21"/>
        </w:rPr>
        <w:t>药物屏障</w:t>
      </w:r>
    </w:p>
    <w:p>
      <w:pPr>
        <w:pStyle w:val="BodyText"/>
        <w:spacing w:before="6"/>
        <w:rPr>
          <w:rFonts w:ascii="黑体"/>
          <w:sz w:val="15"/>
        </w:rPr>
      </w:pPr>
    </w:p>
    <w:p>
      <w:pPr>
        <w:pStyle w:val="ListParagraph"/>
        <w:numPr>
          <w:ilvl w:val="4"/>
          <w:numId w:val="40"/>
        </w:numPr>
        <w:tabs>
          <w:tab w:val="left" w:pos="2027"/>
        </w:tabs>
        <w:spacing w:before="0" w:after="0" w:line="240" w:lineRule="auto"/>
        <w:ind w:left="2026" w:right="0" w:hanging="1052"/>
        <w:jc w:val="left"/>
        <w:rPr>
          <w:rFonts w:ascii="黑体" w:eastAsia="黑体" w:hint="eastAsia"/>
          <w:sz w:val="21"/>
        </w:rPr>
      </w:pPr>
      <w:r>
        <w:rPr>
          <w:rFonts w:ascii="黑体" w:eastAsia="黑体" w:hint="eastAsia"/>
          <w:sz w:val="21"/>
        </w:rPr>
        <w:t>土壤药物屏障</w:t>
      </w:r>
    </w:p>
    <w:p>
      <w:pPr>
        <w:pStyle w:val="BodyText"/>
        <w:spacing w:before="7"/>
        <w:rPr>
          <w:rFonts w:ascii="黑体"/>
          <w:sz w:val="15"/>
        </w:rPr>
      </w:pPr>
    </w:p>
    <w:p>
      <w:pPr>
        <w:pStyle w:val="BodyText"/>
        <w:ind w:left="1395"/>
      </w:pPr>
      <w:r>
        <w:t>土壤药物屏障的处理方法及要求如下：</w:t>
      </w:r>
    </w:p>
    <w:p>
      <w:pPr>
        <w:pStyle w:val="ListParagraph"/>
        <w:numPr>
          <w:ilvl w:val="5"/>
          <w:numId w:val="40"/>
        </w:numPr>
        <w:tabs>
          <w:tab w:val="left" w:pos="1816"/>
        </w:tabs>
        <w:spacing w:before="43" w:after="0" w:line="278" w:lineRule="auto"/>
        <w:ind w:left="1815" w:right="856" w:hanging="421"/>
        <w:jc w:val="both"/>
        <w:rPr>
          <w:sz w:val="21"/>
        </w:rPr>
      </w:pPr>
      <w:r>
        <w:rPr>
          <w:spacing w:val="-10"/>
          <w:sz w:val="21"/>
        </w:rPr>
        <w:t>处理部位：在无地下室室内地坪或标高-</w:t>
      </w:r>
      <w:r>
        <w:rPr>
          <w:sz w:val="21"/>
        </w:rPr>
        <w:t>3m</w:t>
      </w:r>
      <w:r>
        <w:rPr>
          <w:spacing w:val="-17"/>
          <w:sz w:val="21"/>
        </w:rPr>
        <w:t xml:space="preserve"> 以上的地下室基础底板下、房屋四周</w:t>
      </w:r>
      <w:r>
        <w:rPr>
          <w:sz w:val="21"/>
        </w:rPr>
        <w:t>（</w:t>
      </w:r>
      <w:r>
        <w:rPr>
          <w:spacing w:val="-12"/>
          <w:sz w:val="21"/>
        </w:rPr>
        <w:t>散</w:t>
      </w:r>
      <w:r>
        <w:rPr>
          <w:sz w:val="21"/>
        </w:rPr>
        <w:t>水坡</w:t>
      </w:r>
      <w:r>
        <w:rPr>
          <w:spacing w:val="-30"/>
          <w:sz w:val="21"/>
        </w:rPr>
        <w:t>）</w:t>
      </w:r>
      <w:r>
        <w:rPr>
          <w:spacing w:val="-4"/>
          <w:sz w:val="21"/>
        </w:rPr>
        <w:t>下和埋地电缆沟的下部土壤等处设置的水平屏障，在建筑物基础墙两侧、房</w:t>
      </w:r>
      <w:r>
        <w:rPr>
          <w:spacing w:val="-9"/>
          <w:sz w:val="21"/>
        </w:rPr>
        <w:t>屋四周外墙外侧、柱基、桩基、沿柱、桩四周和埋地电缆沟两侧土壤等处设置的垂</w:t>
      </w:r>
      <w:r>
        <w:rPr>
          <w:sz w:val="21"/>
        </w:rPr>
        <w:t>直屏障，建筑物管道出入口四周土壤设置的药物屏障；</w:t>
      </w:r>
    </w:p>
    <w:p>
      <w:pPr>
        <w:pStyle w:val="ListParagraph"/>
        <w:numPr>
          <w:ilvl w:val="5"/>
          <w:numId w:val="40"/>
        </w:numPr>
        <w:tabs>
          <w:tab w:val="left" w:pos="1818"/>
        </w:tabs>
        <w:spacing w:before="0" w:after="0" w:line="278" w:lineRule="auto"/>
        <w:ind w:left="1815" w:right="857" w:hanging="421"/>
        <w:jc w:val="both"/>
        <w:rPr>
          <w:sz w:val="21"/>
        </w:rPr>
      </w:pPr>
      <w:r>
        <w:rPr>
          <w:sz w:val="21"/>
        </w:rPr>
        <w:t>水平屏障：水平屏障药液使用剂量不应低于 3L/</w:t>
      </w:r>
      <w:r>
        <w:rPr>
          <w:spacing w:val="-54"/>
          <w:sz w:val="21"/>
        </w:rPr>
        <w:t xml:space="preserve"> </w:t>
      </w:r>
      <w:r>
        <w:rPr>
          <w:rFonts w:ascii="Calibri" w:eastAsia="Calibri"/>
          <w:sz w:val="21"/>
        </w:rPr>
        <w:t>m</w:t>
      </w:r>
      <w:r>
        <w:rPr>
          <w:rFonts w:ascii="Calibri" w:eastAsia="Calibri"/>
          <w:sz w:val="21"/>
          <w:vertAlign w:val="superscript"/>
        </w:rPr>
        <w:t>2</w:t>
      </w:r>
      <w:r>
        <w:rPr>
          <w:rFonts w:ascii="Calibri" w:eastAsia="Calibri"/>
          <w:spacing w:val="19"/>
          <w:sz w:val="21"/>
          <w:vertAlign w:val="baseline"/>
        </w:rPr>
        <w:t xml:space="preserve"> </w:t>
      </w:r>
      <w:r>
        <w:rPr>
          <w:spacing w:val="1"/>
          <w:sz w:val="21"/>
          <w:vertAlign w:val="baseline"/>
        </w:rPr>
        <w:t xml:space="preserve">、深度不应少于 </w:t>
      </w:r>
      <w:r>
        <w:rPr>
          <w:sz w:val="21"/>
          <w:vertAlign w:val="baseline"/>
        </w:rPr>
        <w:t>50mm</w:t>
      </w:r>
      <w:r>
        <w:rPr>
          <w:spacing w:val="-4"/>
          <w:sz w:val="21"/>
          <w:vertAlign w:val="baseline"/>
        </w:rPr>
        <w:t>、在底</w:t>
      </w:r>
      <w:r>
        <w:rPr>
          <w:spacing w:val="2"/>
          <w:w w:val="99"/>
          <w:sz w:val="21"/>
          <w:vertAlign w:val="baseline"/>
        </w:rPr>
        <w:t>板下面和四周应保持连续（</w:t>
      </w:r>
      <w:r>
        <w:rPr>
          <w:spacing w:val="1"/>
          <w:w w:val="99"/>
          <w:sz w:val="21"/>
          <w:vertAlign w:val="baseline"/>
        </w:rPr>
        <w:t>外墙外侧地坪下宽度不应少于</w:t>
      </w:r>
      <w:r>
        <w:rPr>
          <w:spacing w:val="-50"/>
          <w:sz w:val="21"/>
          <w:vertAlign w:val="baseline"/>
        </w:rPr>
        <w:t xml:space="preserve"> </w:t>
      </w:r>
      <w:r>
        <w:rPr>
          <w:w w:val="99"/>
          <w:sz w:val="21"/>
          <w:vertAlign w:val="baseline"/>
        </w:rPr>
        <w:t>3</w:t>
      </w:r>
      <w:r>
        <w:rPr>
          <w:spacing w:val="2"/>
          <w:w w:val="99"/>
          <w:sz w:val="21"/>
          <w:vertAlign w:val="baseline"/>
        </w:rPr>
        <w:t>0</w:t>
      </w:r>
      <w:r>
        <w:rPr>
          <w:spacing w:val="3"/>
          <w:w w:val="99"/>
          <w:sz w:val="21"/>
          <w:vertAlign w:val="baseline"/>
        </w:rPr>
        <w:t>0</w:t>
      </w:r>
      <w:r>
        <w:rPr>
          <w:spacing w:val="-2"/>
          <w:w w:val="99"/>
          <w:sz w:val="21"/>
          <w:vertAlign w:val="baseline"/>
        </w:rPr>
        <w:t>m</w:t>
      </w:r>
      <w:r>
        <w:rPr>
          <w:spacing w:val="1"/>
          <w:w w:val="99"/>
          <w:sz w:val="21"/>
          <w:vertAlign w:val="baseline"/>
        </w:rPr>
        <w:t>m</w:t>
      </w:r>
      <w:r>
        <w:rPr>
          <w:spacing w:val="-104"/>
          <w:w w:val="99"/>
          <w:sz w:val="21"/>
          <w:vertAlign w:val="baseline"/>
        </w:rPr>
        <w:t>）</w:t>
      </w:r>
      <w:r>
        <w:rPr>
          <w:spacing w:val="1"/>
          <w:w w:val="99"/>
          <w:sz w:val="21"/>
          <w:vertAlign w:val="baseline"/>
        </w:rPr>
        <w:t>，并紧贴基础墙</w:t>
      </w:r>
      <w:r>
        <w:rPr>
          <w:spacing w:val="1"/>
          <w:sz w:val="21"/>
          <w:vertAlign w:val="baseline"/>
        </w:rPr>
        <w:t>的两侧面设置；</w:t>
      </w:r>
    </w:p>
    <w:p>
      <w:pPr>
        <w:spacing w:after="0" w:line="278" w:lineRule="auto"/>
        <w:jc w:val="both"/>
        <w:rPr>
          <w:sz w:val="21"/>
        </w:rPr>
        <w:sectPr>
          <w:headerReference w:type="even" r:id="rId30"/>
          <w:headerReference w:type="default" r:id="rId31"/>
          <w:footerReference w:type="even" r:id="rId32"/>
          <w:footerReference w:type="default" r:id="rId33"/>
          <w:pgSz w:w="11910" w:h="16840"/>
          <w:pgMar w:top="1080" w:right="940" w:bottom="1400" w:left="820" w:header="881" w:footer="1204"/>
          <w:pgNumType w:start="4"/>
          <w:cols w:space="708"/>
        </w:sectPr>
      </w:pPr>
    </w:p>
    <w:p>
      <w:pPr>
        <w:pStyle w:val="BodyText"/>
        <w:spacing w:before="5"/>
        <w:rPr>
          <w:sz w:val="23"/>
        </w:rPr>
      </w:pPr>
    </w:p>
    <w:p>
      <w:pPr>
        <w:pStyle w:val="ListParagraph"/>
        <w:numPr>
          <w:ilvl w:val="0"/>
          <w:numId w:val="39"/>
        </w:numPr>
        <w:tabs>
          <w:tab w:val="left" w:pos="1792"/>
        </w:tabs>
        <w:spacing w:before="70" w:after="0" w:line="278" w:lineRule="auto"/>
        <w:ind w:left="1815" w:right="854" w:hanging="421"/>
        <w:jc w:val="both"/>
        <w:rPr>
          <w:sz w:val="21"/>
        </w:rPr>
      </w:pPr>
      <w:r>
        <w:rPr>
          <w:spacing w:val="-5"/>
          <w:sz w:val="21"/>
        </w:rPr>
        <w:t xml:space="preserve">垂直屏障：垂直屏障药液使用剂量不应低于 </w:t>
      </w:r>
      <w:r>
        <w:rPr>
          <w:sz w:val="21"/>
        </w:rPr>
        <w:t>25L/</w:t>
      </w:r>
      <w:r>
        <w:rPr>
          <w:spacing w:val="-63"/>
          <w:sz w:val="21"/>
        </w:rPr>
        <w:t xml:space="preserve"> </w:t>
      </w:r>
      <w:r>
        <w:rPr>
          <w:rFonts w:ascii="Calibri" w:eastAsia="Calibri" w:hAnsi="Calibri"/>
          <w:sz w:val="21"/>
        </w:rPr>
        <w:t>m</w:t>
      </w:r>
      <w:r>
        <w:rPr>
          <w:sz w:val="21"/>
        </w:rPr>
        <w:t>³</w:t>
      </w:r>
      <w:r>
        <w:rPr>
          <w:spacing w:val="-5"/>
          <w:sz w:val="21"/>
        </w:rPr>
        <w:t xml:space="preserve">、宽度不应少于 </w:t>
      </w:r>
      <w:r>
        <w:rPr>
          <w:sz w:val="21"/>
        </w:rPr>
        <w:t>150mm</w:t>
      </w:r>
      <w:r>
        <w:rPr>
          <w:spacing w:val="-8"/>
          <w:sz w:val="21"/>
        </w:rPr>
        <w:t>、深度</w:t>
      </w:r>
      <w:r>
        <w:rPr>
          <w:spacing w:val="-3"/>
          <w:sz w:val="21"/>
        </w:rPr>
        <w:t xml:space="preserve">应延伸至基础梁以下不少于 </w:t>
      </w:r>
      <w:r>
        <w:rPr>
          <w:sz w:val="21"/>
        </w:rPr>
        <w:t>100mm</w:t>
      </w:r>
      <w:r>
        <w:rPr>
          <w:spacing w:val="3"/>
          <w:sz w:val="21"/>
        </w:rPr>
        <w:t>，房屋建筑与土壤之间的所有连接部位均应设置，并与水平屏障连接；</w:t>
      </w:r>
    </w:p>
    <w:p>
      <w:pPr>
        <w:pStyle w:val="ListParagraph"/>
        <w:numPr>
          <w:ilvl w:val="0"/>
          <w:numId w:val="39"/>
        </w:numPr>
        <w:tabs>
          <w:tab w:val="left" w:pos="1830"/>
        </w:tabs>
        <w:spacing w:before="0" w:after="0" w:line="278" w:lineRule="auto"/>
        <w:ind w:left="1815" w:right="858" w:hanging="421"/>
        <w:jc w:val="both"/>
        <w:rPr>
          <w:sz w:val="21"/>
        </w:rPr>
      </w:pPr>
      <w:r>
        <w:rPr>
          <w:spacing w:val="-1"/>
          <w:sz w:val="21"/>
        </w:rPr>
        <w:t xml:space="preserve">管道出入口：管道出入口周边的土壤应设置药物屏障，四周宽度不应少于 </w:t>
      </w:r>
      <w:r>
        <w:rPr>
          <w:sz w:val="21"/>
        </w:rPr>
        <w:t xml:space="preserve">150mm </w:t>
      </w:r>
      <w:r>
        <w:rPr>
          <w:spacing w:val="-5"/>
          <w:sz w:val="21"/>
        </w:rPr>
        <w:t xml:space="preserve">宽、延伸长度不应少于 </w:t>
      </w:r>
      <w:r>
        <w:rPr>
          <w:sz w:val="21"/>
        </w:rPr>
        <w:t>300mm；</w:t>
      </w:r>
    </w:p>
    <w:p>
      <w:pPr>
        <w:pStyle w:val="BodyText"/>
        <w:spacing w:before="11"/>
        <w:rPr>
          <w:sz w:val="25"/>
        </w:rPr>
      </w:pPr>
    </w:p>
    <w:p>
      <w:pPr>
        <w:spacing w:before="1"/>
        <w:ind w:left="0" w:right="854" w:firstLine="0"/>
        <w:jc w:val="right"/>
        <w:rPr>
          <w:sz w:val="18"/>
        </w:rPr>
      </w:pPr>
      <w:r>
        <w:drawing>
          <wp:anchor distT="0" distB="0" distL="0" distR="0" simplePos="0" relativeHeight="251660288" behindDoc="0" locked="0" layoutInCell="1" allowOverlap="1">
            <wp:simplePos x="0" y="0"/>
            <wp:positionH relativeFrom="page">
              <wp:posOffset>2513988</wp:posOffset>
            </wp:positionH>
            <wp:positionV relativeFrom="paragraph">
              <wp:posOffset>221128</wp:posOffset>
            </wp:positionV>
            <wp:extent cx="2513681" cy="188595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34" cstate="print"/>
                    <a:stretch>
                      <a:fillRect/>
                    </a:stretch>
                  </pic:blipFill>
                  <pic:spPr>
                    <a:xfrm>
                      <a:off x="0" y="0"/>
                      <a:ext cx="2513681" cy="1885950"/>
                    </a:xfrm>
                    <a:prstGeom prst="rect">
                      <a:avLst/>
                    </a:prstGeom>
                  </pic:spPr>
                </pic:pic>
              </a:graphicData>
            </a:graphic>
          </wp:anchor>
        </w:drawing>
      </w:r>
      <w:r>
        <w:rPr>
          <w:sz w:val="18"/>
        </w:rPr>
        <w:t>单位为毫米</w:t>
      </w:r>
    </w:p>
    <w:p>
      <w:pPr>
        <w:pStyle w:val="BodyText"/>
        <w:tabs>
          <w:tab w:val="left" w:pos="694"/>
        </w:tabs>
        <w:spacing w:before="65"/>
        <w:ind w:left="116"/>
        <w:jc w:val="center"/>
        <w:rPr>
          <w:rFonts w:ascii="黑体" w:eastAsia="黑体" w:hint="eastAsia"/>
        </w:rPr>
      </w:pPr>
      <w:r>
        <w:rPr>
          <w:rFonts w:ascii="黑体" w:eastAsia="黑体" w:hint="eastAsia"/>
        </w:rPr>
        <w:t>图</w:t>
      </w:r>
      <w:r>
        <w:rPr>
          <w:rFonts w:ascii="黑体" w:eastAsia="黑体" w:hint="eastAsia"/>
          <w:spacing w:val="-54"/>
        </w:rPr>
        <w:t xml:space="preserve"> </w:t>
      </w:r>
      <w:r>
        <w:rPr>
          <w:rFonts w:ascii="黑体" w:eastAsia="黑体" w:hint="eastAsia"/>
        </w:rPr>
        <w:t>1</w:t>
        <w:tab/>
        <w:t>管道出入口药物屏障设置</w:t>
      </w:r>
    </w:p>
    <w:p>
      <w:pPr>
        <w:spacing w:before="63"/>
        <w:ind w:left="401" w:right="285" w:firstLine="0"/>
        <w:jc w:val="center"/>
        <w:rPr>
          <w:sz w:val="18"/>
        </w:rPr>
      </w:pPr>
      <w:r>
        <w:rPr>
          <w:sz w:val="18"/>
        </w:rPr>
        <w:t>1—垂直屏障；2—水平屏障；3—管道；4—混凝土层</w:t>
      </w:r>
    </w:p>
    <w:p>
      <w:pPr>
        <w:pStyle w:val="BodyText"/>
        <w:rPr>
          <w:sz w:val="18"/>
        </w:rPr>
      </w:pPr>
    </w:p>
    <w:p>
      <w:pPr>
        <w:pStyle w:val="ListParagraph"/>
        <w:numPr>
          <w:ilvl w:val="0"/>
          <w:numId w:val="39"/>
        </w:numPr>
        <w:tabs>
          <w:tab w:val="left" w:pos="1844"/>
        </w:tabs>
        <w:spacing w:before="143" w:after="0" w:line="278" w:lineRule="auto"/>
        <w:ind w:left="1815" w:right="866" w:hanging="421"/>
        <w:jc w:val="both"/>
        <w:rPr>
          <w:sz w:val="21"/>
        </w:rPr>
      </w:pPr>
      <w:r>
        <w:rPr>
          <w:spacing w:val="6"/>
          <w:w w:val="95"/>
          <w:sz w:val="21"/>
        </w:rPr>
        <w:t>室外电缆沟：室外埋地电缆沟底部及两侧土壤应设置药物屏障，厚度不应少于</w:t>
      </w:r>
      <w:r>
        <w:rPr>
          <w:spacing w:val="6"/>
          <w:sz w:val="21"/>
        </w:rPr>
        <w:t>100mm ；</w:t>
      </w:r>
    </w:p>
    <w:p>
      <w:pPr>
        <w:pStyle w:val="ListParagraph"/>
        <w:numPr>
          <w:ilvl w:val="0"/>
          <w:numId w:val="39"/>
        </w:numPr>
        <w:tabs>
          <w:tab w:val="left" w:pos="1787"/>
        </w:tabs>
        <w:spacing w:before="0" w:after="0" w:line="278" w:lineRule="auto"/>
        <w:ind w:left="1815" w:right="856" w:hanging="421"/>
        <w:jc w:val="both"/>
        <w:rPr>
          <w:sz w:val="21"/>
        </w:rPr>
      </w:pPr>
      <w:r>
        <w:rPr>
          <w:spacing w:val="-6"/>
          <w:sz w:val="21"/>
        </w:rPr>
        <w:t>设有架空防潮层的各种基础，在盖板封闭前，对盖板下的地坪及墙面进行药液喷洒</w:t>
      </w:r>
      <w:r>
        <w:rPr>
          <w:w w:val="99"/>
          <w:sz w:val="21"/>
        </w:rPr>
        <w:t>处理</w:t>
      </w:r>
      <w:r>
        <w:rPr>
          <w:spacing w:val="-1"/>
          <w:w w:val="99"/>
          <w:sz w:val="21"/>
        </w:rPr>
        <w:t>（</w:t>
      </w:r>
      <w:r>
        <w:rPr>
          <w:w w:val="99"/>
          <w:sz w:val="21"/>
        </w:rPr>
        <w:t>防止雨水冲刷和浸泡</w:t>
      </w:r>
      <w:r>
        <w:rPr>
          <w:spacing w:val="-104"/>
          <w:w w:val="99"/>
          <w:sz w:val="21"/>
        </w:rPr>
        <w:t>）</w:t>
      </w:r>
      <w:r>
        <w:rPr>
          <w:spacing w:val="-1"/>
          <w:w w:val="99"/>
          <w:sz w:val="21"/>
        </w:rPr>
        <w:t>，药液喷洒应形成连续的覆盖层，不得遗漏；</w:t>
      </w:r>
    </w:p>
    <w:p>
      <w:pPr>
        <w:pStyle w:val="ListParagraph"/>
        <w:numPr>
          <w:ilvl w:val="0"/>
          <w:numId w:val="39"/>
        </w:numPr>
        <w:tabs>
          <w:tab w:val="left" w:pos="1816"/>
        </w:tabs>
        <w:spacing w:before="0" w:after="0" w:line="278" w:lineRule="auto"/>
        <w:ind w:left="1395" w:right="1401" w:firstLine="0"/>
        <w:jc w:val="both"/>
        <w:rPr>
          <w:sz w:val="21"/>
        </w:rPr>
      </w:pPr>
      <w:r>
        <w:rPr>
          <w:spacing w:val="-1"/>
          <w:sz w:val="21"/>
        </w:rPr>
        <w:t xml:space="preserve">土壤药物屏障室内地坪应在回填土平整夯实后，做混凝土垫层铺设前进行； </w:t>
      </w:r>
      <w:r>
        <w:rPr>
          <w:sz w:val="21"/>
        </w:rPr>
        <w:t>h）</w:t>
      </w:r>
      <w:r>
        <w:rPr>
          <w:spacing w:val="-1"/>
          <w:sz w:val="21"/>
        </w:rPr>
        <w:t xml:space="preserve"> 基础及室内地坪药液喷洒应均匀,应防止雨水冲刷和浸泡；</w:t>
      </w:r>
    </w:p>
    <w:p>
      <w:pPr>
        <w:pStyle w:val="BodyText"/>
        <w:spacing w:line="278" w:lineRule="auto"/>
        <w:ind w:left="1815" w:right="858" w:hanging="421"/>
        <w:jc w:val="both"/>
      </w:pPr>
      <w:r>
        <w:t>i）</w:t>
      </w:r>
      <w:r>
        <w:rPr>
          <w:spacing w:val="-3"/>
        </w:rPr>
        <w:t xml:space="preserve"> 基础外侧墙体和地下室应在离外墙面 </w:t>
      </w:r>
      <w:r>
        <w:t>150mm</w:t>
      </w:r>
      <w:r>
        <w:rPr>
          <w:spacing w:val="-12"/>
        </w:rPr>
        <w:t xml:space="preserve"> 的范围内，按深度 </w:t>
      </w:r>
      <w:r>
        <w:t>100mm 的规格沿外</w:t>
      </w:r>
      <w:r>
        <w:rPr>
          <w:spacing w:val="-9"/>
        </w:rPr>
        <w:t>墙壁灌注施药，形成一条闭合的防蚁毒土带；若基础外侧没条件设毒土带，可在基</w:t>
      </w:r>
      <w:r>
        <w:t>础墙内侧，用同样的方法、规格处理。</w:t>
      </w:r>
    </w:p>
    <w:p>
      <w:pPr>
        <w:pStyle w:val="ListParagraph"/>
        <w:numPr>
          <w:ilvl w:val="4"/>
          <w:numId w:val="40"/>
        </w:numPr>
        <w:tabs>
          <w:tab w:val="left" w:pos="2027"/>
        </w:tabs>
        <w:spacing w:before="155" w:after="0" w:line="240" w:lineRule="auto"/>
        <w:ind w:left="2026" w:right="0" w:hanging="1052"/>
        <w:jc w:val="left"/>
        <w:rPr>
          <w:rFonts w:ascii="黑体" w:eastAsia="黑体" w:hint="eastAsia"/>
          <w:sz w:val="21"/>
        </w:rPr>
      </w:pPr>
      <w:r>
        <w:rPr>
          <w:rFonts w:ascii="黑体" w:eastAsia="黑体" w:hint="eastAsia"/>
          <w:sz w:val="21"/>
        </w:rPr>
        <w:t>主体结构药物屏障</w:t>
      </w:r>
    </w:p>
    <w:p>
      <w:pPr>
        <w:pStyle w:val="BodyText"/>
        <w:spacing w:before="6"/>
        <w:rPr>
          <w:rFonts w:ascii="黑体"/>
          <w:sz w:val="15"/>
        </w:rPr>
      </w:pPr>
    </w:p>
    <w:p>
      <w:pPr>
        <w:pStyle w:val="BodyText"/>
        <w:spacing w:before="1"/>
        <w:ind w:left="1395"/>
      </w:pPr>
      <w:r>
        <w:rPr>
          <w:w w:val="95"/>
        </w:rPr>
        <w:t>主体结构药物屏障的处理方法及要求如下：</w:t>
      </w:r>
    </w:p>
    <w:p>
      <w:pPr>
        <w:pStyle w:val="ListParagraph"/>
        <w:numPr>
          <w:ilvl w:val="0"/>
          <w:numId w:val="38"/>
        </w:numPr>
        <w:tabs>
          <w:tab w:val="left" w:pos="1816"/>
        </w:tabs>
        <w:spacing w:before="42" w:after="0" w:line="278" w:lineRule="auto"/>
        <w:ind w:left="1815" w:right="856" w:hanging="421"/>
        <w:jc w:val="both"/>
        <w:rPr>
          <w:sz w:val="21"/>
        </w:rPr>
      </w:pPr>
      <w:r>
        <w:rPr>
          <w:spacing w:val="-13"/>
          <w:sz w:val="21"/>
        </w:rPr>
        <w:t>建</w:t>
      </w:r>
      <w:r>
        <w:rPr>
          <w:sz w:val="21"/>
        </w:rPr>
        <w:t>（构</w:t>
      </w:r>
      <w:r>
        <w:rPr>
          <w:spacing w:val="-15"/>
          <w:sz w:val="21"/>
        </w:rPr>
        <w:t>）</w:t>
      </w:r>
      <w:r>
        <w:rPr>
          <w:spacing w:val="-4"/>
          <w:sz w:val="21"/>
        </w:rPr>
        <w:t>筑物的相关部位应设置药物屏障，包括砌体墙、竖向管井、电梯井、门窗洞口、变形缝等；</w:t>
      </w:r>
    </w:p>
    <w:p>
      <w:pPr>
        <w:pStyle w:val="ListParagraph"/>
        <w:numPr>
          <w:ilvl w:val="0"/>
          <w:numId w:val="38"/>
        </w:numPr>
        <w:tabs>
          <w:tab w:val="left" w:pos="1816"/>
        </w:tabs>
        <w:spacing w:before="0" w:after="0" w:line="278" w:lineRule="auto"/>
        <w:ind w:left="1815" w:right="856" w:hanging="421"/>
        <w:jc w:val="both"/>
        <w:rPr>
          <w:sz w:val="21"/>
        </w:rPr>
      </w:pPr>
      <w:r>
        <w:rPr>
          <w:spacing w:val="-10"/>
          <w:sz w:val="21"/>
        </w:rPr>
        <w:t>砌体墙：砌体墙的处理应在墙体砌筑完成并基本干透后进行，地下室及首层砌体墙</w:t>
      </w:r>
      <w:r>
        <w:rPr>
          <w:spacing w:val="-1"/>
          <w:sz w:val="21"/>
        </w:rPr>
        <w:t xml:space="preserve">的两侧自地面计不应少于 </w:t>
      </w:r>
      <w:r>
        <w:rPr>
          <w:spacing w:val="-7"/>
          <w:sz w:val="21"/>
        </w:rPr>
        <w:t>800mm，2</w:t>
      </w:r>
      <w:r>
        <w:rPr>
          <w:spacing w:val="-8"/>
          <w:sz w:val="21"/>
        </w:rPr>
        <w:t xml:space="preserve"> 层以上、外墙内侧及内墙两侧自地面计不应少</w:t>
      </w:r>
      <w:r>
        <w:rPr>
          <w:spacing w:val="-27"/>
          <w:sz w:val="21"/>
        </w:rPr>
        <w:t xml:space="preserve">于 </w:t>
      </w:r>
      <w:r>
        <w:rPr>
          <w:sz w:val="21"/>
        </w:rPr>
        <w:t>400mm；</w:t>
      </w:r>
    </w:p>
    <w:p>
      <w:pPr>
        <w:pStyle w:val="ListParagraph"/>
        <w:numPr>
          <w:ilvl w:val="0"/>
          <w:numId w:val="37"/>
        </w:numPr>
        <w:tabs>
          <w:tab w:val="left" w:pos="1815"/>
          <w:tab w:val="left" w:pos="1816"/>
        </w:tabs>
        <w:spacing w:before="0" w:after="0" w:line="269" w:lineRule="exact"/>
        <w:ind w:left="1815" w:right="0" w:hanging="421"/>
        <w:jc w:val="left"/>
        <w:rPr>
          <w:sz w:val="21"/>
        </w:rPr>
      </w:pPr>
      <w:r>
        <w:rPr>
          <w:sz w:val="21"/>
        </w:rPr>
        <w:t>室内竖向管井、电梯井：室内所有竖向管井、电梯井内侧壁应设置药物屏障；</w:t>
      </w:r>
    </w:p>
    <w:p>
      <w:pPr>
        <w:pStyle w:val="ListParagraph"/>
        <w:numPr>
          <w:ilvl w:val="0"/>
          <w:numId w:val="37"/>
        </w:numPr>
        <w:tabs>
          <w:tab w:val="left" w:pos="1815"/>
          <w:tab w:val="left" w:pos="1816"/>
        </w:tabs>
        <w:spacing w:before="43" w:after="0" w:line="240" w:lineRule="auto"/>
        <w:ind w:left="1815" w:right="0" w:hanging="421"/>
        <w:jc w:val="left"/>
        <w:rPr>
          <w:sz w:val="21"/>
        </w:rPr>
      </w:pPr>
      <w:r>
        <w:rPr>
          <w:sz w:val="21"/>
        </w:rPr>
        <w:t>室内所有门窗预留洞口：室内所有门洞、窗洞及其它预留洞口等应设置药物屏障；</w:t>
      </w:r>
    </w:p>
    <w:p>
      <w:pPr>
        <w:pStyle w:val="ListParagraph"/>
        <w:numPr>
          <w:ilvl w:val="0"/>
          <w:numId w:val="37"/>
        </w:numPr>
        <w:tabs>
          <w:tab w:val="left" w:pos="1815"/>
          <w:tab w:val="left" w:pos="1816"/>
        </w:tabs>
        <w:spacing w:before="43" w:after="0" w:line="240" w:lineRule="auto"/>
        <w:ind w:left="1815" w:right="0" w:hanging="421"/>
        <w:jc w:val="left"/>
        <w:rPr>
          <w:sz w:val="21"/>
        </w:rPr>
      </w:pPr>
      <w:r>
        <w:rPr>
          <w:sz w:val="21"/>
        </w:rPr>
        <w:t>变形缝：室内首层沉降缝、一至三层伸缩缝的两侧及底部应设置药物屏障；</w:t>
      </w:r>
    </w:p>
    <w:p>
      <w:pPr>
        <w:pStyle w:val="ListParagraph"/>
        <w:numPr>
          <w:ilvl w:val="0"/>
          <w:numId w:val="37"/>
        </w:numPr>
        <w:tabs>
          <w:tab w:val="left" w:pos="1815"/>
          <w:tab w:val="left" w:pos="1816"/>
        </w:tabs>
        <w:spacing w:before="43" w:after="0" w:line="278" w:lineRule="auto"/>
        <w:ind w:left="1395" w:right="1610" w:firstLine="0"/>
        <w:jc w:val="left"/>
        <w:rPr>
          <w:sz w:val="21"/>
        </w:rPr>
      </w:pPr>
      <w:r>
        <w:rPr>
          <w:spacing w:val="-1"/>
          <w:sz w:val="21"/>
        </w:rPr>
        <w:t xml:space="preserve">除管道、竖井和电梯井外，石材或混凝土的表面不得施用白蚁防治药物； </w:t>
      </w:r>
      <w:r>
        <w:rPr>
          <w:sz w:val="21"/>
        </w:rPr>
        <w:t>g）</w:t>
      </w:r>
      <w:r>
        <w:rPr>
          <w:spacing w:val="-1"/>
          <w:sz w:val="21"/>
        </w:rPr>
        <w:t xml:space="preserve"> 首层基础外侧墙体必须在做散水坡或排水沟之前进行；</w:t>
      </w:r>
    </w:p>
    <w:p>
      <w:pPr>
        <w:pStyle w:val="BodyText"/>
        <w:spacing w:line="278" w:lineRule="auto"/>
        <w:ind w:left="1395" w:right="859"/>
      </w:pPr>
      <w:r>
        <w:t>h） 变形缝内的杂物应在封闭之前进行清理，难以清理的，应灌注药液进行处理； i）</w:t>
      </w:r>
      <w:r>
        <w:rPr>
          <w:spacing w:val="-6"/>
        </w:rPr>
        <w:t xml:space="preserve"> 药液处理后应保证 </w:t>
      </w:r>
      <w:r>
        <w:t>24</w:t>
      </w:r>
      <w:r>
        <w:rPr>
          <w:spacing w:val="-9"/>
        </w:rPr>
        <w:t xml:space="preserve"> 小时内防止施工用水冲刷和浸泡，建筑施工单位应掌握好施</w:t>
      </w:r>
    </w:p>
    <w:p>
      <w:pPr>
        <w:spacing w:after="0" w:line="278" w:lineRule="auto"/>
        <w:sectPr>
          <w:headerReference w:type="even" r:id="rId35"/>
          <w:headerReference w:type="default" r:id="rId36"/>
          <w:footerReference w:type="even" r:id="rId37"/>
          <w:footerReference w:type="default" r:id="rId38"/>
          <w:pgSz w:w="11910" w:h="16840"/>
          <w:pgMar w:top="1080" w:right="940" w:bottom="1440" w:left="820" w:header="881" w:footer="1250"/>
          <w:pgNumType w:start="5"/>
          <w:cols w:space="708"/>
        </w:sectPr>
      </w:pPr>
    </w:p>
    <w:p>
      <w:pPr>
        <w:pStyle w:val="BodyText"/>
        <w:spacing w:before="5"/>
        <w:rPr>
          <w:sz w:val="23"/>
        </w:rPr>
      </w:pPr>
    </w:p>
    <w:p>
      <w:pPr>
        <w:pStyle w:val="BodyText"/>
        <w:spacing w:before="70"/>
        <w:ind w:left="1815"/>
      </w:pPr>
      <w:r>
        <w:t>药后砌体的湿度，及时进行抹灰，抹灰前不得再淋水润湿墙面。</w:t>
      </w:r>
    </w:p>
    <w:p>
      <w:pPr>
        <w:pStyle w:val="BodyText"/>
        <w:spacing w:before="7"/>
        <w:rPr>
          <w:sz w:val="15"/>
        </w:rPr>
      </w:pPr>
    </w:p>
    <w:p>
      <w:pPr>
        <w:pStyle w:val="ListParagraph"/>
        <w:numPr>
          <w:ilvl w:val="4"/>
          <w:numId w:val="40"/>
        </w:numPr>
        <w:tabs>
          <w:tab w:val="left" w:pos="2131"/>
          <w:tab w:val="left" w:pos="2132"/>
        </w:tabs>
        <w:spacing w:before="0" w:after="0" w:line="240" w:lineRule="auto"/>
        <w:ind w:left="2131" w:right="0" w:hanging="1157"/>
        <w:jc w:val="left"/>
        <w:rPr>
          <w:rFonts w:ascii="黑体" w:eastAsia="黑体" w:hint="eastAsia"/>
          <w:sz w:val="21"/>
        </w:rPr>
      </w:pPr>
      <w:r>
        <w:rPr>
          <w:rFonts w:ascii="黑体" w:eastAsia="黑体" w:hint="eastAsia"/>
          <w:sz w:val="21"/>
        </w:rPr>
        <w:t>装饰装修</w:t>
      </w:r>
    </w:p>
    <w:p>
      <w:pPr>
        <w:pStyle w:val="BodyText"/>
        <w:spacing w:before="6"/>
        <w:rPr>
          <w:rFonts w:ascii="黑体"/>
          <w:sz w:val="15"/>
        </w:rPr>
      </w:pPr>
    </w:p>
    <w:p>
      <w:pPr>
        <w:pStyle w:val="BodyText"/>
        <w:spacing w:before="1"/>
        <w:ind w:left="1395"/>
      </w:pPr>
      <w:r>
        <w:t>装饰装修药物屏障的处理方法及要求如下：</w:t>
      </w:r>
    </w:p>
    <w:p>
      <w:pPr>
        <w:pStyle w:val="ListParagraph"/>
        <w:numPr>
          <w:ilvl w:val="0"/>
          <w:numId w:val="36"/>
        </w:numPr>
        <w:tabs>
          <w:tab w:val="left" w:pos="1816"/>
        </w:tabs>
        <w:spacing w:before="43" w:after="0" w:line="278" w:lineRule="auto"/>
        <w:ind w:left="1815" w:right="856" w:hanging="421"/>
        <w:jc w:val="left"/>
        <w:rPr>
          <w:sz w:val="21"/>
        </w:rPr>
      </w:pPr>
      <w:r>
        <w:rPr>
          <w:spacing w:val="-4"/>
          <w:sz w:val="21"/>
        </w:rPr>
        <w:t>装饰装修工程中与木构件接触的墙面和地面应进行白蚁预防处理，处理方法参照砌</w:t>
      </w:r>
      <w:r>
        <w:rPr>
          <w:sz w:val="21"/>
        </w:rPr>
        <w:t>体墙药物屏障；</w:t>
      </w:r>
    </w:p>
    <w:p>
      <w:pPr>
        <w:pStyle w:val="ListParagraph"/>
        <w:numPr>
          <w:ilvl w:val="0"/>
          <w:numId w:val="36"/>
        </w:numPr>
        <w:tabs>
          <w:tab w:val="left" w:pos="1816"/>
        </w:tabs>
        <w:spacing w:before="0" w:after="0" w:line="278" w:lineRule="auto"/>
        <w:ind w:left="1815" w:right="856" w:hanging="421"/>
        <w:jc w:val="left"/>
        <w:rPr>
          <w:sz w:val="21"/>
        </w:rPr>
      </w:pPr>
      <w:r>
        <w:rPr>
          <w:spacing w:val="-6"/>
          <w:sz w:val="21"/>
        </w:rPr>
        <w:t>装饰装修工程中木构件的白蚁预防处理，处理药物可采用白蚁预防药剂或木材防护</w:t>
      </w:r>
      <w:r>
        <w:rPr>
          <w:sz w:val="21"/>
        </w:rPr>
        <w:t>剂；</w:t>
      </w:r>
    </w:p>
    <w:p>
      <w:pPr>
        <w:pStyle w:val="ListParagraph"/>
        <w:numPr>
          <w:ilvl w:val="0"/>
          <w:numId w:val="36"/>
        </w:numPr>
        <w:tabs>
          <w:tab w:val="left" w:pos="1816"/>
        </w:tabs>
        <w:spacing w:before="0" w:after="0" w:line="278" w:lineRule="auto"/>
        <w:ind w:left="1395" w:right="768" w:firstLine="0"/>
        <w:jc w:val="left"/>
        <w:rPr>
          <w:sz w:val="21"/>
        </w:rPr>
      </w:pPr>
      <w:r>
        <w:rPr>
          <w:spacing w:val="-1"/>
          <w:sz w:val="21"/>
        </w:rPr>
        <w:t xml:space="preserve">木门框等木质构件在安装前，应对其与墙面、地面接触部位和嵌入部位进行处理； </w:t>
      </w:r>
      <w:r>
        <w:rPr>
          <w:sz w:val="21"/>
        </w:rPr>
        <w:t>d）</w:t>
      </w:r>
      <w:r>
        <w:rPr>
          <w:spacing w:val="-5"/>
          <w:sz w:val="21"/>
        </w:rPr>
        <w:t xml:space="preserve"> 处理部位和处理方法应符合表 </w:t>
      </w:r>
      <w:r>
        <w:rPr>
          <w:sz w:val="21"/>
        </w:rPr>
        <w:t>1</w:t>
      </w:r>
      <w:r>
        <w:rPr>
          <w:spacing w:val="-14"/>
          <w:sz w:val="21"/>
        </w:rPr>
        <w:t xml:space="preserve"> 要求；</w:t>
      </w:r>
    </w:p>
    <w:p>
      <w:pPr>
        <w:pStyle w:val="BodyText"/>
        <w:tabs>
          <w:tab w:val="left" w:pos="690"/>
        </w:tabs>
        <w:spacing w:before="155"/>
        <w:ind w:left="114"/>
        <w:jc w:val="center"/>
        <w:rPr>
          <w:rFonts w:ascii="黑体" w:eastAsia="黑体" w:hint="eastAsia"/>
        </w:rPr>
      </w:pPr>
      <w:r>
        <w:rPr>
          <w:rFonts w:ascii="黑体" w:eastAsia="黑体" w:hint="eastAsia"/>
        </w:rPr>
        <w:t>表</w:t>
      </w:r>
      <w:r>
        <w:rPr>
          <w:rFonts w:ascii="黑体" w:eastAsia="黑体" w:hint="eastAsia"/>
          <w:spacing w:val="-54"/>
        </w:rPr>
        <w:t xml:space="preserve"> </w:t>
      </w:r>
      <w:r>
        <w:rPr>
          <w:rFonts w:ascii="黑体" w:eastAsia="黑体" w:hint="eastAsia"/>
        </w:rPr>
        <w:t>1</w:t>
        <w:tab/>
        <w:t>装饰装修工程木构件药物处理部位和方法</w:t>
      </w:r>
    </w:p>
    <w:p>
      <w:pPr>
        <w:pStyle w:val="BodyText"/>
        <w:spacing w:before="12"/>
        <w:rPr>
          <w:rFonts w:ascii="黑体"/>
          <w:sz w:val="13"/>
        </w:rPr>
      </w:pPr>
    </w:p>
    <w:tbl>
      <w:tblPr>
        <w:tblStyle w:val="TableNormal0"/>
        <w:tblW w:w="0" w:type="auto"/>
        <w:jc w:val="left"/>
        <w:tblInd w:w="73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102"/>
        <w:gridCol w:w="1416"/>
        <w:gridCol w:w="4111"/>
        <w:gridCol w:w="2205"/>
      </w:tblGrid>
      <w:tr>
        <w:tblPrEx>
          <w:tblW w:w="0" w:type="auto"/>
          <w:jc w:val="left"/>
          <w:tblInd w:w="73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41"/>
          <w:jc w:val="left"/>
        </w:trPr>
        <w:tc>
          <w:tcPr>
            <w:tcW w:w="2518" w:type="dxa"/>
            <w:gridSpan w:val="2"/>
            <w:tcBorders>
              <w:right w:val="single" w:sz="4" w:space="0" w:color="000000"/>
            </w:tcBorders>
          </w:tcPr>
          <w:p>
            <w:pPr>
              <w:pStyle w:val="TableParagraph"/>
              <w:spacing w:before="54"/>
              <w:ind w:left="717"/>
              <w:rPr>
                <w:sz w:val="18"/>
              </w:rPr>
            </w:pPr>
            <w:r>
              <w:rPr>
                <w:sz w:val="18"/>
              </w:rPr>
              <w:t>装饰装修项目</w:t>
            </w:r>
          </w:p>
        </w:tc>
        <w:tc>
          <w:tcPr>
            <w:tcW w:w="4111" w:type="dxa"/>
            <w:tcBorders>
              <w:left w:val="single" w:sz="4" w:space="0" w:color="000000"/>
              <w:right w:val="single" w:sz="4" w:space="0" w:color="000000"/>
            </w:tcBorders>
          </w:tcPr>
          <w:p>
            <w:pPr>
              <w:pStyle w:val="TableParagraph"/>
              <w:spacing w:before="54"/>
              <w:ind w:left="152" w:right="127"/>
              <w:jc w:val="center"/>
              <w:rPr>
                <w:sz w:val="18"/>
              </w:rPr>
            </w:pPr>
            <w:r>
              <w:rPr>
                <w:sz w:val="18"/>
              </w:rPr>
              <w:t>白蚁预防处理部位</w:t>
            </w:r>
          </w:p>
        </w:tc>
        <w:tc>
          <w:tcPr>
            <w:tcW w:w="2205" w:type="dxa"/>
            <w:tcBorders>
              <w:left w:val="single" w:sz="4" w:space="0" w:color="000000"/>
            </w:tcBorders>
          </w:tcPr>
          <w:p>
            <w:pPr>
              <w:pStyle w:val="TableParagraph"/>
              <w:spacing w:before="54"/>
              <w:ind w:left="99" w:right="63"/>
              <w:jc w:val="center"/>
              <w:rPr>
                <w:sz w:val="18"/>
              </w:rPr>
            </w:pPr>
            <w:r>
              <w:rPr>
                <w:sz w:val="18"/>
              </w:rPr>
              <w:t>处理方法</w:t>
            </w:r>
          </w:p>
        </w:tc>
      </w:tr>
      <w:tr>
        <w:tblPrEx>
          <w:tblW w:w="0" w:type="auto"/>
          <w:jc w:val="left"/>
          <w:tblInd w:w="731" w:type="dxa"/>
          <w:tblLayout w:type="fixed"/>
          <w:tblCellMar>
            <w:top w:w="0" w:type="dxa"/>
            <w:left w:w="0" w:type="dxa"/>
            <w:bottom w:w="0" w:type="dxa"/>
            <w:right w:w="0" w:type="dxa"/>
          </w:tblCellMar>
          <w:tblLook w:val="01E0"/>
        </w:tblPrEx>
        <w:trPr>
          <w:trHeight w:val="339"/>
          <w:jc w:val="left"/>
        </w:trPr>
        <w:tc>
          <w:tcPr>
            <w:tcW w:w="2518" w:type="dxa"/>
            <w:gridSpan w:val="2"/>
            <w:tcBorders>
              <w:bottom w:val="single" w:sz="4" w:space="0" w:color="000000"/>
              <w:right w:val="single" w:sz="4" w:space="0" w:color="000000"/>
            </w:tcBorders>
          </w:tcPr>
          <w:p>
            <w:pPr>
              <w:pStyle w:val="TableParagraph"/>
              <w:spacing w:before="52"/>
              <w:ind w:left="877" w:right="861"/>
              <w:jc w:val="center"/>
              <w:rPr>
                <w:sz w:val="18"/>
              </w:rPr>
            </w:pPr>
            <w:r>
              <w:rPr>
                <w:sz w:val="18"/>
              </w:rPr>
              <w:t>吊顶工程</w:t>
            </w:r>
          </w:p>
        </w:tc>
        <w:tc>
          <w:tcPr>
            <w:tcW w:w="4111" w:type="dxa"/>
            <w:tcBorders>
              <w:left w:val="single" w:sz="4" w:space="0" w:color="000000"/>
              <w:bottom w:val="single" w:sz="4" w:space="0" w:color="000000"/>
              <w:right w:val="single" w:sz="4" w:space="0" w:color="000000"/>
            </w:tcBorders>
          </w:tcPr>
          <w:p>
            <w:pPr>
              <w:pStyle w:val="TableParagraph"/>
              <w:spacing w:before="52"/>
              <w:ind w:left="152" w:right="127"/>
              <w:jc w:val="center"/>
              <w:rPr>
                <w:sz w:val="18"/>
              </w:rPr>
            </w:pPr>
            <w:r>
              <w:rPr>
                <w:sz w:val="18"/>
              </w:rPr>
              <w:t>木吊杆、木龙骨、造型木板</w:t>
            </w:r>
          </w:p>
        </w:tc>
        <w:tc>
          <w:tcPr>
            <w:tcW w:w="2205" w:type="dxa"/>
            <w:tcBorders>
              <w:left w:val="single" w:sz="4" w:space="0" w:color="000000"/>
              <w:bottom w:val="single" w:sz="4" w:space="0" w:color="000000"/>
            </w:tcBorders>
          </w:tcPr>
          <w:p>
            <w:pPr>
              <w:pStyle w:val="TableParagraph"/>
              <w:spacing w:before="52"/>
              <w:ind w:left="99" w:right="65"/>
              <w:jc w:val="center"/>
              <w:rPr>
                <w:sz w:val="18"/>
              </w:rPr>
            </w:pPr>
            <w:r>
              <w:rPr>
                <w:sz w:val="18"/>
              </w:rPr>
              <w:t>涂刷法、喷洒法</w:t>
            </w:r>
          </w:p>
        </w:tc>
      </w:tr>
      <w:tr>
        <w:tblPrEx>
          <w:tblW w:w="0" w:type="auto"/>
          <w:jc w:val="left"/>
          <w:tblInd w:w="731" w:type="dxa"/>
          <w:tblLayout w:type="fixed"/>
          <w:tblCellMar>
            <w:top w:w="0" w:type="dxa"/>
            <w:left w:w="0" w:type="dxa"/>
            <w:bottom w:w="0" w:type="dxa"/>
            <w:right w:w="0" w:type="dxa"/>
          </w:tblCellMar>
          <w:tblLook w:val="01E0"/>
        </w:tblPrEx>
        <w:trPr>
          <w:trHeight w:val="340"/>
          <w:jc w:val="left"/>
        </w:trPr>
        <w:tc>
          <w:tcPr>
            <w:tcW w:w="2518" w:type="dxa"/>
            <w:gridSpan w:val="2"/>
            <w:tcBorders>
              <w:top w:val="single" w:sz="4" w:space="0" w:color="000000"/>
              <w:bottom w:val="single" w:sz="4" w:space="0" w:color="000000"/>
              <w:right w:val="single" w:sz="4" w:space="0" w:color="000000"/>
            </w:tcBorders>
          </w:tcPr>
          <w:p>
            <w:pPr>
              <w:pStyle w:val="TableParagraph"/>
              <w:spacing w:before="52"/>
              <w:ind w:left="717"/>
              <w:rPr>
                <w:sz w:val="18"/>
              </w:rPr>
            </w:pPr>
            <w:r>
              <w:rPr>
                <w:sz w:val="18"/>
              </w:rPr>
              <w:t>轻质隔墙工程</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52"/>
              <w:ind w:left="152" w:right="129"/>
              <w:jc w:val="center"/>
              <w:rPr>
                <w:sz w:val="18"/>
              </w:rPr>
            </w:pPr>
            <w:r>
              <w:rPr>
                <w:sz w:val="18"/>
              </w:rPr>
              <w:t>木龙骨、胶合板</w:t>
            </w:r>
          </w:p>
        </w:tc>
        <w:tc>
          <w:tcPr>
            <w:tcW w:w="2205" w:type="dxa"/>
            <w:tcBorders>
              <w:top w:val="single" w:sz="4" w:space="0" w:color="000000"/>
              <w:left w:val="single" w:sz="4" w:space="0" w:color="000000"/>
              <w:bottom w:val="single" w:sz="4" w:space="0" w:color="000000"/>
            </w:tcBorders>
          </w:tcPr>
          <w:p>
            <w:pPr>
              <w:pStyle w:val="TableParagraph"/>
              <w:spacing w:before="52"/>
              <w:ind w:left="99" w:right="65"/>
              <w:jc w:val="center"/>
              <w:rPr>
                <w:sz w:val="18"/>
              </w:rPr>
            </w:pPr>
            <w:r>
              <w:rPr>
                <w:sz w:val="18"/>
              </w:rPr>
              <w:t>涂刷法、喷洒法</w:t>
            </w:r>
          </w:p>
        </w:tc>
      </w:tr>
      <w:tr>
        <w:tblPrEx>
          <w:tblW w:w="0" w:type="auto"/>
          <w:jc w:val="left"/>
          <w:tblInd w:w="731" w:type="dxa"/>
          <w:tblLayout w:type="fixed"/>
          <w:tblCellMar>
            <w:top w:w="0" w:type="dxa"/>
            <w:left w:w="0" w:type="dxa"/>
            <w:bottom w:w="0" w:type="dxa"/>
            <w:right w:w="0" w:type="dxa"/>
          </w:tblCellMar>
          <w:tblLook w:val="01E0"/>
        </w:tblPrEx>
        <w:trPr>
          <w:trHeight w:val="337"/>
          <w:jc w:val="left"/>
        </w:trPr>
        <w:tc>
          <w:tcPr>
            <w:tcW w:w="2518" w:type="dxa"/>
            <w:gridSpan w:val="2"/>
            <w:tcBorders>
              <w:top w:val="single" w:sz="4" w:space="0" w:color="000000"/>
              <w:bottom w:val="single" w:sz="4" w:space="0" w:color="000000"/>
              <w:right w:val="single" w:sz="4" w:space="0" w:color="000000"/>
            </w:tcBorders>
          </w:tcPr>
          <w:p>
            <w:pPr>
              <w:pStyle w:val="TableParagraph"/>
              <w:spacing w:before="52"/>
              <w:ind w:left="877" w:right="859"/>
              <w:jc w:val="center"/>
              <w:rPr>
                <w:sz w:val="18"/>
              </w:rPr>
            </w:pPr>
            <w:r>
              <w:rPr>
                <w:sz w:val="18"/>
              </w:rPr>
              <w:t>木门窗</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52"/>
              <w:ind w:left="152" w:right="129"/>
              <w:jc w:val="center"/>
              <w:rPr>
                <w:sz w:val="18"/>
              </w:rPr>
            </w:pPr>
            <w:r>
              <w:rPr>
                <w:sz w:val="18"/>
              </w:rPr>
              <w:t>门窗框与预留洞口的接触部位、固定用木砖</w:t>
            </w:r>
          </w:p>
        </w:tc>
        <w:tc>
          <w:tcPr>
            <w:tcW w:w="2205" w:type="dxa"/>
            <w:tcBorders>
              <w:top w:val="single" w:sz="4" w:space="0" w:color="000000"/>
              <w:left w:val="single" w:sz="4" w:space="0" w:color="000000"/>
              <w:bottom w:val="single" w:sz="4" w:space="0" w:color="000000"/>
            </w:tcBorders>
          </w:tcPr>
          <w:p>
            <w:pPr>
              <w:pStyle w:val="TableParagraph"/>
              <w:spacing w:before="52"/>
              <w:ind w:left="99" w:right="65"/>
              <w:jc w:val="center"/>
              <w:rPr>
                <w:sz w:val="18"/>
              </w:rPr>
            </w:pPr>
            <w:r>
              <w:rPr>
                <w:sz w:val="18"/>
              </w:rPr>
              <w:t>涂刷法、浸渍法</w:t>
            </w:r>
          </w:p>
        </w:tc>
      </w:tr>
      <w:tr>
        <w:tblPrEx>
          <w:tblW w:w="0" w:type="auto"/>
          <w:jc w:val="left"/>
          <w:tblInd w:w="731" w:type="dxa"/>
          <w:tblLayout w:type="fixed"/>
          <w:tblCellMar>
            <w:top w:w="0" w:type="dxa"/>
            <w:left w:w="0" w:type="dxa"/>
            <w:bottom w:w="0" w:type="dxa"/>
            <w:right w:w="0" w:type="dxa"/>
          </w:tblCellMar>
          <w:tblLook w:val="01E0"/>
        </w:tblPrEx>
        <w:trPr>
          <w:trHeight w:val="340"/>
          <w:jc w:val="left"/>
        </w:trPr>
        <w:tc>
          <w:tcPr>
            <w:tcW w:w="1102" w:type="dxa"/>
            <w:vMerge w:val="restart"/>
            <w:tcBorders>
              <w:top w:val="single" w:sz="4" w:space="0" w:color="000000"/>
              <w:bottom w:val="single" w:sz="4" w:space="0" w:color="000000"/>
              <w:right w:val="single" w:sz="4" w:space="0" w:color="000000"/>
            </w:tcBorders>
          </w:tcPr>
          <w:p>
            <w:pPr>
              <w:pStyle w:val="TableParagraph"/>
              <w:rPr>
                <w:rFonts w:ascii="黑体"/>
                <w:sz w:val="18"/>
              </w:rPr>
            </w:pPr>
          </w:p>
          <w:p>
            <w:pPr>
              <w:pStyle w:val="TableParagraph"/>
              <w:rPr>
                <w:rFonts w:ascii="黑体"/>
                <w:sz w:val="18"/>
              </w:rPr>
            </w:pPr>
          </w:p>
          <w:p>
            <w:pPr>
              <w:pStyle w:val="TableParagraph"/>
              <w:spacing w:before="10"/>
              <w:rPr>
                <w:rFonts w:ascii="黑体"/>
                <w:sz w:val="22"/>
              </w:rPr>
            </w:pPr>
          </w:p>
          <w:p>
            <w:pPr>
              <w:pStyle w:val="TableParagraph"/>
              <w:ind w:left="189"/>
              <w:rPr>
                <w:sz w:val="18"/>
              </w:rPr>
            </w:pPr>
            <w:r>
              <w:rPr>
                <w:sz w:val="18"/>
              </w:rPr>
              <w:t>细部工程</w:t>
            </w:r>
          </w:p>
        </w:tc>
        <w:tc>
          <w:tcPr>
            <w:tcW w:w="1416" w:type="dxa"/>
            <w:tcBorders>
              <w:top w:val="single" w:sz="4" w:space="0" w:color="000000"/>
              <w:left w:val="single" w:sz="4" w:space="0" w:color="000000"/>
              <w:bottom w:val="single" w:sz="4" w:space="0" w:color="000000"/>
              <w:right w:val="single" w:sz="4" w:space="0" w:color="000000"/>
            </w:tcBorders>
          </w:tcPr>
          <w:p>
            <w:pPr>
              <w:pStyle w:val="TableParagraph"/>
              <w:spacing w:before="55"/>
              <w:ind w:left="154" w:right="131"/>
              <w:jc w:val="center"/>
              <w:rPr>
                <w:sz w:val="18"/>
              </w:rPr>
            </w:pPr>
            <w:r>
              <w:rPr>
                <w:sz w:val="18"/>
              </w:rPr>
              <w:t>木门窗套</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55"/>
              <w:ind w:left="152" w:right="129"/>
              <w:jc w:val="center"/>
              <w:rPr>
                <w:sz w:val="18"/>
              </w:rPr>
            </w:pPr>
            <w:r>
              <w:rPr>
                <w:sz w:val="18"/>
              </w:rPr>
              <w:t>预埋木砖、方木搁栅骨架、与墙体对应的基层板</w:t>
            </w:r>
          </w:p>
        </w:tc>
        <w:tc>
          <w:tcPr>
            <w:tcW w:w="2205" w:type="dxa"/>
            <w:tcBorders>
              <w:top w:val="single" w:sz="4" w:space="0" w:color="000000"/>
              <w:left w:val="single" w:sz="4" w:space="0" w:color="000000"/>
              <w:bottom w:val="single" w:sz="4" w:space="0" w:color="000000"/>
            </w:tcBorders>
          </w:tcPr>
          <w:p>
            <w:pPr>
              <w:pStyle w:val="TableParagraph"/>
              <w:spacing w:before="55"/>
              <w:ind w:left="99" w:right="65"/>
              <w:jc w:val="center"/>
              <w:rPr>
                <w:sz w:val="18"/>
              </w:rPr>
            </w:pPr>
            <w:r>
              <w:rPr>
                <w:sz w:val="18"/>
              </w:rPr>
              <w:t>涂刷法、浸渍法</w:t>
            </w:r>
          </w:p>
        </w:tc>
      </w:tr>
      <w:tr>
        <w:tblPrEx>
          <w:tblW w:w="0" w:type="auto"/>
          <w:jc w:val="left"/>
          <w:tblInd w:w="731" w:type="dxa"/>
          <w:tblLayout w:type="fixed"/>
          <w:tblCellMar>
            <w:top w:w="0" w:type="dxa"/>
            <w:left w:w="0" w:type="dxa"/>
            <w:bottom w:w="0" w:type="dxa"/>
            <w:right w:w="0" w:type="dxa"/>
          </w:tblCellMar>
          <w:tblLook w:val="01E0"/>
        </w:tblPrEx>
        <w:trPr>
          <w:trHeight w:val="340"/>
          <w:jc w:val="left"/>
        </w:trPr>
        <w:tc>
          <w:tcPr>
            <w:tcW w:w="1102" w:type="dxa"/>
            <w:vMerge/>
            <w:tcBorders>
              <w:top w:val="nil"/>
              <w:bottom w:val="single" w:sz="4" w:space="0" w:color="000000"/>
              <w:right w:val="single" w:sz="4" w:space="0" w:color="000000"/>
            </w:tcBorders>
          </w:tcPr>
          <w:p>
            <w:pPr>
              <w:rPr>
                <w:sz w:val="2"/>
                <w:szCs w:val="2"/>
              </w:rPr>
            </w:pPr>
          </w:p>
        </w:tc>
        <w:tc>
          <w:tcPr>
            <w:tcW w:w="1416" w:type="dxa"/>
            <w:tcBorders>
              <w:top w:val="single" w:sz="4" w:space="0" w:color="000000"/>
              <w:left w:val="single" w:sz="4" w:space="0" w:color="000000"/>
              <w:bottom w:val="single" w:sz="4" w:space="0" w:color="000000"/>
              <w:right w:val="single" w:sz="4" w:space="0" w:color="000000"/>
            </w:tcBorders>
          </w:tcPr>
          <w:p>
            <w:pPr>
              <w:pStyle w:val="TableParagraph"/>
              <w:spacing w:before="52"/>
              <w:ind w:left="154" w:right="131"/>
              <w:jc w:val="center"/>
              <w:rPr>
                <w:sz w:val="18"/>
              </w:rPr>
            </w:pPr>
            <w:r>
              <w:rPr>
                <w:sz w:val="18"/>
              </w:rPr>
              <w:t>木窗帘盒</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52"/>
              <w:ind w:left="152" w:right="129"/>
              <w:jc w:val="center"/>
              <w:rPr>
                <w:sz w:val="18"/>
              </w:rPr>
            </w:pPr>
            <w:r>
              <w:rPr>
                <w:sz w:val="18"/>
              </w:rPr>
              <w:t>窗帘盒底板</w:t>
            </w:r>
          </w:p>
        </w:tc>
        <w:tc>
          <w:tcPr>
            <w:tcW w:w="2205" w:type="dxa"/>
            <w:tcBorders>
              <w:top w:val="single" w:sz="4" w:space="0" w:color="000000"/>
              <w:left w:val="single" w:sz="4" w:space="0" w:color="000000"/>
              <w:bottom w:val="single" w:sz="4" w:space="0" w:color="000000"/>
            </w:tcBorders>
          </w:tcPr>
          <w:p>
            <w:pPr>
              <w:pStyle w:val="TableParagraph"/>
              <w:spacing w:before="52"/>
              <w:ind w:left="99" w:right="65"/>
              <w:jc w:val="center"/>
              <w:rPr>
                <w:sz w:val="18"/>
              </w:rPr>
            </w:pPr>
            <w:r>
              <w:rPr>
                <w:sz w:val="18"/>
              </w:rPr>
              <w:t>涂刷法</w:t>
            </w:r>
          </w:p>
        </w:tc>
      </w:tr>
      <w:tr>
        <w:tblPrEx>
          <w:tblW w:w="0" w:type="auto"/>
          <w:jc w:val="left"/>
          <w:tblInd w:w="731" w:type="dxa"/>
          <w:tblLayout w:type="fixed"/>
          <w:tblCellMar>
            <w:top w:w="0" w:type="dxa"/>
            <w:left w:w="0" w:type="dxa"/>
            <w:bottom w:w="0" w:type="dxa"/>
            <w:right w:w="0" w:type="dxa"/>
          </w:tblCellMar>
          <w:tblLook w:val="01E0"/>
        </w:tblPrEx>
        <w:trPr>
          <w:trHeight w:val="340"/>
          <w:jc w:val="left"/>
        </w:trPr>
        <w:tc>
          <w:tcPr>
            <w:tcW w:w="1102" w:type="dxa"/>
            <w:vMerge/>
            <w:tcBorders>
              <w:top w:val="nil"/>
              <w:bottom w:val="single" w:sz="4" w:space="0" w:color="000000"/>
              <w:right w:val="single" w:sz="4" w:space="0" w:color="000000"/>
            </w:tcBorders>
          </w:tcPr>
          <w:p>
            <w:pPr>
              <w:rPr>
                <w:sz w:val="2"/>
                <w:szCs w:val="2"/>
              </w:rPr>
            </w:pPr>
          </w:p>
        </w:tc>
        <w:tc>
          <w:tcPr>
            <w:tcW w:w="1416" w:type="dxa"/>
            <w:tcBorders>
              <w:top w:val="single" w:sz="4" w:space="0" w:color="000000"/>
              <w:left w:val="single" w:sz="4" w:space="0" w:color="000000"/>
              <w:bottom w:val="single" w:sz="4" w:space="0" w:color="000000"/>
              <w:right w:val="single" w:sz="4" w:space="0" w:color="000000"/>
            </w:tcBorders>
          </w:tcPr>
          <w:p>
            <w:pPr>
              <w:pStyle w:val="TableParagraph"/>
              <w:spacing w:before="52"/>
              <w:ind w:left="154" w:right="129"/>
              <w:jc w:val="center"/>
              <w:rPr>
                <w:sz w:val="18"/>
              </w:rPr>
            </w:pPr>
            <w:r>
              <w:rPr>
                <w:sz w:val="18"/>
              </w:rPr>
              <w:t>固定木橱柜</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52"/>
              <w:ind w:left="152" w:right="129"/>
              <w:jc w:val="center"/>
              <w:rPr>
                <w:sz w:val="18"/>
              </w:rPr>
            </w:pPr>
            <w:r>
              <w:rPr>
                <w:sz w:val="18"/>
              </w:rPr>
              <w:t>靠墙侧板、底板</w:t>
            </w:r>
          </w:p>
        </w:tc>
        <w:tc>
          <w:tcPr>
            <w:tcW w:w="2205" w:type="dxa"/>
            <w:tcBorders>
              <w:top w:val="single" w:sz="4" w:space="0" w:color="000000"/>
              <w:left w:val="single" w:sz="4" w:space="0" w:color="000000"/>
              <w:bottom w:val="single" w:sz="4" w:space="0" w:color="000000"/>
            </w:tcBorders>
          </w:tcPr>
          <w:p>
            <w:pPr>
              <w:pStyle w:val="TableParagraph"/>
              <w:spacing w:before="52"/>
              <w:ind w:left="99" w:right="65"/>
              <w:jc w:val="center"/>
              <w:rPr>
                <w:sz w:val="18"/>
              </w:rPr>
            </w:pPr>
            <w:r>
              <w:rPr>
                <w:sz w:val="18"/>
              </w:rPr>
              <w:t>涂刷法</w:t>
            </w:r>
          </w:p>
        </w:tc>
      </w:tr>
      <w:tr>
        <w:tblPrEx>
          <w:tblW w:w="0" w:type="auto"/>
          <w:jc w:val="left"/>
          <w:tblInd w:w="731" w:type="dxa"/>
          <w:tblLayout w:type="fixed"/>
          <w:tblCellMar>
            <w:top w:w="0" w:type="dxa"/>
            <w:left w:w="0" w:type="dxa"/>
            <w:bottom w:w="0" w:type="dxa"/>
            <w:right w:w="0" w:type="dxa"/>
          </w:tblCellMar>
          <w:tblLook w:val="01E0"/>
        </w:tblPrEx>
        <w:trPr>
          <w:trHeight w:val="340"/>
          <w:jc w:val="left"/>
        </w:trPr>
        <w:tc>
          <w:tcPr>
            <w:tcW w:w="1102" w:type="dxa"/>
            <w:vMerge/>
            <w:tcBorders>
              <w:top w:val="nil"/>
              <w:bottom w:val="single" w:sz="4" w:space="0" w:color="000000"/>
              <w:right w:val="single" w:sz="4" w:space="0" w:color="000000"/>
            </w:tcBorders>
          </w:tcPr>
          <w:p>
            <w:pPr>
              <w:rPr>
                <w:sz w:val="2"/>
                <w:szCs w:val="2"/>
              </w:rPr>
            </w:pPr>
          </w:p>
        </w:tc>
        <w:tc>
          <w:tcPr>
            <w:tcW w:w="1416" w:type="dxa"/>
            <w:tcBorders>
              <w:top w:val="single" w:sz="4" w:space="0" w:color="000000"/>
              <w:left w:val="single" w:sz="4" w:space="0" w:color="000000"/>
              <w:bottom w:val="single" w:sz="4" w:space="0" w:color="000000"/>
              <w:right w:val="single" w:sz="4" w:space="0" w:color="000000"/>
            </w:tcBorders>
          </w:tcPr>
          <w:p>
            <w:pPr>
              <w:pStyle w:val="TableParagraph"/>
              <w:spacing w:before="52"/>
              <w:ind w:left="154" w:right="131"/>
              <w:jc w:val="center"/>
              <w:rPr>
                <w:sz w:val="18"/>
              </w:rPr>
            </w:pPr>
            <w:r>
              <w:rPr>
                <w:sz w:val="18"/>
              </w:rPr>
              <w:t>木扶手、护栏</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52"/>
              <w:ind w:left="152" w:right="125"/>
              <w:jc w:val="center"/>
              <w:rPr>
                <w:sz w:val="18"/>
              </w:rPr>
            </w:pPr>
            <w:r>
              <w:rPr>
                <w:sz w:val="18"/>
              </w:rPr>
              <w:t>近地端 500mm</w:t>
            </w:r>
          </w:p>
        </w:tc>
        <w:tc>
          <w:tcPr>
            <w:tcW w:w="2205" w:type="dxa"/>
            <w:tcBorders>
              <w:top w:val="single" w:sz="4" w:space="0" w:color="000000"/>
              <w:left w:val="single" w:sz="4" w:space="0" w:color="000000"/>
              <w:bottom w:val="single" w:sz="4" w:space="0" w:color="000000"/>
            </w:tcBorders>
          </w:tcPr>
          <w:p>
            <w:pPr>
              <w:pStyle w:val="TableParagraph"/>
              <w:spacing w:before="52"/>
              <w:ind w:left="99" w:right="65"/>
              <w:jc w:val="center"/>
              <w:rPr>
                <w:sz w:val="18"/>
              </w:rPr>
            </w:pPr>
            <w:r>
              <w:rPr>
                <w:sz w:val="18"/>
              </w:rPr>
              <w:t>涂刷法</w:t>
            </w:r>
          </w:p>
        </w:tc>
      </w:tr>
      <w:tr>
        <w:tblPrEx>
          <w:tblW w:w="0" w:type="auto"/>
          <w:jc w:val="left"/>
          <w:tblInd w:w="731" w:type="dxa"/>
          <w:tblLayout w:type="fixed"/>
          <w:tblCellMar>
            <w:top w:w="0" w:type="dxa"/>
            <w:left w:w="0" w:type="dxa"/>
            <w:bottom w:w="0" w:type="dxa"/>
            <w:right w:w="0" w:type="dxa"/>
          </w:tblCellMar>
          <w:tblLook w:val="01E0"/>
        </w:tblPrEx>
        <w:trPr>
          <w:trHeight w:val="340"/>
          <w:jc w:val="left"/>
        </w:trPr>
        <w:tc>
          <w:tcPr>
            <w:tcW w:w="1102" w:type="dxa"/>
            <w:vMerge/>
            <w:tcBorders>
              <w:top w:val="nil"/>
              <w:bottom w:val="single" w:sz="4" w:space="0" w:color="000000"/>
              <w:right w:val="single" w:sz="4" w:space="0" w:color="000000"/>
            </w:tcBorders>
          </w:tcPr>
          <w:p>
            <w:pPr>
              <w:rPr>
                <w:sz w:val="2"/>
                <w:szCs w:val="2"/>
              </w:rPr>
            </w:pPr>
          </w:p>
        </w:tc>
        <w:tc>
          <w:tcPr>
            <w:tcW w:w="1416" w:type="dxa"/>
            <w:tcBorders>
              <w:top w:val="single" w:sz="4" w:space="0" w:color="000000"/>
              <w:left w:val="single" w:sz="4" w:space="0" w:color="000000"/>
              <w:bottom w:val="single" w:sz="4" w:space="0" w:color="000000"/>
              <w:right w:val="single" w:sz="4" w:space="0" w:color="000000"/>
            </w:tcBorders>
          </w:tcPr>
          <w:p>
            <w:pPr>
              <w:pStyle w:val="TableParagraph"/>
              <w:spacing w:before="52"/>
              <w:ind w:left="154" w:right="129"/>
              <w:jc w:val="center"/>
              <w:rPr>
                <w:sz w:val="18"/>
              </w:rPr>
            </w:pPr>
            <w:r>
              <w:rPr>
                <w:sz w:val="18"/>
              </w:rPr>
              <w:t>木花饰</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52"/>
              <w:ind w:left="152" w:right="127"/>
              <w:jc w:val="center"/>
              <w:rPr>
                <w:sz w:val="18"/>
              </w:rPr>
            </w:pPr>
            <w:r>
              <w:rPr>
                <w:sz w:val="18"/>
              </w:rPr>
              <w:t>贴墙部分</w:t>
            </w:r>
          </w:p>
        </w:tc>
        <w:tc>
          <w:tcPr>
            <w:tcW w:w="2205" w:type="dxa"/>
            <w:tcBorders>
              <w:top w:val="single" w:sz="4" w:space="0" w:color="000000"/>
              <w:left w:val="single" w:sz="4" w:space="0" w:color="000000"/>
              <w:bottom w:val="single" w:sz="4" w:space="0" w:color="000000"/>
            </w:tcBorders>
          </w:tcPr>
          <w:p>
            <w:pPr>
              <w:pStyle w:val="TableParagraph"/>
              <w:spacing w:before="52"/>
              <w:ind w:left="99" w:right="65"/>
              <w:jc w:val="center"/>
              <w:rPr>
                <w:sz w:val="18"/>
              </w:rPr>
            </w:pPr>
            <w:r>
              <w:rPr>
                <w:sz w:val="18"/>
              </w:rPr>
              <w:t>涂刷法</w:t>
            </w:r>
          </w:p>
        </w:tc>
      </w:tr>
      <w:tr>
        <w:tblPrEx>
          <w:tblW w:w="0" w:type="auto"/>
          <w:jc w:val="left"/>
          <w:tblInd w:w="731" w:type="dxa"/>
          <w:tblLayout w:type="fixed"/>
          <w:tblCellMar>
            <w:top w:w="0" w:type="dxa"/>
            <w:left w:w="0" w:type="dxa"/>
            <w:bottom w:w="0" w:type="dxa"/>
            <w:right w:w="0" w:type="dxa"/>
          </w:tblCellMar>
          <w:tblLook w:val="01E0"/>
        </w:tblPrEx>
        <w:trPr>
          <w:trHeight w:val="337"/>
          <w:jc w:val="left"/>
        </w:trPr>
        <w:tc>
          <w:tcPr>
            <w:tcW w:w="2518" w:type="dxa"/>
            <w:gridSpan w:val="2"/>
            <w:tcBorders>
              <w:top w:val="single" w:sz="4" w:space="0" w:color="000000"/>
              <w:bottom w:val="single" w:sz="4" w:space="0" w:color="000000"/>
              <w:right w:val="single" w:sz="4" w:space="0" w:color="000000"/>
            </w:tcBorders>
          </w:tcPr>
          <w:p>
            <w:pPr>
              <w:pStyle w:val="TableParagraph"/>
              <w:spacing w:before="52"/>
              <w:ind w:left="717"/>
              <w:rPr>
                <w:sz w:val="18"/>
              </w:rPr>
            </w:pPr>
            <w:r>
              <w:rPr>
                <w:sz w:val="18"/>
              </w:rPr>
              <w:t>墙面铺装工程</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52"/>
              <w:ind w:left="152" w:right="129"/>
              <w:jc w:val="center"/>
              <w:rPr>
                <w:sz w:val="18"/>
              </w:rPr>
            </w:pPr>
            <w:r>
              <w:rPr>
                <w:sz w:val="18"/>
              </w:rPr>
              <w:t>木砖、木楔、木龙骨、木质基层板、木踢脚</w:t>
            </w:r>
          </w:p>
        </w:tc>
        <w:tc>
          <w:tcPr>
            <w:tcW w:w="2205" w:type="dxa"/>
            <w:tcBorders>
              <w:top w:val="single" w:sz="4" w:space="0" w:color="000000"/>
              <w:left w:val="single" w:sz="4" w:space="0" w:color="000000"/>
              <w:bottom w:val="single" w:sz="4" w:space="0" w:color="000000"/>
            </w:tcBorders>
          </w:tcPr>
          <w:p>
            <w:pPr>
              <w:pStyle w:val="TableParagraph"/>
              <w:spacing w:before="52"/>
              <w:ind w:left="99" w:right="65"/>
              <w:jc w:val="center"/>
              <w:rPr>
                <w:sz w:val="18"/>
              </w:rPr>
            </w:pPr>
            <w:r>
              <w:rPr>
                <w:sz w:val="18"/>
              </w:rPr>
              <w:t>涂刷法、喷洒法、浸渍法</w:t>
            </w:r>
          </w:p>
        </w:tc>
      </w:tr>
      <w:tr>
        <w:tblPrEx>
          <w:tblW w:w="0" w:type="auto"/>
          <w:jc w:val="left"/>
          <w:tblInd w:w="731" w:type="dxa"/>
          <w:tblLayout w:type="fixed"/>
          <w:tblCellMar>
            <w:top w:w="0" w:type="dxa"/>
            <w:left w:w="0" w:type="dxa"/>
            <w:bottom w:w="0" w:type="dxa"/>
            <w:right w:w="0" w:type="dxa"/>
          </w:tblCellMar>
          <w:tblLook w:val="01E0"/>
        </w:tblPrEx>
        <w:trPr>
          <w:trHeight w:val="339"/>
          <w:jc w:val="left"/>
        </w:trPr>
        <w:tc>
          <w:tcPr>
            <w:tcW w:w="2518" w:type="dxa"/>
            <w:gridSpan w:val="2"/>
            <w:tcBorders>
              <w:top w:val="single" w:sz="4" w:space="0" w:color="000000"/>
              <w:right w:val="single" w:sz="4" w:space="0" w:color="000000"/>
            </w:tcBorders>
          </w:tcPr>
          <w:p>
            <w:pPr>
              <w:pStyle w:val="TableParagraph"/>
              <w:spacing w:before="55"/>
              <w:ind w:left="717"/>
              <w:rPr>
                <w:sz w:val="18"/>
              </w:rPr>
            </w:pPr>
            <w:r>
              <w:rPr>
                <w:sz w:val="18"/>
              </w:rPr>
              <w:t>地面铺装工程</w:t>
            </w:r>
          </w:p>
        </w:tc>
        <w:tc>
          <w:tcPr>
            <w:tcW w:w="4111" w:type="dxa"/>
            <w:tcBorders>
              <w:top w:val="single" w:sz="4" w:space="0" w:color="000000"/>
              <w:left w:val="single" w:sz="4" w:space="0" w:color="000000"/>
              <w:right w:val="single" w:sz="4" w:space="0" w:color="000000"/>
            </w:tcBorders>
          </w:tcPr>
          <w:p>
            <w:pPr>
              <w:pStyle w:val="TableParagraph"/>
              <w:spacing w:before="55"/>
              <w:ind w:left="152" w:right="127"/>
              <w:jc w:val="center"/>
              <w:rPr>
                <w:sz w:val="18"/>
              </w:rPr>
            </w:pPr>
            <w:r>
              <w:rPr>
                <w:sz w:val="18"/>
              </w:rPr>
              <w:t>木龙骨、垫木、毛地板</w:t>
            </w:r>
          </w:p>
        </w:tc>
        <w:tc>
          <w:tcPr>
            <w:tcW w:w="2205" w:type="dxa"/>
            <w:tcBorders>
              <w:top w:val="single" w:sz="4" w:space="0" w:color="000000"/>
              <w:left w:val="single" w:sz="4" w:space="0" w:color="000000"/>
            </w:tcBorders>
          </w:tcPr>
          <w:p>
            <w:pPr>
              <w:pStyle w:val="TableParagraph"/>
              <w:spacing w:before="55"/>
              <w:ind w:left="99" w:right="65"/>
              <w:jc w:val="center"/>
              <w:rPr>
                <w:sz w:val="18"/>
              </w:rPr>
            </w:pPr>
            <w:r>
              <w:rPr>
                <w:sz w:val="18"/>
              </w:rPr>
              <w:t>涂刷法、喷洒法、浸渍法</w:t>
            </w:r>
          </w:p>
        </w:tc>
      </w:tr>
    </w:tbl>
    <w:p>
      <w:pPr>
        <w:pStyle w:val="BodyText"/>
        <w:spacing w:before="12"/>
        <w:rPr>
          <w:rFonts w:ascii="黑体"/>
          <w:sz w:val="25"/>
        </w:rPr>
      </w:pPr>
    </w:p>
    <w:p>
      <w:pPr>
        <w:pStyle w:val="ListParagraph"/>
        <w:numPr>
          <w:ilvl w:val="0"/>
          <w:numId w:val="35"/>
        </w:numPr>
        <w:tabs>
          <w:tab w:val="left" w:pos="1816"/>
        </w:tabs>
        <w:spacing w:before="0" w:after="0" w:line="278" w:lineRule="auto"/>
        <w:ind w:left="1815" w:right="856" w:hanging="421"/>
        <w:jc w:val="left"/>
        <w:rPr>
          <w:sz w:val="21"/>
        </w:rPr>
      </w:pPr>
      <w:r>
        <w:rPr>
          <w:spacing w:val="-6"/>
          <w:sz w:val="21"/>
        </w:rPr>
        <w:t xml:space="preserve">采用涂刷法或喷洒法处理木构件时，不应少于 </w:t>
      </w:r>
      <w:r>
        <w:rPr>
          <w:sz w:val="21"/>
        </w:rPr>
        <w:t>2</w:t>
      </w:r>
      <w:r>
        <w:rPr>
          <w:spacing w:val="-12"/>
          <w:sz w:val="21"/>
        </w:rPr>
        <w:t xml:space="preserve"> 次，保证每平方米木构件吸收药剂</w:t>
      </w:r>
      <w:r>
        <w:rPr>
          <w:spacing w:val="-14"/>
          <w:sz w:val="21"/>
        </w:rPr>
        <w:t xml:space="preserve">不少于 </w:t>
      </w:r>
      <w:r>
        <w:rPr>
          <w:sz w:val="21"/>
        </w:rPr>
        <w:t>200mL；</w:t>
      </w:r>
    </w:p>
    <w:p>
      <w:pPr>
        <w:pStyle w:val="ListParagraph"/>
        <w:numPr>
          <w:ilvl w:val="0"/>
          <w:numId w:val="35"/>
        </w:numPr>
        <w:tabs>
          <w:tab w:val="left" w:pos="1816"/>
        </w:tabs>
        <w:spacing w:before="0" w:after="0" w:line="278" w:lineRule="auto"/>
        <w:ind w:left="1815" w:right="768" w:hanging="421"/>
        <w:jc w:val="left"/>
        <w:rPr>
          <w:sz w:val="21"/>
        </w:rPr>
      </w:pPr>
      <w:r>
        <w:rPr>
          <w:spacing w:val="-1"/>
          <w:sz w:val="21"/>
        </w:rPr>
        <w:t xml:space="preserve">木构件经白蚁预防药物处理后，应避免重新切割或钻孔；确有必要做局部修整时， </w:t>
      </w:r>
      <w:r>
        <w:rPr>
          <w:sz w:val="21"/>
        </w:rPr>
        <w:t>对新形成的断面须进行重新处理。</w:t>
      </w:r>
    </w:p>
    <w:p>
      <w:pPr>
        <w:pStyle w:val="ListParagraph"/>
        <w:numPr>
          <w:ilvl w:val="3"/>
          <w:numId w:val="41"/>
        </w:numPr>
        <w:tabs>
          <w:tab w:val="left" w:pos="1920"/>
          <w:tab w:val="left" w:pos="1921"/>
        </w:tabs>
        <w:spacing w:before="155" w:after="0" w:line="240" w:lineRule="auto"/>
        <w:ind w:left="1920" w:right="0" w:hanging="946"/>
        <w:jc w:val="left"/>
        <w:rPr>
          <w:rFonts w:ascii="黑体" w:eastAsia="黑体" w:hint="eastAsia"/>
          <w:sz w:val="21"/>
        </w:rPr>
      </w:pPr>
      <w:r>
        <w:rPr>
          <w:rFonts w:ascii="黑体" w:eastAsia="黑体" w:hint="eastAsia"/>
          <w:sz w:val="21"/>
        </w:rPr>
        <w:t>监测控制系统</w:t>
      </w:r>
    </w:p>
    <w:p>
      <w:pPr>
        <w:pStyle w:val="BodyText"/>
        <w:spacing w:before="7"/>
        <w:rPr>
          <w:rFonts w:ascii="黑体"/>
          <w:sz w:val="15"/>
        </w:rPr>
      </w:pPr>
    </w:p>
    <w:p>
      <w:pPr>
        <w:pStyle w:val="ListParagraph"/>
        <w:numPr>
          <w:ilvl w:val="4"/>
          <w:numId w:val="34"/>
        </w:numPr>
        <w:tabs>
          <w:tab w:val="left" w:pos="2132"/>
        </w:tabs>
        <w:spacing w:before="0" w:after="0" w:line="240" w:lineRule="auto"/>
        <w:ind w:left="2131" w:right="0" w:hanging="1157"/>
        <w:jc w:val="both"/>
        <w:rPr>
          <w:sz w:val="21"/>
        </w:rPr>
      </w:pPr>
      <w:r>
        <w:rPr>
          <w:sz w:val="21"/>
        </w:rPr>
        <w:t>新建房屋室外地坪应安装地下型监测控制系统。</w:t>
      </w:r>
    </w:p>
    <w:p>
      <w:pPr>
        <w:pStyle w:val="ListParagraph"/>
        <w:numPr>
          <w:ilvl w:val="4"/>
          <w:numId w:val="34"/>
        </w:numPr>
        <w:tabs>
          <w:tab w:val="left" w:pos="2132"/>
        </w:tabs>
        <w:spacing w:before="43" w:after="0" w:line="240" w:lineRule="auto"/>
        <w:ind w:left="2131" w:right="0" w:hanging="1157"/>
        <w:jc w:val="both"/>
        <w:rPr>
          <w:sz w:val="21"/>
        </w:rPr>
      </w:pPr>
      <w:r>
        <w:rPr>
          <w:sz w:val="21"/>
        </w:rPr>
        <w:t>地下型监测装置的安装：</w:t>
      </w:r>
    </w:p>
    <w:p>
      <w:pPr>
        <w:pStyle w:val="ListParagraph"/>
        <w:numPr>
          <w:ilvl w:val="5"/>
          <w:numId w:val="34"/>
        </w:numPr>
        <w:tabs>
          <w:tab w:val="left" w:pos="1816"/>
        </w:tabs>
        <w:spacing w:before="43" w:after="0" w:line="240" w:lineRule="auto"/>
        <w:ind w:left="1815" w:right="0" w:hanging="421"/>
        <w:jc w:val="both"/>
        <w:rPr>
          <w:sz w:val="21"/>
        </w:rPr>
      </w:pPr>
      <w:r>
        <w:rPr>
          <w:w w:val="95"/>
          <w:sz w:val="21"/>
        </w:rPr>
        <w:t>地下型监测装置应在房屋建成、室外绿化完工后，房屋整体交付使用前安装；</w:t>
      </w:r>
    </w:p>
    <w:p>
      <w:pPr>
        <w:pStyle w:val="ListParagraph"/>
        <w:numPr>
          <w:ilvl w:val="5"/>
          <w:numId w:val="34"/>
        </w:numPr>
        <w:tabs>
          <w:tab w:val="left" w:pos="1816"/>
        </w:tabs>
        <w:spacing w:before="43" w:after="0" w:line="240" w:lineRule="auto"/>
        <w:ind w:left="1815" w:right="0" w:hanging="421"/>
        <w:jc w:val="both"/>
        <w:rPr>
          <w:sz w:val="21"/>
        </w:rPr>
      </w:pPr>
      <w:r>
        <w:rPr>
          <w:w w:val="95"/>
          <w:sz w:val="21"/>
        </w:rPr>
        <w:t>安装之前应掌握安装区域地下管线分布情况，避免安装监测装置时造成破坏；</w:t>
      </w:r>
    </w:p>
    <w:p>
      <w:pPr>
        <w:pStyle w:val="ListParagraph"/>
        <w:numPr>
          <w:ilvl w:val="5"/>
          <w:numId w:val="34"/>
        </w:numPr>
        <w:tabs>
          <w:tab w:val="left" w:pos="1818"/>
        </w:tabs>
        <w:spacing w:before="43" w:after="0" w:line="278" w:lineRule="auto"/>
        <w:ind w:left="1815" w:right="856" w:hanging="421"/>
        <w:jc w:val="both"/>
        <w:rPr>
          <w:sz w:val="21"/>
        </w:rPr>
      </w:pPr>
      <w:r>
        <w:rPr>
          <w:sz w:val="21"/>
        </w:rPr>
        <w:t>地下型监测装置宜安装在房屋四周、离外墙 300mm～1000mm 范围内的土壤中，有</w:t>
      </w:r>
      <w:r>
        <w:rPr>
          <w:spacing w:val="-2"/>
          <w:sz w:val="21"/>
        </w:rPr>
        <w:t xml:space="preserve">散水坡的，沿散水坡外沿 </w:t>
      </w:r>
      <w:r>
        <w:rPr>
          <w:sz w:val="21"/>
        </w:rPr>
        <w:t>100mm～500mm</w:t>
      </w:r>
      <w:r>
        <w:rPr>
          <w:spacing w:val="-2"/>
          <w:sz w:val="21"/>
        </w:rPr>
        <w:t xml:space="preserve"> 范围内安装，安装的间距宜为 </w:t>
      </w:r>
      <w:r>
        <w:rPr>
          <w:sz w:val="21"/>
        </w:rPr>
        <w:t>3000mm～ 5000mm；</w:t>
      </w:r>
    </w:p>
    <w:p>
      <w:pPr>
        <w:pStyle w:val="ListParagraph"/>
        <w:numPr>
          <w:ilvl w:val="5"/>
          <w:numId w:val="34"/>
        </w:numPr>
        <w:tabs>
          <w:tab w:val="left" w:pos="1816"/>
        </w:tabs>
        <w:spacing w:before="0" w:after="0" w:line="269" w:lineRule="exact"/>
        <w:ind w:left="1815" w:right="0" w:hanging="421"/>
        <w:jc w:val="both"/>
        <w:rPr>
          <w:sz w:val="21"/>
        </w:rPr>
      </w:pPr>
      <w:r>
        <w:rPr>
          <w:sz w:val="21"/>
        </w:rPr>
        <w:t>地下型监测装置的安装应符合使用说明书的要求；</w:t>
      </w:r>
    </w:p>
    <w:p>
      <w:pPr>
        <w:pStyle w:val="ListParagraph"/>
        <w:numPr>
          <w:ilvl w:val="5"/>
          <w:numId w:val="34"/>
        </w:numPr>
        <w:tabs>
          <w:tab w:val="left" w:pos="1816"/>
        </w:tabs>
        <w:spacing w:before="43" w:after="0" w:line="278" w:lineRule="auto"/>
        <w:ind w:left="1815" w:right="856" w:hanging="421"/>
        <w:jc w:val="both"/>
        <w:rPr>
          <w:sz w:val="21"/>
        </w:rPr>
      </w:pPr>
      <w:r>
        <w:rPr>
          <w:spacing w:val="-8"/>
          <w:sz w:val="21"/>
        </w:rPr>
        <w:t>对人为活动较为频繁、管理条件较差的安装环境，应选择埋设在地表以下的监测装</w:t>
      </w:r>
      <w:r>
        <w:rPr>
          <w:sz w:val="21"/>
        </w:rPr>
        <w:t>置，监测装置上覆盖 30mm～50mm</w:t>
      </w:r>
      <w:r>
        <w:rPr>
          <w:spacing w:val="-2"/>
          <w:sz w:val="21"/>
        </w:rPr>
        <w:t xml:space="preserve"> 的土壤。</w:t>
      </w:r>
    </w:p>
    <w:p>
      <w:pPr>
        <w:pStyle w:val="ListParagraph"/>
        <w:numPr>
          <w:ilvl w:val="4"/>
          <w:numId w:val="34"/>
        </w:numPr>
        <w:tabs>
          <w:tab w:val="left" w:pos="2132"/>
        </w:tabs>
        <w:spacing w:before="0" w:after="0" w:line="240" w:lineRule="auto"/>
        <w:ind w:left="2131" w:right="0" w:hanging="1157"/>
        <w:jc w:val="both"/>
        <w:rPr>
          <w:sz w:val="21"/>
        </w:rPr>
      </w:pPr>
      <w:r>
        <w:rPr>
          <w:sz w:val="21"/>
        </w:rPr>
        <w:t>地下型监测装置的检查：</w:t>
      </w:r>
    </w:p>
    <w:p>
      <w:pPr>
        <w:pStyle w:val="ListParagraph"/>
        <w:numPr>
          <w:ilvl w:val="5"/>
          <w:numId w:val="34"/>
        </w:numPr>
        <w:tabs>
          <w:tab w:val="left" w:pos="1816"/>
        </w:tabs>
        <w:spacing w:before="43" w:after="0" w:line="240" w:lineRule="auto"/>
        <w:ind w:left="1815" w:right="0" w:hanging="421"/>
        <w:jc w:val="both"/>
        <w:rPr>
          <w:sz w:val="21"/>
        </w:rPr>
      </w:pPr>
      <w:r>
        <w:rPr>
          <w:sz w:val="21"/>
        </w:rPr>
        <w:t>安装地下型监测装置后监测装置内发现白蚁后，应定期进行检查；</w:t>
      </w:r>
    </w:p>
    <w:p>
      <w:pPr>
        <w:pStyle w:val="ListParagraph"/>
        <w:numPr>
          <w:ilvl w:val="5"/>
          <w:numId w:val="34"/>
        </w:numPr>
        <w:tabs>
          <w:tab w:val="left" w:pos="1816"/>
        </w:tabs>
        <w:spacing w:before="42" w:after="0" w:line="240" w:lineRule="auto"/>
        <w:ind w:left="1815" w:right="0" w:hanging="421"/>
        <w:jc w:val="both"/>
        <w:rPr>
          <w:sz w:val="21"/>
        </w:rPr>
      </w:pPr>
      <w:r>
        <w:rPr>
          <w:sz w:val="21"/>
        </w:rPr>
        <w:t>安装后的检查频次与时间：</w:t>
      </w:r>
    </w:p>
    <w:p>
      <w:pPr>
        <w:spacing w:after="0" w:line="240" w:lineRule="auto"/>
        <w:jc w:val="both"/>
        <w:rPr>
          <w:sz w:val="21"/>
        </w:rPr>
        <w:sectPr>
          <w:headerReference w:type="even" r:id="rId39"/>
          <w:headerReference w:type="default" r:id="rId40"/>
          <w:footerReference w:type="even" r:id="rId41"/>
          <w:footerReference w:type="default" r:id="rId42"/>
          <w:pgSz w:w="11910" w:h="16840"/>
          <w:pgMar w:top="1080" w:right="940" w:bottom="1400" w:left="820" w:header="881" w:footer="1204"/>
          <w:pgNumType w:start="6"/>
          <w:cols w:space="708"/>
        </w:sectPr>
      </w:pPr>
    </w:p>
    <w:p>
      <w:pPr>
        <w:pStyle w:val="BodyText"/>
        <w:spacing w:before="5"/>
        <w:rPr>
          <w:sz w:val="23"/>
        </w:rPr>
      </w:pPr>
    </w:p>
    <w:p>
      <w:pPr>
        <w:pStyle w:val="ListParagraph"/>
        <w:numPr>
          <w:ilvl w:val="6"/>
          <w:numId w:val="34"/>
        </w:numPr>
        <w:tabs>
          <w:tab w:val="left" w:pos="2235"/>
          <w:tab w:val="left" w:pos="2236"/>
        </w:tabs>
        <w:spacing w:before="70" w:after="0" w:line="240" w:lineRule="auto"/>
        <w:ind w:left="2235" w:right="0" w:hanging="421"/>
        <w:jc w:val="left"/>
        <w:rPr>
          <w:sz w:val="21"/>
        </w:rPr>
      </w:pPr>
      <w:r>
        <w:rPr>
          <w:spacing w:val="-1"/>
          <w:sz w:val="21"/>
        </w:rPr>
        <w:t xml:space="preserve">乳白蚁：一年检查不少于 </w:t>
      </w:r>
      <w:r>
        <w:rPr>
          <w:sz w:val="21"/>
        </w:rPr>
        <w:t>4</w:t>
      </w:r>
      <w:r>
        <w:rPr>
          <w:spacing w:val="-2"/>
          <w:sz w:val="21"/>
        </w:rPr>
        <w:t xml:space="preserve"> 次，检查时间为 </w:t>
      </w:r>
      <w:r>
        <w:rPr>
          <w:sz w:val="21"/>
        </w:rPr>
        <w:t>3</w:t>
      </w:r>
      <w:r>
        <w:rPr>
          <w:spacing w:val="-1"/>
          <w:sz w:val="21"/>
        </w:rPr>
        <w:t xml:space="preserve"> 月</w:t>
      </w:r>
      <w:r>
        <w:rPr>
          <w:sz w:val="21"/>
        </w:rPr>
        <w:t>～11</w:t>
      </w:r>
      <w:r>
        <w:rPr>
          <w:spacing w:val="-1"/>
          <w:sz w:val="21"/>
        </w:rPr>
        <w:t xml:space="preserve"> 月；</w:t>
      </w:r>
    </w:p>
    <w:p>
      <w:pPr>
        <w:pStyle w:val="ListParagraph"/>
        <w:numPr>
          <w:ilvl w:val="6"/>
          <w:numId w:val="34"/>
        </w:numPr>
        <w:tabs>
          <w:tab w:val="left" w:pos="2235"/>
          <w:tab w:val="left" w:pos="2236"/>
        </w:tabs>
        <w:spacing w:before="43" w:after="0" w:line="240" w:lineRule="auto"/>
        <w:ind w:left="2235" w:right="0" w:hanging="421"/>
        <w:jc w:val="left"/>
        <w:rPr>
          <w:sz w:val="21"/>
        </w:rPr>
      </w:pPr>
      <w:r>
        <w:rPr>
          <w:spacing w:val="-1"/>
          <w:sz w:val="21"/>
        </w:rPr>
        <w:t xml:space="preserve">散白蚁：一年检查不少于 </w:t>
      </w:r>
      <w:r>
        <w:rPr>
          <w:sz w:val="21"/>
        </w:rPr>
        <w:t>3</w:t>
      </w:r>
      <w:r>
        <w:rPr>
          <w:spacing w:val="-2"/>
          <w:sz w:val="21"/>
        </w:rPr>
        <w:t xml:space="preserve"> 次，检查时间为 </w:t>
      </w:r>
      <w:r>
        <w:rPr>
          <w:sz w:val="21"/>
        </w:rPr>
        <w:t>3</w:t>
      </w:r>
      <w:r>
        <w:rPr>
          <w:spacing w:val="-1"/>
          <w:sz w:val="21"/>
        </w:rPr>
        <w:t xml:space="preserve"> 月</w:t>
      </w:r>
      <w:r>
        <w:rPr>
          <w:sz w:val="21"/>
        </w:rPr>
        <w:t>～11</w:t>
      </w:r>
      <w:r>
        <w:rPr>
          <w:spacing w:val="-1"/>
          <w:sz w:val="21"/>
        </w:rPr>
        <w:t xml:space="preserve"> 月；</w:t>
      </w:r>
    </w:p>
    <w:p>
      <w:pPr>
        <w:pStyle w:val="BodyText"/>
        <w:spacing w:before="43"/>
        <w:ind w:left="1815"/>
      </w:pPr>
      <w:r>
        <w:t>3） 其他白蚁种类：一年检查不少于 2 次，检查时间为 3 月～11 月。</w:t>
      </w:r>
    </w:p>
    <w:p>
      <w:pPr>
        <w:pStyle w:val="ListParagraph"/>
        <w:numPr>
          <w:ilvl w:val="5"/>
          <w:numId w:val="34"/>
        </w:numPr>
        <w:tabs>
          <w:tab w:val="left" w:pos="1815"/>
          <w:tab w:val="left" w:pos="1816"/>
        </w:tabs>
        <w:spacing w:before="43" w:after="0" w:line="240" w:lineRule="auto"/>
        <w:ind w:left="1815" w:right="0" w:hanging="421"/>
        <w:jc w:val="left"/>
        <w:rPr>
          <w:sz w:val="21"/>
        </w:rPr>
      </w:pPr>
      <w:r>
        <w:rPr>
          <w:sz w:val="21"/>
        </w:rPr>
        <w:t>发现白蚁后的检查频次和时间：</w:t>
      </w:r>
    </w:p>
    <w:p>
      <w:pPr>
        <w:pStyle w:val="ListParagraph"/>
        <w:numPr>
          <w:ilvl w:val="6"/>
          <w:numId w:val="34"/>
        </w:numPr>
        <w:tabs>
          <w:tab w:val="left" w:pos="2235"/>
          <w:tab w:val="left" w:pos="2236"/>
        </w:tabs>
        <w:spacing w:before="43" w:after="0" w:line="278" w:lineRule="auto"/>
        <w:ind w:left="2235" w:right="856" w:hanging="420"/>
        <w:jc w:val="left"/>
        <w:rPr>
          <w:sz w:val="21"/>
        </w:rPr>
      </w:pPr>
      <w:r>
        <w:rPr>
          <w:spacing w:val="-5"/>
          <w:sz w:val="21"/>
        </w:rPr>
        <w:t xml:space="preserve">乳白蚁：每 </w:t>
      </w:r>
      <w:r>
        <w:rPr>
          <w:sz w:val="21"/>
        </w:rPr>
        <w:t>2～3</w:t>
      </w:r>
      <w:r>
        <w:rPr>
          <w:spacing w:val="-6"/>
          <w:sz w:val="21"/>
        </w:rPr>
        <w:t xml:space="preserve"> 周检查一次，投放饵剂后，每 </w:t>
      </w:r>
      <w:r>
        <w:rPr>
          <w:sz w:val="21"/>
        </w:rPr>
        <w:t>2</w:t>
      </w:r>
      <w:r>
        <w:rPr>
          <w:spacing w:val="-1"/>
          <w:sz w:val="21"/>
        </w:rPr>
        <w:t xml:space="preserve"> 周检查 </w:t>
      </w:r>
      <w:r>
        <w:rPr>
          <w:sz w:val="21"/>
        </w:rPr>
        <w:t>1</w:t>
      </w:r>
      <w:r>
        <w:rPr>
          <w:spacing w:val="-6"/>
          <w:sz w:val="21"/>
        </w:rPr>
        <w:t xml:space="preserve"> 次，直至白蚁群</w:t>
      </w:r>
      <w:r>
        <w:rPr>
          <w:sz w:val="21"/>
        </w:rPr>
        <w:t>体被杀灭。</w:t>
      </w:r>
    </w:p>
    <w:p>
      <w:pPr>
        <w:pStyle w:val="ListParagraph"/>
        <w:numPr>
          <w:ilvl w:val="6"/>
          <w:numId w:val="34"/>
        </w:numPr>
        <w:tabs>
          <w:tab w:val="left" w:pos="2235"/>
          <w:tab w:val="left" w:pos="2236"/>
        </w:tabs>
        <w:spacing w:before="0" w:after="0" w:line="278" w:lineRule="auto"/>
        <w:ind w:left="2235" w:right="856" w:hanging="420"/>
        <w:jc w:val="left"/>
        <w:rPr>
          <w:sz w:val="21"/>
        </w:rPr>
      </w:pPr>
      <w:r>
        <w:rPr>
          <w:spacing w:val="-5"/>
          <w:sz w:val="21"/>
        </w:rPr>
        <w:t xml:space="preserve">散白蚁：每 </w:t>
      </w:r>
      <w:r>
        <w:rPr>
          <w:sz w:val="21"/>
        </w:rPr>
        <w:t>3～4</w:t>
      </w:r>
      <w:r>
        <w:rPr>
          <w:spacing w:val="-6"/>
          <w:sz w:val="21"/>
        </w:rPr>
        <w:t xml:space="preserve"> 周检查一次，投放饵剂后，每 </w:t>
      </w:r>
      <w:r>
        <w:rPr>
          <w:sz w:val="21"/>
        </w:rPr>
        <w:t>2</w:t>
      </w:r>
      <w:r>
        <w:rPr>
          <w:spacing w:val="-1"/>
          <w:sz w:val="21"/>
        </w:rPr>
        <w:t xml:space="preserve"> 周检查 </w:t>
      </w:r>
      <w:r>
        <w:rPr>
          <w:sz w:val="21"/>
        </w:rPr>
        <w:t>1</w:t>
      </w:r>
      <w:r>
        <w:rPr>
          <w:spacing w:val="-6"/>
          <w:sz w:val="21"/>
        </w:rPr>
        <w:t xml:space="preserve"> 次，直至白蚁群</w:t>
      </w:r>
      <w:r>
        <w:rPr>
          <w:sz w:val="21"/>
        </w:rPr>
        <w:t>体被杀灭。</w:t>
      </w:r>
    </w:p>
    <w:p>
      <w:pPr>
        <w:pStyle w:val="BodyText"/>
        <w:spacing w:line="269" w:lineRule="exact"/>
        <w:ind w:left="1815"/>
      </w:pPr>
      <w:r>
        <w:t>3） 其他白蚁种类：可根据具体情况合理设置检查周期，直至白蚁群体被杀灭。</w:t>
      </w:r>
    </w:p>
    <w:p>
      <w:pPr>
        <w:pStyle w:val="ListParagraph"/>
        <w:numPr>
          <w:ilvl w:val="4"/>
          <w:numId w:val="34"/>
        </w:numPr>
        <w:tabs>
          <w:tab w:val="left" w:pos="2131"/>
          <w:tab w:val="left" w:pos="2132"/>
        </w:tabs>
        <w:spacing w:before="43" w:after="0" w:line="240" w:lineRule="auto"/>
        <w:ind w:left="2131" w:right="0" w:hanging="1157"/>
        <w:jc w:val="left"/>
        <w:rPr>
          <w:sz w:val="21"/>
        </w:rPr>
      </w:pPr>
      <w:r>
        <w:rPr>
          <w:sz w:val="21"/>
        </w:rPr>
        <w:t>监测到白蚁后的处理：</w:t>
      </w:r>
    </w:p>
    <w:p>
      <w:pPr>
        <w:pStyle w:val="ListParagraph"/>
        <w:numPr>
          <w:ilvl w:val="5"/>
          <w:numId w:val="34"/>
        </w:numPr>
        <w:tabs>
          <w:tab w:val="left" w:pos="1815"/>
          <w:tab w:val="left" w:pos="1816"/>
        </w:tabs>
        <w:spacing w:before="43" w:after="0" w:line="240" w:lineRule="auto"/>
        <w:ind w:left="1815" w:right="0" w:hanging="421"/>
        <w:jc w:val="left"/>
        <w:rPr>
          <w:sz w:val="21"/>
        </w:rPr>
      </w:pPr>
      <w:r>
        <w:rPr>
          <w:spacing w:val="-8"/>
          <w:sz w:val="21"/>
        </w:rPr>
        <w:t xml:space="preserve">当监测装置内发现白蚁，饵料被消耗大约 </w:t>
      </w:r>
      <w:r>
        <w:rPr>
          <w:sz w:val="21"/>
        </w:rPr>
        <w:t>25</w:t>
      </w:r>
      <w:r>
        <w:rPr>
          <w:spacing w:val="-11"/>
          <w:sz w:val="21"/>
        </w:rPr>
        <w:t>%时，应将饵料换成饵剂，并定时检查；</w:t>
      </w:r>
    </w:p>
    <w:p>
      <w:pPr>
        <w:pStyle w:val="ListParagraph"/>
        <w:numPr>
          <w:ilvl w:val="5"/>
          <w:numId w:val="34"/>
        </w:numPr>
        <w:tabs>
          <w:tab w:val="left" w:pos="1815"/>
          <w:tab w:val="left" w:pos="1816"/>
        </w:tabs>
        <w:spacing w:before="43" w:after="0" w:line="240" w:lineRule="auto"/>
        <w:ind w:left="1815" w:right="0" w:hanging="421"/>
        <w:jc w:val="left"/>
        <w:rPr>
          <w:sz w:val="21"/>
        </w:rPr>
      </w:pPr>
      <w:r>
        <w:rPr>
          <w:spacing w:val="-8"/>
          <w:sz w:val="21"/>
        </w:rPr>
        <w:t xml:space="preserve">当饵剂被消耗 </w:t>
      </w:r>
      <w:r>
        <w:rPr>
          <w:sz w:val="21"/>
        </w:rPr>
        <w:t>2/3～3/4，且尚有白蚁时，应添加饵剂，至白蚁群体彻底消灭；</w:t>
      </w:r>
    </w:p>
    <w:p>
      <w:pPr>
        <w:pStyle w:val="ListParagraph"/>
        <w:numPr>
          <w:ilvl w:val="5"/>
          <w:numId w:val="34"/>
        </w:numPr>
        <w:tabs>
          <w:tab w:val="left" w:pos="1815"/>
          <w:tab w:val="left" w:pos="1816"/>
        </w:tabs>
        <w:spacing w:before="43" w:after="0" w:line="240" w:lineRule="auto"/>
        <w:ind w:left="1815" w:right="0" w:hanging="421"/>
        <w:jc w:val="left"/>
        <w:rPr>
          <w:sz w:val="21"/>
        </w:rPr>
      </w:pPr>
      <w:r>
        <w:rPr>
          <w:spacing w:val="-4"/>
          <w:sz w:val="21"/>
        </w:rPr>
        <w:t xml:space="preserve">如白蚁数量很多，应在四周 </w:t>
      </w:r>
      <w:r>
        <w:rPr>
          <w:sz w:val="21"/>
        </w:rPr>
        <w:t>500mm</w:t>
      </w:r>
      <w:r>
        <w:rPr>
          <w:spacing w:val="-1"/>
          <w:sz w:val="21"/>
        </w:rPr>
        <w:t xml:space="preserve"> 范围内添加一定数量的监测装置；</w:t>
      </w:r>
    </w:p>
    <w:p>
      <w:pPr>
        <w:pStyle w:val="ListParagraph"/>
        <w:numPr>
          <w:ilvl w:val="5"/>
          <w:numId w:val="34"/>
        </w:numPr>
        <w:tabs>
          <w:tab w:val="left" w:pos="1816"/>
        </w:tabs>
        <w:spacing w:before="42" w:after="0" w:line="278" w:lineRule="auto"/>
        <w:ind w:left="1815" w:right="856" w:hanging="421"/>
        <w:jc w:val="both"/>
        <w:rPr>
          <w:sz w:val="21"/>
        </w:rPr>
      </w:pPr>
      <w:r>
        <w:rPr>
          <w:spacing w:val="-7"/>
          <w:sz w:val="21"/>
        </w:rPr>
        <w:t>当一个白蚁群体被杀灭后，需对各个地下监测装置进行清理，重新放入饵料或安装</w:t>
      </w:r>
      <w:r>
        <w:rPr>
          <w:spacing w:val="-6"/>
          <w:sz w:val="21"/>
        </w:rPr>
        <w:t>新的监测装置对白蚁活动进行监测，一旦监测到新的白蚁活动，可再次启动白蚁杀</w:t>
      </w:r>
      <w:r>
        <w:rPr>
          <w:sz w:val="21"/>
        </w:rPr>
        <w:t>灭程序。</w:t>
      </w:r>
    </w:p>
    <w:p>
      <w:pPr>
        <w:pStyle w:val="ListParagraph"/>
        <w:numPr>
          <w:ilvl w:val="4"/>
          <w:numId w:val="34"/>
        </w:numPr>
        <w:tabs>
          <w:tab w:val="left" w:pos="2132"/>
        </w:tabs>
        <w:spacing w:before="0" w:after="0" w:line="269" w:lineRule="exact"/>
        <w:ind w:left="2131" w:right="0" w:hanging="1157"/>
        <w:jc w:val="both"/>
        <w:rPr>
          <w:sz w:val="21"/>
        </w:rPr>
      </w:pPr>
      <w:r>
        <w:rPr>
          <w:sz w:val="21"/>
        </w:rPr>
        <w:t>白蚁监测控制系统安装后，应做好以下维护：</w:t>
      </w:r>
    </w:p>
    <w:p>
      <w:pPr>
        <w:pStyle w:val="ListParagraph"/>
        <w:numPr>
          <w:ilvl w:val="5"/>
          <w:numId w:val="34"/>
        </w:numPr>
        <w:tabs>
          <w:tab w:val="left" w:pos="1815"/>
          <w:tab w:val="left" w:pos="1816"/>
        </w:tabs>
        <w:spacing w:before="43" w:after="0" w:line="240" w:lineRule="auto"/>
        <w:ind w:left="1815" w:right="0" w:hanging="421"/>
        <w:jc w:val="left"/>
        <w:rPr>
          <w:sz w:val="21"/>
        </w:rPr>
      </w:pPr>
      <w:r>
        <w:rPr>
          <w:sz w:val="21"/>
        </w:rPr>
        <w:t>更换损坏的监测装置，补充丢失的监测装置；</w:t>
      </w:r>
    </w:p>
    <w:p>
      <w:pPr>
        <w:pStyle w:val="ListParagraph"/>
        <w:numPr>
          <w:ilvl w:val="5"/>
          <w:numId w:val="34"/>
        </w:numPr>
        <w:tabs>
          <w:tab w:val="left" w:pos="1815"/>
          <w:tab w:val="left" w:pos="1816"/>
        </w:tabs>
        <w:spacing w:before="43" w:after="0" w:line="240" w:lineRule="auto"/>
        <w:ind w:left="1815" w:right="0" w:hanging="421"/>
        <w:jc w:val="left"/>
        <w:rPr>
          <w:sz w:val="21"/>
        </w:rPr>
      </w:pPr>
      <w:r>
        <w:rPr>
          <w:sz w:val="21"/>
        </w:rPr>
        <w:t>更换监测装置内发霉、腐烂的饵料；</w:t>
      </w:r>
    </w:p>
    <w:p>
      <w:pPr>
        <w:pStyle w:val="ListParagraph"/>
        <w:numPr>
          <w:ilvl w:val="5"/>
          <w:numId w:val="34"/>
        </w:numPr>
        <w:tabs>
          <w:tab w:val="left" w:pos="1815"/>
          <w:tab w:val="left" w:pos="1816"/>
        </w:tabs>
        <w:spacing w:before="43" w:after="0" w:line="240" w:lineRule="auto"/>
        <w:ind w:left="1815" w:right="0" w:hanging="421"/>
        <w:jc w:val="left"/>
        <w:rPr>
          <w:sz w:val="21"/>
        </w:rPr>
      </w:pPr>
      <w:r>
        <w:rPr>
          <w:sz w:val="21"/>
        </w:rPr>
        <w:t>调整松动、积水和遭破坏的监测装置的安装位置；</w:t>
      </w:r>
    </w:p>
    <w:p>
      <w:pPr>
        <w:pStyle w:val="ListParagraph"/>
        <w:numPr>
          <w:ilvl w:val="5"/>
          <w:numId w:val="34"/>
        </w:numPr>
        <w:tabs>
          <w:tab w:val="left" w:pos="1815"/>
          <w:tab w:val="left" w:pos="1816"/>
        </w:tabs>
        <w:spacing w:before="43" w:after="0" w:line="240" w:lineRule="auto"/>
        <w:ind w:left="1815" w:right="0" w:hanging="421"/>
        <w:jc w:val="left"/>
        <w:rPr>
          <w:sz w:val="21"/>
        </w:rPr>
      </w:pPr>
      <w:r>
        <w:rPr>
          <w:sz w:val="21"/>
        </w:rPr>
        <w:t>清除监测装置四周的灌木、杂草，清除监测装置内的泥土、树根、草根；</w:t>
      </w:r>
    </w:p>
    <w:p>
      <w:pPr>
        <w:pStyle w:val="ListParagraph"/>
        <w:numPr>
          <w:ilvl w:val="5"/>
          <w:numId w:val="34"/>
        </w:numPr>
        <w:tabs>
          <w:tab w:val="left" w:pos="1815"/>
          <w:tab w:val="left" w:pos="1816"/>
        </w:tabs>
        <w:spacing w:before="43" w:after="0" w:line="240" w:lineRule="auto"/>
        <w:ind w:left="1815" w:right="0" w:hanging="421"/>
        <w:jc w:val="left"/>
        <w:rPr>
          <w:sz w:val="21"/>
        </w:rPr>
      </w:pPr>
      <w:r>
        <w:rPr>
          <w:sz w:val="21"/>
        </w:rPr>
        <w:t>驱赶进入监测装置内的其他昆虫和小动物；</w:t>
      </w:r>
    </w:p>
    <w:p>
      <w:pPr>
        <w:pStyle w:val="ListParagraph"/>
        <w:numPr>
          <w:ilvl w:val="5"/>
          <w:numId w:val="34"/>
        </w:numPr>
        <w:tabs>
          <w:tab w:val="left" w:pos="1815"/>
          <w:tab w:val="left" w:pos="1816"/>
        </w:tabs>
        <w:spacing w:before="43" w:after="0" w:line="278" w:lineRule="auto"/>
        <w:ind w:left="1815" w:right="856" w:hanging="421"/>
        <w:jc w:val="left"/>
        <w:rPr>
          <w:sz w:val="21"/>
        </w:rPr>
      </w:pPr>
      <w:r>
        <w:rPr>
          <w:spacing w:val="-8"/>
          <w:sz w:val="21"/>
        </w:rPr>
        <w:t>根据房屋四周的土壤、绿化等环境发生的变化，调整监测装置的安装位置或增减监</w:t>
      </w:r>
      <w:r>
        <w:rPr>
          <w:sz w:val="21"/>
        </w:rPr>
        <w:t>测装置的数量。</w:t>
      </w:r>
    </w:p>
    <w:p>
      <w:pPr>
        <w:pStyle w:val="ListParagraph"/>
        <w:numPr>
          <w:ilvl w:val="3"/>
          <w:numId w:val="41"/>
        </w:numPr>
        <w:tabs>
          <w:tab w:val="left" w:pos="1920"/>
          <w:tab w:val="left" w:pos="1921"/>
        </w:tabs>
        <w:spacing w:before="156" w:after="0" w:line="240" w:lineRule="auto"/>
        <w:ind w:left="1920" w:right="0" w:hanging="946"/>
        <w:jc w:val="left"/>
        <w:rPr>
          <w:rFonts w:ascii="黑体" w:eastAsia="黑体" w:hint="eastAsia"/>
          <w:sz w:val="21"/>
        </w:rPr>
      </w:pPr>
      <w:r>
        <w:rPr>
          <w:rFonts w:ascii="黑体" w:eastAsia="黑体" w:hint="eastAsia"/>
          <w:sz w:val="21"/>
        </w:rPr>
        <w:t>白蚁预防补救处理</w:t>
      </w:r>
    </w:p>
    <w:p>
      <w:pPr>
        <w:pStyle w:val="BodyText"/>
        <w:spacing w:before="6"/>
        <w:rPr>
          <w:rFonts w:ascii="黑体"/>
          <w:sz w:val="15"/>
        </w:rPr>
      </w:pPr>
    </w:p>
    <w:p>
      <w:pPr>
        <w:pStyle w:val="BodyText"/>
        <w:spacing w:before="1"/>
        <w:ind w:left="1395"/>
      </w:pPr>
      <w:r>
        <w:t>白蚁预防补救处理应包括下列内容：</w:t>
      </w:r>
    </w:p>
    <w:p>
      <w:pPr>
        <w:pStyle w:val="ListParagraph"/>
        <w:numPr>
          <w:ilvl w:val="0"/>
          <w:numId w:val="33"/>
        </w:numPr>
        <w:tabs>
          <w:tab w:val="left" w:pos="1816"/>
        </w:tabs>
        <w:spacing w:before="43" w:after="0" w:line="240" w:lineRule="auto"/>
        <w:ind w:left="1815" w:right="0" w:hanging="421"/>
        <w:jc w:val="left"/>
        <w:rPr>
          <w:sz w:val="21"/>
        </w:rPr>
      </w:pPr>
      <w:r>
        <w:rPr>
          <w:sz w:val="21"/>
        </w:rPr>
        <w:t>未进行白蚁预防处理的建（构）筑物项目，应进行白蚁预防补救处理；</w:t>
      </w:r>
    </w:p>
    <w:p>
      <w:pPr>
        <w:pStyle w:val="ListParagraph"/>
        <w:numPr>
          <w:ilvl w:val="0"/>
          <w:numId w:val="33"/>
        </w:numPr>
        <w:tabs>
          <w:tab w:val="left" w:pos="1818"/>
        </w:tabs>
        <w:spacing w:before="43" w:after="0" w:line="278" w:lineRule="auto"/>
        <w:ind w:left="1815" w:right="859" w:hanging="421"/>
        <w:jc w:val="left"/>
        <w:rPr>
          <w:sz w:val="21"/>
        </w:rPr>
      </w:pPr>
      <w:r>
        <w:rPr>
          <w:w w:val="99"/>
          <w:sz w:val="21"/>
        </w:rPr>
        <w:t>水平屏障：装修之前</w:t>
      </w:r>
      <w:r>
        <w:rPr>
          <w:spacing w:val="-1"/>
          <w:w w:val="99"/>
          <w:sz w:val="21"/>
        </w:rPr>
        <w:t>（</w:t>
      </w:r>
      <w:r>
        <w:rPr>
          <w:w w:val="99"/>
          <w:sz w:val="21"/>
        </w:rPr>
        <w:t>有地下室结构建筑除外</w:t>
      </w:r>
      <w:r>
        <w:rPr>
          <w:spacing w:val="-104"/>
          <w:w w:val="99"/>
          <w:sz w:val="21"/>
        </w:rPr>
        <w:t>）</w:t>
      </w:r>
      <w:r>
        <w:rPr>
          <w:w w:val="99"/>
          <w:sz w:val="21"/>
        </w:rPr>
        <w:t>，对首层地面进行一次全面化学药</w:t>
      </w:r>
      <w:r>
        <w:rPr>
          <w:sz w:val="21"/>
        </w:rPr>
        <w:t>物处理，在基础形成一水平方向药物屏障；</w:t>
      </w:r>
    </w:p>
    <w:p>
      <w:pPr>
        <w:pStyle w:val="ListParagraph"/>
        <w:numPr>
          <w:ilvl w:val="0"/>
          <w:numId w:val="33"/>
        </w:numPr>
        <w:tabs>
          <w:tab w:val="left" w:pos="1787"/>
        </w:tabs>
        <w:spacing w:before="0" w:after="0" w:line="278" w:lineRule="auto"/>
        <w:ind w:left="1815" w:right="751" w:hanging="421"/>
        <w:jc w:val="left"/>
        <w:rPr>
          <w:sz w:val="21"/>
        </w:rPr>
      </w:pPr>
      <w:r>
        <w:rPr>
          <w:spacing w:val="-9"/>
          <w:sz w:val="21"/>
        </w:rPr>
        <w:t xml:space="preserve">垂直屏障：沿建筑物外围沉降缝、或沿建筑物散水坡按 </w:t>
      </w:r>
      <w:r>
        <w:rPr>
          <w:sz w:val="21"/>
        </w:rPr>
        <w:t>500mm-1000mm</w:t>
      </w:r>
      <w:r>
        <w:rPr>
          <w:spacing w:val="-11"/>
          <w:sz w:val="21"/>
        </w:rPr>
        <w:t xml:space="preserve"> 的间距钻孔， </w:t>
      </w:r>
      <w:r>
        <w:rPr>
          <w:sz w:val="21"/>
        </w:rPr>
        <w:t>灌注白蚁预防药物，处理方法参照土壤药物屏障；</w:t>
      </w:r>
    </w:p>
    <w:p>
      <w:pPr>
        <w:pStyle w:val="ListParagraph"/>
        <w:numPr>
          <w:ilvl w:val="0"/>
          <w:numId w:val="33"/>
        </w:numPr>
        <w:tabs>
          <w:tab w:val="left" w:pos="1794"/>
        </w:tabs>
        <w:spacing w:before="0" w:after="0" w:line="278" w:lineRule="auto"/>
        <w:ind w:left="1815" w:right="856" w:hanging="421"/>
        <w:jc w:val="left"/>
        <w:rPr>
          <w:sz w:val="21"/>
        </w:rPr>
      </w:pPr>
      <w:r>
        <w:rPr>
          <w:spacing w:val="-9"/>
          <w:sz w:val="21"/>
        </w:rPr>
        <w:t>室内砌体：在踢脚线铺贴之前，药物浓度加倍，参照装饰装修工程墙面和地面处理</w:t>
      </w:r>
      <w:r>
        <w:rPr>
          <w:sz w:val="21"/>
        </w:rPr>
        <w:t>方法处理砌体墙基；</w:t>
      </w:r>
    </w:p>
    <w:p>
      <w:pPr>
        <w:pStyle w:val="ListParagraph"/>
        <w:numPr>
          <w:ilvl w:val="0"/>
          <w:numId w:val="33"/>
        </w:numPr>
        <w:tabs>
          <w:tab w:val="left" w:pos="1794"/>
        </w:tabs>
        <w:spacing w:before="0" w:after="0" w:line="278" w:lineRule="auto"/>
        <w:ind w:left="1815" w:right="856" w:hanging="421"/>
        <w:jc w:val="left"/>
        <w:rPr>
          <w:sz w:val="21"/>
        </w:rPr>
      </w:pPr>
      <w:r>
        <w:rPr>
          <w:spacing w:val="-11"/>
          <w:sz w:val="21"/>
        </w:rPr>
        <w:t xml:space="preserve">竖向管井：近地面 </w:t>
      </w:r>
      <w:r>
        <w:rPr>
          <w:sz w:val="21"/>
        </w:rPr>
        <w:t>1000mm</w:t>
      </w:r>
      <w:r>
        <w:rPr>
          <w:spacing w:val="-14"/>
          <w:sz w:val="21"/>
        </w:rPr>
        <w:t xml:space="preserve"> 处开口，向管井内喷洒药液，保证管井 </w:t>
      </w:r>
      <w:r>
        <w:rPr>
          <w:sz w:val="21"/>
        </w:rPr>
        <w:t>1000mm</w:t>
      </w:r>
      <w:r>
        <w:rPr>
          <w:spacing w:val="-12"/>
          <w:sz w:val="21"/>
        </w:rPr>
        <w:t xml:space="preserve"> 以下内壁及底部充分吸附药液；</w:t>
      </w:r>
    </w:p>
    <w:p>
      <w:pPr>
        <w:pStyle w:val="ListParagraph"/>
        <w:numPr>
          <w:ilvl w:val="0"/>
          <w:numId w:val="33"/>
        </w:numPr>
        <w:tabs>
          <w:tab w:val="left" w:pos="1816"/>
        </w:tabs>
        <w:spacing w:before="0" w:after="0" w:line="278" w:lineRule="auto"/>
        <w:ind w:left="1815" w:right="768" w:hanging="421"/>
        <w:jc w:val="left"/>
        <w:rPr>
          <w:sz w:val="21"/>
        </w:rPr>
      </w:pPr>
      <w:r>
        <w:rPr>
          <w:spacing w:val="-1"/>
          <w:sz w:val="21"/>
        </w:rPr>
        <w:t xml:space="preserve">伸缩缝：未封堵的伸缩缝，从首层缝隙两端直接用高压设备向伸缩缝内喷淋药液； </w:t>
      </w:r>
      <w:r>
        <w:rPr>
          <w:spacing w:val="-7"/>
          <w:sz w:val="21"/>
        </w:rPr>
        <w:t>已封堵的伸缩缝，在缝隙盖板上开口，用高压设备向伸缩缝内喷淋药液；首层沉降</w:t>
      </w:r>
      <w:r>
        <w:rPr>
          <w:spacing w:val="-22"/>
          <w:sz w:val="21"/>
        </w:rPr>
        <w:t xml:space="preserve">缝按 </w:t>
      </w:r>
      <w:r>
        <w:rPr>
          <w:sz w:val="21"/>
        </w:rPr>
        <w:t>1000mm</w:t>
      </w:r>
      <w:r>
        <w:rPr>
          <w:spacing w:val="-8"/>
          <w:sz w:val="21"/>
        </w:rPr>
        <w:t xml:space="preserve"> 的间距钻孔灌注白蚁预防药物；</w:t>
      </w:r>
    </w:p>
    <w:p>
      <w:pPr>
        <w:pStyle w:val="ListParagraph"/>
        <w:numPr>
          <w:ilvl w:val="0"/>
          <w:numId w:val="33"/>
        </w:numPr>
        <w:tabs>
          <w:tab w:val="left" w:pos="1816"/>
        </w:tabs>
        <w:spacing w:before="0" w:after="0" w:line="269" w:lineRule="exact"/>
        <w:ind w:left="1815" w:right="0" w:hanging="421"/>
        <w:jc w:val="left"/>
        <w:rPr>
          <w:sz w:val="21"/>
        </w:rPr>
      </w:pPr>
      <w:r>
        <w:rPr>
          <w:sz w:val="21"/>
        </w:rPr>
        <w:t>室外园林绿化带安装监测控制系统，监测、诱杀室外白蚁群体。</w:t>
      </w:r>
    </w:p>
    <w:p>
      <w:pPr>
        <w:pStyle w:val="BodyText"/>
        <w:spacing w:before="5"/>
        <w:rPr>
          <w:sz w:val="15"/>
        </w:rPr>
      </w:pPr>
    </w:p>
    <w:p>
      <w:pPr>
        <w:pStyle w:val="ListParagraph"/>
        <w:numPr>
          <w:ilvl w:val="1"/>
          <w:numId w:val="32"/>
        </w:numPr>
        <w:tabs>
          <w:tab w:val="left" w:pos="1500"/>
          <w:tab w:val="left" w:pos="1501"/>
        </w:tabs>
        <w:spacing w:before="0" w:after="0" w:line="240" w:lineRule="auto"/>
        <w:ind w:left="1500" w:right="0" w:hanging="526"/>
        <w:jc w:val="left"/>
        <w:rPr>
          <w:rFonts w:ascii="黑体" w:eastAsia="黑体" w:hint="eastAsia"/>
          <w:sz w:val="21"/>
        </w:rPr>
      </w:pPr>
      <w:r>
        <w:rPr>
          <w:rFonts w:ascii="黑体" w:eastAsia="黑体" w:hint="eastAsia"/>
          <w:sz w:val="21"/>
        </w:rPr>
        <w:t>古建筑</w:t>
      </w:r>
    </w:p>
    <w:p>
      <w:pPr>
        <w:pStyle w:val="BodyText"/>
        <w:spacing w:before="7"/>
        <w:rPr>
          <w:rFonts w:ascii="黑体"/>
          <w:sz w:val="15"/>
        </w:rPr>
      </w:pPr>
    </w:p>
    <w:p>
      <w:pPr>
        <w:pStyle w:val="ListParagraph"/>
        <w:numPr>
          <w:ilvl w:val="2"/>
          <w:numId w:val="32"/>
        </w:numPr>
        <w:tabs>
          <w:tab w:val="left" w:pos="1711"/>
          <w:tab w:val="left" w:pos="1713"/>
        </w:tabs>
        <w:spacing w:before="0" w:after="0" w:line="240" w:lineRule="auto"/>
        <w:ind w:left="1712" w:right="0" w:hanging="738"/>
        <w:jc w:val="left"/>
        <w:rPr>
          <w:rFonts w:ascii="黑体" w:eastAsia="黑体" w:hint="eastAsia"/>
          <w:sz w:val="21"/>
        </w:rPr>
      </w:pPr>
      <w:r>
        <w:rPr>
          <w:rFonts w:ascii="黑体" w:eastAsia="黑体" w:hint="eastAsia"/>
          <w:sz w:val="21"/>
        </w:rPr>
        <w:t>基本规定</w:t>
      </w:r>
    </w:p>
    <w:p>
      <w:pPr>
        <w:pStyle w:val="BodyText"/>
        <w:spacing w:before="7"/>
        <w:rPr>
          <w:rFonts w:ascii="黑体"/>
          <w:sz w:val="15"/>
        </w:rPr>
        <w:sectPr>
          <w:headerReference w:type="even" r:id="rId43"/>
          <w:headerReference w:type="default" r:id="rId44"/>
          <w:footerReference w:type="even" r:id="rId45"/>
          <w:footerReference w:type="default" r:id="rId46"/>
          <w:pgSz w:w="11910" w:h="16840"/>
          <w:pgMar w:top="1080" w:right="940" w:bottom="1440" w:left="820" w:header="881" w:footer="1250"/>
          <w:pgNumType w:start="7"/>
          <w:cols w:space="708"/>
        </w:sectPr>
      </w:pPr>
    </w:p>
    <w:p>
      <w:pPr>
        <w:pStyle w:val="ListParagraph"/>
        <w:numPr>
          <w:ilvl w:val="3"/>
          <w:numId w:val="32"/>
        </w:numPr>
        <w:tabs>
          <w:tab w:val="left" w:pos="1920"/>
          <w:tab w:val="left" w:pos="1921"/>
        </w:tabs>
        <w:spacing w:before="0" w:after="0" w:line="240" w:lineRule="auto"/>
        <w:ind w:left="1920" w:right="0" w:hanging="946"/>
        <w:jc w:val="left"/>
        <w:rPr>
          <w:sz w:val="21"/>
        </w:rPr>
      </w:pPr>
      <w:r>
        <w:rPr>
          <w:sz w:val="21"/>
        </w:rPr>
        <w:t>古建筑白蚁防治应尽可能结合古建筑维护和修缮工程施工时进行。</w:t>
      </w:r>
    </w:p>
    <w:p>
      <w:pPr>
        <w:spacing w:after="0" w:line="240" w:lineRule="auto"/>
        <w:jc w:val="left"/>
        <w:rPr>
          <w:sz w:val="21"/>
        </w:rPr>
        <w:sectPr>
          <w:headerReference w:type="even" r:id="rId47"/>
          <w:headerReference w:type="default" r:id="rId48"/>
          <w:footerReference w:type="even" r:id="rId49"/>
          <w:footerReference w:type="default" r:id="rId50"/>
          <w:type w:val="nextPage"/>
          <w:pgSz w:w="11910" w:h="16840"/>
          <w:pgMar w:top="1080" w:right="940" w:bottom="1440" w:left="820" w:header="881" w:footer="1250"/>
          <w:pgNumType w:start="8"/>
          <w:cols w:space="708"/>
          <w:titlePg w:val="0"/>
        </w:sectPr>
      </w:pPr>
    </w:p>
    <w:p>
      <w:pPr>
        <w:pStyle w:val="BodyText"/>
        <w:spacing w:before="5"/>
        <w:rPr>
          <w:sz w:val="23"/>
        </w:rPr>
      </w:pPr>
    </w:p>
    <w:p>
      <w:pPr>
        <w:pStyle w:val="ListParagraph"/>
        <w:numPr>
          <w:ilvl w:val="3"/>
          <w:numId w:val="32"/>
        </w:numPr>
        <w:tabs>
          <w:tab w:val="left" w:pos="1920"/>
          <w:tab w:val="left" w:pos="1921"/>
        </w:tabs>
        <w:spacing w:before="70" w:after="0" w:line="278" w:lineRule="auto"/>
        <w:ind w:left="975" w:right="859" w:firstLine="0"/>
        <w:jc w:val="left"/>
        <w:rPr>
          <w:sz w:val="21"/>
        </w:rPr>
      </w:pPr>
      <w:r>
        <w:rPr>
          <w:spacing w:val="-1"/>
          <w:sz w:val="21"/>
        </w:rPr>
        <w:t>白蚁防治单位应在防治前进行现场调查，根据调查结果制定防治方案，防治方案</w:t>
      </w:r>
      <w:r>
        <w:rPr>
          <w:sz w:val="21"/>
        </w:rPr>
        <w:t>需经古建筑管理单位同意后方可实施。</w:t>
      </w:r>
    </w:p>
    <w:p>
      <w:pPr>
        <w:pStyle w:val="ListParagraph"/>
        <w:numPr>
          <w:ilvl w:val="2"/>
          <w:numId w:val="32"/>
        </w:numPr>
        <w:tabs>
          <w:tab w:val="left" w:pos="1711"/>
          <w:tab w:val="left" w:pos="1713"/>
        </w:tabs>
        <w:spacing w:before="156" w:after="0" w:line="240" w:lineRule="auto"/>
        <w:ind w:left="1712" w:right="0" w:hanging="738"/>
        <w:jc w:val="left"/>
        <w:rPr>
          <w:rFonts w:ascii="黑体" w:eastAsia="黑体" w:hint="eastAsia"/>
          <w:sz w:val="21"/>
        </w:rPr>
      </w:pPr>
      <w:r>
        <w:rPr>
          <w:rFonts w:ascii="黑体" w:eastAsia="黑体" w:hint="eastAsia"/>
          <w:sz w:val="21"/>
        </w:rPr>
        <w:t>现场调查</w:t>
      </w:r>
    </w:p>
    <w:p>
      <w:pPr>
        <w:pStyle w:val="BodyText"/>
        <w:spacing w:before="7"/>
        <w:rPr>
          <w:rFonts w:ascii="黑体"/>
          <w:sz w:val="15"/>
        </w:rPr>
      </w:pPr>
    </w:p>
    <w:p>
      <w:pPr>
        <w:pStyle w:val="ListParagraph"/>
        <w:numPr>
          <w:ilvl w:val="3"/>
          <w:numId w:val="32"/>
        </w:numPr>
        <w:tabs>
          <w:tab w:val="left" w:pos="1920"/>
          <w:tab w:val="left" w:pos="1921"/>
        </w:tabs>
        <w:spacing w:before="0" w:after="0" w:line="278" w:lineRule="auto"/>
        <w:ind w:left="975" w:right="861" w:firstLine="0"/>
        <w:jc w:val="left"/>
        <w:rPr>
          <w:sz w:val="21"/>
        </w:rPr>
      </w:pPr>
      <w:r>
        <w:rPr>
          <w:spacing w:val="-1"/>
          <w:sz w:val="21"/>
        </w:rPr>
        <w:t>现场调查可采用查勘、装置监测、仪器探测和档案资料查询等方法。调查内容包</w:t>
      </w:r>
      <w:r>
        <w:rPr>
          <w:sz w:val="21"/>
        </w:rPr>
        <w:t>括古建筑情况调查和古建筑白蚁危害情况调查。</w:t>
      </w:r>
    </w:p>
    <w:p>
      <w:pPr>
        <w:pStyle w:val="ListParagraph"/>
        <w:numPr>
          <w:ilvl w:val="3"/>
          <w:numId w:val="32"/>
        </w:numPr>
        <w:tabs>
          <w:tab w:val="left" w:pos="1920"/>
          <w:tab w:val="left" w:pos="1921"/>
        </w:tabs>
        <w:spacing w:before="0" w:after="0" w:line="240" w:lineRule="auto"/>
        <w:ind w:left="1920" w:right="0" w:hanging="946"/>
        <w:jc w:val="left"/>
        <w:rPr>
          <w:sz w:val="21"/>
        </w:rPr>
      </w:pPr>
      <w:r>
        <w:rPr>
          <w:sz w:val="21"/>
        </w:rPr>
        <w:t>古建筑情况调查应包括下列内容：</w:t>
      </w:r>
    </w:p>
    <w:p>
      <w:pPr>
        <w:pStyle w:val="ListParagraph"/>
        <w:numPr>
          <w:ilvl w:val="4"/>
          <w:numId w:val="32"/>
        </w:numPr>
        <w:tabs>
          <w:tab w:val="left" w:pos="1815"/>
          <w:tab w:val="left" w:pos="1816"/>
        </w:tabs>
        <w:spacing w:before="42" w:after="0" w:line="278" w:lineRule="auto"/>
        <w:ind w:left="1815" w:right="856" w:hanging="421"/>
        <w:jc w:val="left"/>
        <w:rPr>
          <w:sz w:val="21"/>
        </w:rPr>
      </w:pPr>
      <w:r>
        <w:rPr>
          <w:spacing w:val="-6"/>
          <w:sz w:val="21"/>
        </w:rPr>
        <w:t>古建筑的名称和地理位置、古建筑的区域面积、幢数、建筑面积、是否为不可移动</w:t>
      </w:r>
      <w:r>
        <w:rPr>
          <w:sz w:val="21"/>
        </w:rPr>
        <w:t>文物及保护等级；</w:t>
      </w:r>
    </w:p>
    <w:p>
      <w:pPr>
        <w:pStyle w:val="ListParagraph"/>
        <w:numPr>
          <w:ilvl w:val="4"/>
          <w:numId w:val="32"/>
        </w:numPr>
        <w:tabs>
          <w:tab w:val="left" w:pos="1815"/>
          <w:tab w:val="left" w:pos="1816"/>
        </w:tabs>
        <w:spacing w:before="0" w:after="0" w:line="240" w:lineRule="auto"/>
        <w:ind w:left="1815" w:right="0" w:hanging="421"/>
        <w:jc w:val="left"/>
        <w:rPr>
          <w:sz w:val="21"/>
        </w:rPr>
      </w:pPr>
      <w:r>
        <w:rPr>
          <w:sz w:val="21"/>
        </w:rPr>
        <w:t>古建筑的建造历史、维修历史、建筑结构及风格；</w:t>
      </w:r>
    </w:p>
    <w:p>
      <w:pPr>
        <w:pStyle w:val="ListParagraph"/>
        <w:numPr>
          <w:ilvl w:val="4"/>
          <w:numId w:val="32"/>
        </w:numPr>
        <w:tabs>
          <w:tab w:val="left" w:pos="1815"/>
          <w:tab w:val="left" w:pos="1816"/>
        </w:tabs>
        <w:spacing w:before="43" w:after="0" w:line="278" w:lineRule="auto"/>
        <w:ind w:left="1815" w:right="856" w:hanging="421"/>
        <w:jc w:val="left"/>
        <w:rPr>
          <w:sz w:val="21"/>
        </w:rPr>
      </w:pPr>
      <w:r>
        <w:rPr>
          <w:spacing w:val="-7"/>
          <w:sz w:val="21"/>
        </w:rPr>
        <w:t>古建筑所在区域的环境状况，包括四周的土壤、地表水体、地下水位、绿化、道路</w:t>
      </w:r>
      <w:r>
        <w:rPr>
          <w:sz w:val="21"/>
        </w:rPr>
        <w:t>情况和地下各种管线的位置、深度、进入室内的位置等；</w:t>
      </w:r>
    </w:p>
    <w:p>
      <w:pPr>
        <w:pStyle w:val="ListParagraph"/>
        <w:numPr>
          <w:ilvl w:val="4"/>
          <w:numId w:val="32"/>
        </w:numPr>
        <w:tabs>
          <w:tab w:val="left" w:pos="1815"/>
          <w:tab w:val="left" w:pos="1816"/>
        </w:tabs>
        <w:spacing w:before="0" w:after="0" w:line="240" w:lineRule="auto"/>
        <w:ind w:left="1815" w:right="0" w:hanging="421"/>
        <w:jc w:val="left"/>
        <w:rPr>
          <w:sz w:val="21"/>
        </w:rPr>
      </w:pPr>
      <w:r>
        <w:rPr>
          <w:sz w:val="21"/>
        </w:rPr>
        <w:t>古建筑修缮的工程内容、开工日期、施工进度等有关情况。</w:t>
      </w:r>
    </w:p>
    <w:p>
      <w:pPr>
        <w:pStyle w:val="ListParagraph"/>
        <w:numPr>
          <w:ilvl w:val="3"/>
          <w:numId w:val="32"/>
        </w:numPr>
        <w:tabs>
          <w:tab w:val="left" w:pos="1920"/>
          <w:tab w:val="left" w:pos="1921"/>
        </w:tabs>
        <w:spacing w:before="43" w:after="0" w:line="240" w:lineRule="auto"/>
        <w:ind w:left="1920" w:right="0" w:hanging="946"/>
        <w:jc w:val="left"/>
        <w:rPr>
          <w:sz w:val="21"/>
        </w:rPr>
      </w:pPr>
      <w:r>
        <w:rPr>
          <w:sz w:val="21"/>
        </w:rPr>
        <w:t>古建筑白蚁危害调查应包括下列内容：</w:t>
      </w:r>
    </w:p>
    <w:p>
      <w:pPr>
        <w:pStyle w:val="ListParagraph"/>
        <w:numPr>
          <w:ilvl w:val="4"/>
          <w:numId w:val="32"/>
        </w:numPr>
        <w:tabs>
          <w:tab w:val="left" w:pos="1815"/>
          <w:tab w:val="left" w:pos="1816"/>
        </w:tabs>
        <w:spacing w:before="43" w:after="0" w:line="240" w:lineRule="auto"/>
        <w:ind w:left="1815" w:right="0" w:hanging="421"/>
        <w:jc w:val="left"/>
        <w:rPr>
          <w:sz w:val="21"/>
        </w:rPr>
      </w:pPr>
      <w:r>
        <w:rPr>
          <w:sz w:val="21"/>
        </w:rPr>
        <w:t>古建筑白蚁危害的部位、蚁害范围、蚁害率及对古建筑的损坏程度；</w:t>
      </w:r>
    </w:p>
    <w:p>
      <w:pPr>
        <w:pStyle w:val="ListParagraph"/>
        <w:numPr>
          <w:ilvl w:val="4"/>
          <w:numId w:val="32"/>
        </w:numPr>
        <w:tabs>
          <w:tab w:val="left" w:pos="1815"/>
          <w:tab w:val="left" w:pos="1816"/>
        </w:tabs>
        <w:spacing w:before="43" w:after="0" w:line="240" w:lineRule="auto"/>
        <w:ind w:left="1815" w:right="0" w:hanging="421"/>
        <w:jc w:val="left"/>
        <w:rPr>
          <w:sz w:val="21"/>
        </w:rPr>
      </w:pPr>
      <w:r>
        <w:rPr>
          <w:sz w:val="21"/>
        </w:rPr>
        <w:t>危害古建筑的白蚁种类、活动迹象、分飞、筑巢及群体分布情况；</w:t>
      </w:r>
    </w:p>
    <w:p>
      <w:pPr>
        <w:pStyle w:val="ListParagraph"/>
        <w:numPr>
          <w:ilvl w:val="4"/>
          <w:numId w:val="32"/>
        </w:numPr>
        <w:tabs>
          <w:tab w:val="left" w:pos="1815"/>
          <w:tab w:val="left" w:pos="1816"/>
        </w:tabs>
        <w:spacing w:before="43" w:after="0" w:line="240" w:lineRule="auto"/>
        <w:ind w:left="1815" w:right="0" w:hanging="421"/>
        <w:jc w:val="left"/>
        <w:rPr>
          <w:sz w:val="21"/>
        </w:rPr>
      </w:pPr>
      <w:r>
        <w:rPr>
          <w:sz w:val="21"/>
        </w:rPr>
        <w:t>古建筑白蚁危害的历史和防治情况；</w:t>
      </w:r>
    </w:p>
    <w:p>
      <w:pPr>
        <w:pStyle w:val="ListParagraph"/>
        <w:numPr>
          <w:ilvl w:val="4"/>
          <w:numId w:val="32"/>
        </w:numPr>
        <w:tabs>
          <w:tab w:val="left" w:pos="1815"/>
          <w:tab w:val="left" w:pos="1816"/>
        </w:tabs>
        <w:spacing w:before="43" w:after="0" w:line="240" w:lineRule="auto"/>
        <w:ind w:left="1815" w:right="0" w:hanging="421"/>
        <w:jc w:val="left"/>
        <w:rPr>
          <w:sz w:val="21"/>
        </w:rPr>
      </w:pPr>
      <w:r>
        <w:rPr>
          <w:sz w:val="21"/>
        </w:rPr>
        <w:t>庭院及外围环境白蚁种类、危害及分布情况。</w:t>
      </w:r>
    </w:p>
    <w:p>
      <w:pPr>
        <w:pStyle w:val="BodyText"/>
        <w:spacing w:before="6"/>
        <w:rPr>
          <w:sz w:val="15"/>
        </w:rPr>
      </w:pPr>
    </w:p>
    <w:p>
      <w:pPr>
        <w:pStyle w:val="ListParagraph"/>
        <w:numPr>
          <w:ilvl w:val="2"/>
          <w:numId w:val="32"/>
        </w:numPr>
        <w:tabs>
          <w:tab w:val="left" w:pos="1711"/>
          <w:tab w:val="left" w:pos="1713"/>
        </w:tabs>
        <w:spacing w:before="0" w:after="0" w:line="240" w:lineRule="auto"/>
        <w:ind w:left="1712" w:right="0" w:hanging="738"/>
        <w:jc w:val="left"/>
        <w:rPr>
          <w:rFonts w:ascii="黑体" w:eastAsia="黑体" w:hint="eastAsia"/>
          <w:sz w:val="21"/>
        </w:rPr>
      </w:pPr>
      <w:r>
        <w:rPr>
          <w:rFonts w:ascii="黑体" w:eastAsia="黑体" w:hint="eastAsia"/>
          <w:sz w:val="21"/>
        </w:rPr>
        <w:t>防治方案</w:t>
      </w:r>
    </w:p>
    <w:p>
      <w:pPr>
        <w:pStyle w:val="BodyText"/>
        <w:spacing w:before="7"/>
        <w:rPr>
          <w:rFonts w:ascii="黑体"/>
          <w:sz w:val="15"/>
        </w:rPr>
      </w:pPr>
    </w:p>
    <w:p>
      <w:pPr>
        <w:pStyle w:val="ListParagraph"/>
        <w:numPr>
          <w:ilvl w:val="3"/>
          <w:numId w:val="32"/>
        </w:numPr>
        <w:tabs>
          <w:tab w:val="left" w:pos="1920"/>
          <w:tab w:val="left" w:pos="1921"/>
        </w:tabs>
        <w:spacing w:before="0" w:after="0" w:line="240" w:lineRule="auto"/>
        <w:ind w:left="1920" w:right="0" w:hanging="946"/>
        <w:jc w:val="left"/>
        <w:rPr>
          <w:rFonts w:ascii="黑体" w:eastAsia="黑体" w:hint="eastAsia"/>
          <w:sz w:val="21"/>
        </w:rPr>
      </w:pPr>
      <w:r>
        <w:rPr>
          <w:rFonts w:ascii="黑体" w:eastAsia="黑体" w:hint="eastAsia"/>
          <w:sz w:val="21"/>
        </w:rPr>
        <w:t>一般规定</w:t>
      </w:r>
    </w:p>
    <w:p>
      <w:pPr>
        <w:pStyle w:val="BodyText"/>
        <w:spacing w:before="7"/>
        <w:rPr>
          <w:rFonts w:ascii="黑体"/>
          <w:sz w:val="15"/>
        </w:rPr>
      </w:pPr>
    </w:p>
    <w:p>
      <w:pPr>
        <w:pStyle w:val="ListParagraph"/>
        <w:numPr>
          <w:ilvl w:val="4"/>
          <w:numId w:val="31"/>
        </w:numPr>
        <w:tabs>
          <w:tab w:val="left" w:pos="2131"/>
          <w:tab w:val="left" w:pos="2132"/>
        </w:tabs>
        <w:spacing w:before="0" w:after="0" w:line="278" w:lineRule="auto"/>
        <w:ind w:left="975" w:right="859" w:firstLine="0"/>
        <w:jc w:val="left"/>
        <w:rPr>
          <w:sz w:val="21"/>
        </w:rPr>
      </w:pPr>
      <w:r>
        <w:rPr>
          <w:spacing w:val="-1"/>
          <w:sz w:val="21"/>
        </w:rPr>
        <w:t>应以古建筑及外围环境的建筑物、树木、草坪等作为整体防治对象，进行区域</w:t>
      </w:r>
      <w:r>
        <w:rPr>
          <w:sz w:val="21"/>
        </w:rPr>
        <w:t>化控制。</w:t>
      </w:r>
    </w:p>
    <w:p>
      <w:pPr>
        <w:pStyle w:val="ListParagraph"/>
        <w:numPr>
          <w:ilvl w:val="4"/>
          <w:numId w:val="31"/>
        </w:numPr>
        <w:tabs>
          <w:tab w:val="left" w:pos="2131"/>
          <w:tab w:val="left" w:pos="2132"/>
        </w:tabs>
        <w:spacing w:before="0" w:after="0" w:line="278" w:lineRule="auto"/>
        <w:ind w:left="975" w:right="859" w:firstLine="0"/>
        <w:jc w:val="left"/>
        <w:rPr>
          <w:sz w:val="21"/>
        </w:rPr>
      </w:pPr>
      <w:r>
        <w:rPr>
          <w:spacing w:val="-1"/>
          <w:sz w:val="21"/>
        </w:rPr>
        <w:t>应根据现场调查结果制定具体的防治措施，预防措施与灭治措施相结合，一般</w:t>
      </w:r>
      <w:r>
        <w:rPr>
          <w:sz w:val="21"/>
        </w:rPr>
        <w:t>先灭治，后预防。</w:t>
      </w:r>
    </w:p>
    <w:p>
      <w:pPr>
        <w:pStyle w:val="ListParagraph"/>
        <w:numPr>
          <w:ilvl w:val="3"/>
          <w:numId w:val="32"/>
        </w:numPr>
        <w:tabs>
          <w:tab w:val="left" w:pos="1920"/>
          <w:tab w:val="left" w:pos="1921"/>
        </w:tabs>
        <w:spacing w:before="155" w:after="0" w:line="240" w:lineRule="auto"/>
        <w:ind w:left="1920" w:right="0" w:hanging="946"/>
        <w:jc w:val="left"/>
        <w:rPr>
          <w:rFonts w:ascii="黑体" w:eastAsia="黑体" w:hint="eastAsia"/>
          <w:sz w:val="21"/>
        </w:rPr>
      </w:pPr>
      <w:r>
        <w:rPr>
          <w:rFonts w:ascii="黑体" w:eastAsia="黑体" w:hint="eastAsia"/>
          <w:sz w:val="21"/>
        </w:rPr>
        <w:t>防治目标</w:t>
      </w:r>
    </w:p>
    <w:p>
      <w:pPr>
        <w:pStyle w:val="BodyText"/>
        <w:spacing w:before="7"/>
        <w:rPr>
          <w:rFonts w:ascii="黑体"/>
          <w:sz w:val="15"/>
        </w:rPr>
      </w:pPr>
    </w:p>
    <w:p>
      <w:pPr>
        <w:pStyle w:val="BodyText"/>
        <w:spacing w:line="278" w:lineRule="auto"/>
        <w:ind w:left="975" w:right="857" w:firstLine="420"/>
      </w:pPr>
      <w:r>
        <w:t>有效控制白蚁危害，使古建筑白蚁危害级别达到 GB/T 51253-2017 等级评定Ⅰ级的标准要求。</w:t>
      </w:r>
    </w:p>
    <w:p>
      <w:pPr>
        <w:pStyle w:val="ListParagraph"/>
        <w:numPr>
          <w:ilvl w:val="3"/>
          <w:numId w:val="32"/>
        </w:numPr>
        <w:tabs>
          <w:tab w:val="left" w:pos="1920"/>
          <w:tab w:val="left" w:pos="1921"/>
        </w:tabs>
        <w:spacing w:before="156" w:after="0" w:line="240" w:lineRule="auto"/>
        <w:ind w:left="1920" w:right="0" w:hanging="946"/>
        <w:jc w:val="left"/>
        <w:rPr>
          <w:rFonts w:ascii="黑体" w:eastAsia="黑体" w:hint="eastAsia"/>
          <w:sz w:val="21"/>
        </w:rPr>
      </w:pPr>
      <w:r>
        <w:rPr>
          <w:rFonts w:ascii="黑体" w:eastAsia="黑体" w:hint="eastAsia"/>
          <w:sz w:val="21"/>
        </w:rPr>
        <w:t>预防措施</w:t>
      </w:r>
    </w:p>
    <w:p>
      <w:pPr>
        <w:pStyle w:val="BodyText"/>
        <w:spacing w:before="7"/>
        <w:rPr>
          <w:rFonts w:ascii="黑体"/>
          <w:sz w:val="15"/>
        </w:rPr>
      </w:pPr>
    </w:p>
    <w:p>
      <w:pPr>
        <w:pStyle w:val="BodyText"/>
        <w:ind w:left="1395"/>
      </w:pPr>
      <w:r>
        <w:t>预防措施应包括下列内容：</w:t>
      </w:r>
    </w:p>
    <w:p>
      <w:pPr>
        <w:pStyle w:val="ListParagraph"/>
        <w:numPr>
          <w:ilvl w:val="4"/>
          <w:numId w:val="32"/>
        </w:numPr>
        <w:tabs>
          <w:tab w:val="left" w:pos="1815"/>
          <w:tab w:val="left" w:pos="1816"/>
        </w:tabs>
        <w:spacing w:before="43" w:after="0" w:line="278" w:lineRule="auto"/>
        <w:ind w:left="1815" w:right="856" w:hanging="421"/>
        <w:jc w:val="left"/>
        <w:rPr>
          <w:sz w:val="21"/>
        </w:rPr>
      </w:pPr>
      <w:r>
        <w:rPr>
          <w:spacing w:val="-6"/>
          <w:sz w:val="21"/>
        </w:rPr>
        <w:t>古建筑及外围环境无论是否发现白蚁活动迹象，均应在古建筑外围设置地下型监测</w:t>
      </w:r>
      <w:r>
        <w:rPr>
          <w:sz w:val="21"/>
        </w:rPr>
        <w:t>控制系统，如有必要，可同时采取其它预防措施；</w:t>
      </w:r>
    </w:p>
    <w:p>
      <w:pPr>
        <w:pStyle w:val="ListParagraph"/>
        <w:numPr>
          <w:ilvl w:val="4"/>
          <w:numId w:val="32"/>
        </w:numPr>
        <w:tabs>
          <w:tab w:val="left" w:pos="1815"/>
          <w:tab w:val="left" w:pos="1816"/>
        </w:tabs>
        <w:spacing w:before="0" w:after="0" w:line="278" w:lineRule="auto"/>
        <w:ind w:left="1815" w:right="856" w:hanging="421"/>
        <w:jc w:val="left"/>
        <w:rPr>
          <w:sz w:val="21"/>
        </w:rPr>
      </w:pPr>
      <w:r>
        <w:rPr>
          <w:spacing w:val="-6"/>
          <w:sz w:val="21"/>
        </w:rPr>
        <w:t>古建筑内发现乳白蚁和散白蚁活动迹象，应先进行灭治并通过检查确认达到灭治效</w:t>
      </w:r>
      <w:r>
        <w:rPr>
          <w:sz w:val="21"/>
        </w:rPr>
        <w:t>果后方可进行预防处理；</w:t>
      </w:r>
    </w:p>
    <w:p>
      <w:pPr>
        <w:pStyle w:val="ListParagraph"/>
        <w:numPr>
          <w:ilvl w:val="4"/>
          <w:numId w:val="32"/>
        </w:numPr>
        <w:tabs>
          <w:tab w:val="left" w:pos="1815"/>
          <w:tab w:val="left" w:pos="1816"/>
        </w:tabs>
        <w:spacing w:before="0" w:after="0" w:line="278" w:lineRule="auto"/>
        <w:ind w:left="1815" w:right="856" w:hanging="421"/>
        <w:jc w:val="left"/>
        <w:rPr>
          <w:sz w:val="21"/>
        </w:rPr>
      </w:pPr>
      <w:r>
        <w:rPr>
          <w:spacing w:val="-8"/>
          <w:sz w:val="21"/>
        </w:rPr>
        <w:t>古建筑进行地面铺装、开沟挖土和更换木构件等修缮工程时，应在修缮部位和木构</w:t>
      </w:r>
      <w:r>
        <w:rPr>
          <w:sz w:val="21"/>
        </w:rPr>
        <w:t>件采取预防措施处理；</w:t>
      </w:r>
    </w:p>
    <w:p>
      <w:pPr>
        <w:pStyle w:val="ListParagraph"/>
        <w:numPr>
          <w:ilvl w:val="4"/>
          <w:numId w:val="32"/>
        </w:numPr>
        <w:tabs>
          <w:tab w:val="left" w:pos="1815"/>
          <w:tab w:val="left" w:pos="1816"/>
        </w:tabs>
        <w:spacing w:before="0" w:after="0" w:line="278" w:lineRule="auto"/>
        <w:ind w:left="1815" w:right="859" w:hanging="421"/>
        <w:jc w:val="left"/>
        <w:rPr>
          <w:sz w:val="21"/>
        </w:rPr>
      </w:pPr>
      <w:r>
        <w:rPr>
          <w:spacing w:val="-3"/>
          <w:sz w:val="21"/>
        </w:rPr>
        <w:t xml:space="preserve">清理外围树木树干上的孔洞，用药剂处理孔洞并填充修复，离地 </w:t>
      </w:r>
      <w:r>
        <w:rPr>
          <w:sz w:val="21"/>
        </w:rPr>
        <w:t>1m</w:t>
      </w:r>
      <w:r>
        <w:rPr>
          <w:spacing w:val="-11"/>
          <w:sz w:val="21"/>
        </w:rPr>
        <w:t xml:space="preserve"> 以下的树干表</w:t>
      </w:r>
      <w:r>
        <w:rPr>
          <w:sz w:val="21"/>
        </w:rPr>
        <w:t>面涂刷药剂处理；</w:t>
      </w:r>
    </w:p>
    <w:p>
      <w:pPr>
        <w:pStyle w:val="ListParagraph"/>
        <w:numPr>
          <w:ilvl w:val="4"/>
          <w:numId w:val="32"/>
        </w:numPr>
        <w:tabs>
          <w:tab w:val="left" w:pos="1815"/>
          <w:tab w:val="left" w:pos="1816"/>
        </w:tabs>
        <w:spacing w:before="0" w:after="0" w:line="240" w:lineRule="auto"/>
        <w:ind w:left="1815" w:right="0" w:hanging="421"/>
        <w:jc w:val="left"/>
        <w:rPr>
          <w:sz w:val="21"/>
        </w:rPr>
      </w:pPr>
      <w:r>
        <w:rPr>
          <w:sz w:val="21"/>
        </w:rPr>
        <w:t>古建筑应做好通风防潮措施，不应长期堆放易受白蚁为害的物品。</w:t>
      </w:r>
    </w:p>
    <w:p>
      <w:pPr>
        <w:pStyle w:val="BodyText"/>
        <w:spacing w:before="5"/>
        <w:rPr>
          <w:sz w:val="15"/>
        </w:rPr>
      </w:pPr>
    </w:p>
    <w:p>
      <w:pPr>
        <w:pStyle w:val="ListParagraph"/>
        <w:numPr>
          <w:ilvl w:val="1"/>
          <w:numId w:val="32"/>
        </w:numPr>
        <w:tabs>
          <w:tab w:val="left" w:pos="1500"/>
          <w:tab w:val="left" w:pos="1501"/>
        </w:tabs>
        <w:spacing w:before="0" w:after="0" w:line="240" w:lineRule="auto"/>
        <w:ind w:left="1500" w:right="0" w:hanging="526"/>
        <w:jc w:val="left"/>
        <w:rPr>
          <w:rFonts w:ascii="黑体" w:eastAsia="黑体" w:hint="eastAsia"/>
          <w:sz w:val="21"/>
        </w:rPr>
      </w:pPr>
      <w:r>
        <w:rPr>
          <w:rFonts w:ascii="黑体" w:eastAsia="黑体" w:hint="eastAsia"/>
          <w:sz w:val="21"/>
        </w:rPr>
        <w:t>地下轨道交通系统</w:t>
      </w:r>
    </w:p>
    <w:p>
      <w:pPr>
        <w:pStyle w:val="BodyText"/>
        <w:spacing w:before="7"/>
        <w:rPr>
          <w:rFonts w:ascii="黑体"/>
          <w:sz w:val="15"/>
        </w:rPr>
        <w:sectPr>
          <w:headerReference w:type="even" r:id="rId51"/>
          <w:headerReference w:type="default" r:id="rId52"/>
          <w:footerReference w:type="even" r:id="rId53"/>
          <w:footerReference w:type="default" r:id="rId54"/>
          <w:pgSz w:w="11910" w:h="16840"/>
          <w:pgMar w:top="1080" w:right="940" w:bottom="1400" w:left="820" w:header="881" w:footer="1204"/>
          <w:pgNumType w:start="9"/>
          <w:cols w:space="708"/>
        </w:sectPr>
      </w:pPr>
    </w:p>
    <w:p>
      <w:pPr>
        <w:pStyle w:val="ListParagraph"/>
        <w:numPr>
          <w:ilvl w:val="2"/>
          <w:numId w:val="32"/>
        </w:numPr>
        <w:tabs>
          <w:tab w:val="left" w:pos="1711"/>
          <w:tab w:val="left" w:pos="1713"/>
        </w:tabs>
        <w:spacing w:before="0" w:after="0" w:line="240" w:lineRule="auto"/>
        <w:ind w:left="1712" w:right="0" w:hanging="738"/>
        <w:jc w:val="left"/>
        <w:rPr>
          <w:sz w:val="21"/>
        </w:rPr>
      </w:pPr>
      <w:r>
        <w:rPr>
          <w:sz w:val="21"/>
        </w:rPr>
        <w:t>地下轨道交通系统的预防设计应符合如下要求：</w:t>
      </w:r>
    </w:p>
    <w:p>
      <w:pPr>
        <w:spacing w:after="0" w:line="240" w:lineRule="auto"/>
        <w:jc w:val="left"/>
        <w:rPr>
          <w:sz w:val="21"/>
        </w:rPr>
        <w:sectPr>
          <w:headerReference w:type="even" r:id="rId55"/>
          <w:headerReference w:type="default" r:id="rId56"/>
          <w:footerReference w:type="even" r:id="rId57"/>
          <w:footerReference w:type="default" r:id="rId58"/>
          <w:type w:val="nextPage"/>
          <w:pgSz w:w="11910" w:h="16840"/>
          <w:pgMar w:top="1080" w:right="940" w:bottom="1400" w:left="820" w:header="881" w:footer="1204"/>
          <w:pgNumType w:start="10"/>
          <w:cols w:space="708"/>
          <w:titlePg w:val="0"/>
        </w:sectPr>
      </w:pPr>
    </w:p>
    <w:p>
      <w:pPr>
        <w:pStyle w:val="BodyText"/>
        <w:spacing w:before="5"/>
        <w:rPr>
          <w:sz w:val="23"/>
        </w:rPr>
      </w:pPr>
    </w:p>
    <w:p>
      <w:pPr>
        <w:pStyle w:val="ListParagraph"/>
        <w:numPr>
          <w:ilvl w:val="0"/>
          <w:numId w:val="30"/>
        </w:numPr>
        <w:tabs>
          <w:tab w:val="left" w:pos="1815"/>
          <w:tab w:val="left" w:pos="1816"/>
        </w:tabs>
        <w:spacing w:before="70" w:after="0" w:line="240" w:lineRule="auto"/>
        <w:ind w:left="1815" w:right="0" w:hanging="421"/>
        <w:jc w:val="left"/>
        <w:rPr>
          <w:sz w:val="21"/>
        </w:rPr>
      </w:pPr>
      <w:r>
        <w:rPr>
          <w:sz w:val="21"/>
        </w:rPr>
        <w:t>应通过建立物理屏障或土壤药物屏障阻止蚁源入侵；</w:t>
      </w:r>
    </w:p>
    <w:p>
      <w:pPr>
        <w:pStyle w:val="ListParagraph"/>
        <w:numPr>
          <w:ilvl w:val="0"/>
          <w:numId w:val="30"/>
        </w:numPr>
        <w:tabs>
          <w:tab w:val="left" w:pos="1815"/>
          <w:tab w:val="left" w:pos="1816"/>
        </w:tabs>
        <w:spacing w:before="43" w:after="0" w:line="240" w:lineRule="auto"/>
        <w:ind w:left="1815" w:right="0" w:hanging="421"/>
        <w:jc w:val="left"/>
        <w:rPr>
          <w:sz w:val="21"/>
        </w:rPr>
      </w:pPr>
      <w:r>
        <w:rPr>
          <w:sz w:val="21"/>
        </w:rPr>
        <w:t>应防止地下轨道交通建筑渗漏水的问题，避免因渗漏水为白蚁生存提供有利条件；</w:t>
      </w:r>
    </w:p>
    <w:p>
      <w:pPr>
        <w:pStyle w:val="ListParagraph"/>
        <w:numPr>
          <w:ilvl w:val="0"/>
          <w:numId w:val="30"/>
        </w:numPr>
        <w:tabs>
          <w:tab w:val="left" w:pos="1822"/>
          <w:tab w:val="left" w:pos="1823"/>
        </w:tabs>
        <w:spacing w:before="43" w:after="0" w:line="278" w:lineRule="auto"/>
        <w:ind w:left="1815" w:right="844" w:hanging="421"/>
        <w:jc w:val="left"/>
        <w:rPr>
          <w:sz w:val="21"/>
        </w:rPr>
      </w:pPr>
      <w:r>
        <w:rPr>
          <w:w w:val="95"/>
          <w:sz w:val="21"/>
        </w:rPr>
        <w:t xml:space="preserve">站台和地铁商业场所使用的装饰装修材料宜使用金属材料和各种防白蚁性能较好  </w:t>
      </w:r>
      <w:r>
        <w:rPr>
          <w:sz w:val="21"/>
        </w:rPr>
        <w:t>的高分子合成板等。</w:t>
      </w:r>
    </w:p>
    <w:p>
      <w:pPr>
        <w:pStyle w:val="ListParagraph"/>
        <w:numPr>
          <w:ilvl w:val="2"/>
          <w:numId w:val="32"/>
        </w:numPr>
        <w:tabs>
          <w:tab w:val="left" w:pos="1711"/>
          <w:tab w:val="left" w:pos="1713"/>
        </w:tabs>
        <w:spacing w:before="0" w:after="0" w:line="240" w:lineRule="auto"/>
        <w:ind w:left="1712" w:right="0" w:hanging="738"/>
        <w:jc w:val="left"/>
        <w:rPr>
          <w:sz w:val="21"/>
        </w:rPr>
      </w:pPr>
      <w:r>
        <w:rPr>
          <w:sz w:val="21"/>
        </w:rPr>
        <w:t>地下轨道交通系统的处理方法应符合以下要求：</w:t>
      </w:r>
    </w:p>
    <w:p>
      <w:pPr>
        <w:pStyle w:val="ListParagraph"/>
        <w:numPr>
          <w:ilvl w:val="0"/>
          <w:numId w:val="29"/>
        </w:numPr>
        <w:tabs>
          <w:tab w:val="left" w:pos="1815"/>
          <w:tab w:val="left" w:pos="1816"/>
        </w:tabs>
        <w:spacing w:before="43" w:after="0" w:line="278" w:lineRule="auto"/>
        <w:ind w:left="1815" w:right="751" w:hanging="421"/>
        <w:jc w:val="left"/>
        <w:rPr>
          <w:sz w:val="21"/>
        </w:rPr>
      </w:pPr>
      <w:r>
        <w:rPr>
          <w:spacing w:val="-10"/>
          <w:sz w:val="21"/>
        </w:rPr>
        <w:t>地面建筑包括车辆段综合基地、指挥控制中心、车站出入口、风亭、风井、电梯井、</w:t>
      </w:r>
      <w:r>
        <w:rPr>
          <w:spacing w:val="-9"/>
          <w:sz w:val="21"/>
        </w:rPr>
        <w:t>竖向管井、变电站、供水站、冷站等，按一般建筑物预防处理，处理方法和要求见4.2.2；</w:t>
      </w:r>
    </w:p>
    <w:p>
      <w:pPr>
        <w:pStyle w:val="ListParagraph"/>
        <w:numPr>
          <w:ilvl w:val="0"/>
          <w:numId w:val="29"/>
        </w:numPr>
        <w:tabs>
          <w:tab w:val="left" w:pos="1815"/>
          <w:tab w:val="left" w:pos="1816"/>
        </w:tabs>
        <w:spacing w:before="0" w:after="0" w:line="278" w:lineRule="auto"/>
        <w:ind w:left="1815" w:right="856" w:hanging="421"/>
        <w:jc w:val="left"/>
        <w:rPr>
          <w:sz w:val="21"/>
        </w:rPr>
      </w:pPr>
      <w:r>
        <w:rPr>
          <w:spacing w:val="-3"/>
          <w:sz w:val="21"/>
        </w:rPr>
        <w:t>地下建筑包括车站、区间遂道、折返线、渡线等标高-</w:t>
      </w:r>
      <w:r>
        <w:rPr>
          <w:sz w:val="21"/>
        </w:rPr>
        <w:t>3m</w:t>
      </w:r>
      <w:r>
        <w:rPr>
          <w:spacing w:val="-14"/>
          <w:sz w:val="21"/>
        </w:rPr>
        <w:t xml:space="preserve"> 以下的建</w:t>
      </w:r>
      <w:r>
        <w:rPr>
          <w:sz w:val="21"/>
        </w:rPr>
        <w:t>（构</w:t>
      </w:r>
      <w:r>
        <w:rPr>
          <w:spacing w:val="-6"/>
          <w:sz w:val="21"/>
        </w:rPr>
        <w:t>）</w:t>
      </w:r>
      <w:r>
        <w:rPr>
          <w:sz w:val="21"/>
        </w:rPr>
        <w:t>筑物可不作预防处理；</w:t>
      </w:r>
    </w:p>
    <w:p>
      <w:pPr>
        <w:pStyle w:val="ListParagraph"/>
        <w:numPr>
          <w:ilvl w:val="0"/>
          <w:numId w:val="28"/>
        </w:numPr>
        <w:tabs>
          <w:tab w:val="left" w:pos="1799"/>
        </w:tabs>
        <w:spacing w:before="0" w:after="0" w:line="278" w:lineRule="auto"/>
        <w:ind w:left="1815" w:right="856" w:hanging="421"/>
        <w:jc w:val="left"/>
        <w:rPr>
          <w:sz w:val="21"/>
        </w:rPr>
      </w:pPr>
      <w:r>
        <w:rPr>
          <w:spacing w:val="-7"/>
          <w:sz w:val="21"/>
        </w:rPr>
        <w:t xml:space="preserve">地面建筑内、外以及车站内的电缆，包括电力、通讯和信号电缆应做预防处理，处理方法和要求见 </w:t>
      </w:r>
      <w:r>
        <w:rPr>
          <w:sz w:val="21"/>
        </w:rPr>
        <w:t>4.6；</w:t>
      </w:r>
    </w:p>
    <w:p>
      <w:pPr>
        <w:pStyle w:val="ListParagraph"/>
        <w:numPr>
          <w:ilvl w:val="0"/>
          <w:numId w:val="28"/>
        </w:numPr>
        <w:tabs>
          <w:tab w:val="left" w:pos="1787"/>
        </w:tabs>
        <w:spacing w:before="0" w:after="0" w:line="278" w:lineRule="auto"/>
        <w:ind w:left="1815" w:right="856" w:hanging="421"/>
        <w:jc w:val="left"/>
        <w:rPr>
          <w:sz w:val="21"/>
        </w:rPr>
      </w:pPr>
      <w:r>
        <w:rPr>
          <w:spacing w:val="-4"/>
          <w:sz w:val="21"/>
        </w:rPr>
        <w:t>车站大堂视装修材料的抗白蚁性能，可按装饰装修预防方法进行处理，处理方法和</w:t>
      </w:r>
      <w:r>
        <w:rPr>
          <w:spacing w:val="-14"/>
          <w:sz w:val="21"/>
        </w:rPr>
        <w:t xml:space="preserve">要求见 </w:t>
      </w:r>
      <w:r>
        <w:rPr>
          <w:sz w:val="21"/>
        </w:rPr>
        <w:t>4.2.2.3。</w:t>
      </w:r>
    </w:p>
    <w:p>
      <w:pPr>
        <w:pStyle w:val="ListParagraph"/>
        <w:numPr>
          <w:ilvl w:val="1"/>
          <w:numId w:val="32"/>
        </w:numPr>
        <w:tabs>
          <w:tab w:val="left" w:pos="1500"/>
          <w:tab w:val="left" w:pos="1501"/>
        </w:tabs>
        <w:spacing w:before="155" w:after="0" w:line="240" w:lineRule="auto"/>
        <w:ind w:left="1500" w:right="0" w:hanging="526"/>
        <w:jc w:val="left"/>
        <w:rPr>
          <w:rFonts w:ascii="黑体" w:eastAsia="黑体" w:hint="eastAsia"/>
          <w:sz w:val="21"/>
        </w:rPr>
      </w:pPr>
      <w:r>
        <w:rPr>
          <w:rFonts w:ascii="黑体" w:eastAsia="黑体" w:hint="eastAsia"/>
          <w:sz w:val="21"/>
        </w:rPr>
        <w:t>桥梁</w:t>
      </w:r>
    </w:p>
    <w:p>
      <w:pPr>
        <w:pStyle w:val="BodyText"/>
        <w:spacing w:before="6"/>
        <w:rPr>
          <w:rFonts w:ascii="黑体"/>
          <w:sz w:val="15"/>
        </w:rPr>
      </w:pPr>
    </w:p>
    <w:p>
      <w:pPr>
        <w:pStyle w:val="ListParagraph"/>
        <w:numPr>
          <w:ilvl w:val="2"/>
          <w:numId w:val="32"/>
        </w:numPr>
        <w:tabs>
          <w:tab w:val="left" w:pos="1711"/>
          <w:tab w:val="left" w:pos="1713"/>
        </w:tabs>
        <w:spacing w:before="1" w:after="0" w:line="240" w:lineRule="auto"/>
        <w:ind w:left="1712" w:right="0" w:hanging="738"/>
        <w:jc w:val="left"/>
        <w:rPr>
          <w:sz w:val="21"/>
        </w:rPr>
      </w:pPr>
      <w:r>
        <w:rPr>
          <w:sz w:val="21"/>
        </w:rPr>
        <w:t>基本要求：应结合桥体维修进行处理。</w:t>
      </w:r>
    </w:p>
    <w:p>
      <w:pPr>
        <w:pStyle w:val="ListParagraph"/>
        <w:numPr>
          <w:ilvl w:val="2"/>
          <w:numId w:val="32"/>
        </w:numPr>
        <w:tabs>
          <w:tab w:val="left" w:pos="1711"/>
          <w:tab w:val="left" w:pos="1713"/>
        </w:tabs>
        <w:spacing w:before="43" w:after="0" w:line="240" w:lineRule="auto"/>
        <w:ind w:left="1712" w:right="0" w:hanging="738"/>
        <w:jc w:val="left"/>
        <w:rPr>
          <w:sz w:val="21"/>
        </w:rPr>
      </w:pPr>
      <w:r>
        <w:rPr>
          <w:sz w:val="21"/>
        </w:rPr>
        <w:t>预防设计应符合以下要求：</w:t>
      </w:r>
    </w:p>
    <w:p>
      <w:pPr>
        <w:pStyle w:val="ListParagraph"/>
        <w:numPr>
          <w:ilvl w:val="0"/>
          <w:numId w:val="27"/>
        </w:numPr>
        <w:tabs>
          <w:tab w:val="left" w:pos="1815"/>
          <w:tab w:val="left" w:pos="1816"/>
        </w:tabs>
        <w:spacing w:before="43" w:after="0" w:line="240" w:lineRule="auto"/>
        <w:ind w:left="1815" w:right="0" w:hanging="421"/>
        <w:jc w:val="left"/>
        <w:rPr>
          <w:sz w:val="21"/>
        </w:rPr>
      </w:pPr>
      <w:r>
        <w:rPr>
          <w:sz w:val="21"/>
        </w:rPr>
        <w:t>应力求防潮、防漏、防渗，健全排水设施，避免桥梁积水；</w:t>
      </w:r>
    </w:p>
    <w:p>
      <w:pPr>
        <w:pStyle w:val="ListParagraph"/>
        <w:numPr>
          <w:ilvl w:val="0"/>
          <w:numId w:val="27"/>
        </w:numPr>
        <w:tabs>
          <w:tab w:val="left" w:pos="1815"/>
          <w:tab w:val="left" w:pos="1816"/>
        </w:tabs>
        <w:spacing w:before="42" w:after="0" w:line="240" w:lineRule="auto"/>
        <w:ind w:left="1815" w:right="0" w:hanging="421"/>
        <w:jc w:val="left"/>
        <w:rPr>
          <w:sz w:val="21"/>
        </w:rPr>
      </w:pPr>
      <w:r>
        <w:rPr>
          <w:sz w:val="21"/>
        </w:rPr>
        <w:t>应减少木模板的使用，尽量采用钢模板、混凝土混合模板或充分压实的混凝土板；</w:t>
      </w:r>
    </w:p>
    <w:p>
      <w:pPr>
        <w:pStyle w:val="ListParagraph"/>
        <w:numPr>
          <w:ilvl w:val="0"/>
          <w:numId w:val="27"/>
        </w:numPr>
        <w:tabs>
          <w:tab w:val="left" w:pos="1815"/>
          <w:tab w:val="left" w:pos="1816"/>
        </w:tabs>
        <w:spacing w:before="43" w:after="0" w:line="240" w:lineRule="auto"/>
        <w:ind w:left="1815" w:right="0" w:hanging="421"/>
        <w:jc w:val="left"/>
        <w:rPr>
          <w:sz w:val="21"/>
        </w:rPr>
      </w:pPr>
      <w:r>
        <w:rPr>
          <w:sz w:val="21"/>
        </w:rPr>
        <w:t>木构件应避免直接接触土壤，材料应选取抗白蚁材料，使用前作防潮处理。</w:t>
      </w:r>
    </w:p>
    <w:p>
      <w:pPr>
        <w:pStyle w:val="ListParagraph"/>
        <w:numPr>
          <w:ilvl w:val="2"/>
          <w:numId w:val="32"/>
        </w:numPr>
        <w:tabs>
          <w:tab w:val="left" w:pos="1711"/>
          <w:tab w:val="left" w:pos="1713"/>
        </w:tabs>
        <w:spacing w:before="43" w:after="0" w:line="240" w:lineRule="auto"/>
        <w:ind w:left="1712" w:right="0" w:hanging="738"/>
        <w:jc w:val="left"/>
        <w:rPr>
          <w:sz w:val="21"/>
        </w:rPr>
      </w:pPr>
      <w:r>
        <w:rPr>
          <w:sz w:val="21"/>
        </w:rPr>
        <w:t>处理方法应符合以下要求：</w:t>
      </w:r>
    </w:p>
    <w:p>
      <w:pPr>
        <w:pStyle w:val="ListParagraph"/>
        <w:numPr>
          <w:ilvl w:val="0"/>
          <w:numId w:val="26"/>
        </w:numPr>
        <w:tabs>
          <w:tab w:val="left" w:pos="1815"/>
          <w:tab w:val="left" w:pos="1816"/>
        </w:tabs>
        <w:spacing w:before="43" w:after="0" w:line="240" w:lineRule="auto"/>
        <w:ind w:left="1815" w:right="0" w:hanging="421"/>
        <w:jc w:val="left"/>
        <w:rPr>
          <w:sz w:val="21"/>
        </w:rPr>
      </w:pPr>
      <w:r>
        <w:rPr>
          <w:sz w:val="21"/>
        </w:rPr>
        <w:t>应重点处理桥跨的箱型梁和桥台等易产生白蚁的部位；</w:t>
      </w:r>
    </w:p>
    <w:p>
      <w:pPr>
        <w:pStyle w:val="ListParagraph"/>
        <w:numPr>
          <w:ilvl w:val="0"/>
          <w:numId w:val="26"/>
        </w:numPr>
        <w:tabs>
          <w:tab w:val="left" w:pos="1815"/>
          <w:tab w:val="left" w:pos="1816"/>
        </w:tabs>
        <w:spacing w:before="43" w:after="0" w:line="278" w:lineRule="auto"/>
        <w:ind w:left="1815" w:right="856" w:hanging="421"/>
        <w:jc w:val="left"/>
        <w:rPr>
          <w:sz w:val="21"/>
        </w:rPr>
      </w:pPr>
      <w:r>
        <w:rPr>
          <w:spacing w:val="-5"/>
          <w:sz w:val="21"/>
        </w:rPr>
        <w:t>箱梁内木模板应采用低压喷洒法进行全面施药处理，待药液充分渗透并风干后再进</w:t>
      </w:r>
      <w:r>
        <w:rPr>
          <w:sz w:val="21"/>
        </w:rPr>
        <w:t>行维修施工；</w:t>
      </w:r>
    </w:p>
    <w:p>
      <w:pPr>
        <w:pStyle w:val="ListParagraph"/>
        <w:numPr>
          <w:ilvl w:val="0"/>
          <w:numId w:val="26"/>
        </w:numPr>
        <w:tabs>
          <w:tab w:val="left" w:pos="1815"/>
          <w:tab w:val="left" w:pos="1816"/>
        </w:tabs>
        <w:spacing w:before="0" w:after="0" w:line="278" w:lineRule="auto"/>
        <w:ind w:left="1815" w:right="856" w:hanging="421"/>
        <w:jc w:val="left"/>
        <w:rPr>
          <w:sz w:val="21"/>
        </w:rPr>
      </w:pPr>
      <w:r>
        <w:rPr>
          <w:spacing w:val="-7"/>
          <w:sz w:val="21"/>
        </w:rPr>
        <w:t>凡经过药物处理的木构件，其处理部位在维修施工中需裁切或刨削时，应对创面重</w:t>
      </w:r>
      <w:r>
        <w:rPr>
          <w:sz w:val="21"/>
        </w:rPr>
        <w:t>新进行药物处理；</w:t>
      </w:r>
    </w:p>
    <w:p>
      <w:pPr>
        <w:pStyle w:val="ListParagraph"/>
        <w:numPr>
          <w:ilvl w:val="0"/>
          <w:numId w:val="26"/>
        </w:numPr>
        <w:tabs>
          <w:tab w:val="left" w:pos="1815"/>
          <w:tab w:val="left" w:pos="1816"/>
        </w:tabs>
        <w:spacing w:before="0" w:after="0" w:line="240" w:lineRule="auto"/>
        <w:ind w:left="1815" w:right="0" w:hanging="421"/>
        <w:jc w:val="left"/>
        <w:rPr>
          <w:sz w:val="21"/>
        </w:rPr>
      </w:pPr>
      <w:r>
        <w:rPr>
          <w:sz w:val="21"/>
        </w:rPr>
        <w:t>变形缝应在密封前沿缝向下灌注药液处理；</w:t>
      </w:r>
    </w:p>
    <w:p>
      <w:pPr>
        <w:pStyle w:val="ListParagraph"/>
        <w:numPr>
          <w:ilvl w:val="0"/>
          <w:numId w:val="26"/>
        </w:numPr>
        <w:tabs>
          <w:tab w:val="left" w:pos="1815"/>
          <w:tab w:val="left" w:pos="1816"/>
        </w:tabs>
        <w:spacing w:before="43" w:after="0" w:line="240" w:lineRule="auto"/>
        <w:ind w:left="1815" w:right="0" w:hanging="421"/>
        <w:jc w:val="left"/>
        <w:rPr>
          <w:sz w:val="21"/>
        </w:rPr>
      </w:pPr>
      <w:r>
        <w:rPr>
          <w:sz w:val="21"/>
        </w:rPr>
        <w:t>电缆系统以及各式橡胶支座，应采用涂抹法处理；</w:t>
      </w:r>
    </w:p>
    <w:p>
      <w:pPr>
        <w:pStyle w:val="ListParagraph"/>
        <w:numPr>
          <w:ilvl w:val="0"/>
          <w:numId w:val="26"/>
        </w:numPr>
        <w:tabs>
          <w:tab w:val="left" w:pos="1815"/>
          <w:tab w:val="left" w:pos="1816"/>
        </w:tabs>
        <w:spacing w:before="43" w:after="0" w:line="240" w:lineRule="auto"/>
        <w:ind w:left="1815" w:right="0" w:hanging="421"/>
        <w:jc w:val="left"/>
        <w:rPr>
          <w:sz w:val="21"/>
        </w:rPr>
      </w:pPr>
      <w:r>
        <w:rPr>
          <w:sz w:val="21"/>
        </w:rPr>
        <w:t>对各类埋地管线出入口周围、绿化带内与桥体接触的土壤层应设置药物屏障。</w:t>
      </w:r>
    </w:p>
    <w:p>
      <w:pPr>
        <w:pStyle w:val="BodyText"/>
        <w:spacing w:before="6"/>
        <w:rPr>
          <w:sz w:val="15"/>
        </w:rPr>
      </w:pPr>
    </w:p>
    <w:p>
      <w:pPr>
        <w:pStyle w:val="ListParagraph"/>
        <w:numPr>
          <w:ilvl w:val="1"/>
          <w:numId w:val="32"/>
        </w:numPr>
        <w:tabs>
          <w:tab w:val="left" w:pos="1500"/>
          <w:tab w:val="left" w:pos="1501"/>
        </w:tabs>
        <w:spacing w:before="0" w:after="0" w:line="240" w:lineRule="auto"/>
        <w:ind w:left="1500" w:right="0" w:hanging="526"/>
        <w:jc w:val="left"/>
        <w:rPr>
          <w:rFonts w:ascii="黑体" w:eastAsia="黑体" w:hint="eastAsia"/>
          <w:sz w:val="21"/>
        </w:rPr>
      </w:pPr>
      <w:r>
        <w:rPr>
          <w:rFonts w:ascii="黑体" w:eastAsia="黑体" w:hint="eastAsia"/>
          <w:sz w:val="21"/>
        </w:rPr>
        <w:t>电缆</w:t>
      </w:r>
    </w:p>
    <w:p>
      <w:pPr>
        <w:pStyle w:val="BodyText"/>
        <w:spacing w:before="7"/>
        <w:rPr>
          <w:rFonts w:ascii="黑体"/>
          <w:sz w:val="15"/>
        </w:rPr>
      </w:pPr>
    </w:p>
    <w:p>
      <w:pPr>
        <w:pStyle w:val="ListParagraph"/>
        <w:numPr>
          <w:ilvl w:val="2"/>
          <w:numId w:val="32"/>
        </w:numPr>
        <w:tabs>
          <w:tab w:val="left" w:pos="1711"/>
          <w:tab w:val="left" w:pos="1713"/>
        </w:tabs>
        <w:spacing w:before="0" w:after="0" w:line="240" w:lineRule="auto"/>
        <w:ind w:left="1712" w:right="0" w:hanging="738"/>
        <w:jc w:val="left"/>
        <w:rPr>
          <w:sz w:val="21"/>
        </w:rPr>
      </w:pPr>
      <w:r>
        <w:rPr>
          <w:sz w:val="21"/>
        </w:rPr>
        <w:t>电缆的预防设计应符合以下要求：</w:t>
      </w:r>
    </w:p>
    <w:p>
      <w:pPr>
        <w:pStyle w:val="ListParagraph"/>
        <w:numPr>
          <w:ilvl w:val="0"/>
          <w:numId w:val="25"/>
        </w:numPr>
        <w:tabs>
          <w:tab w:val="left" w:pos="1815"/>
          <w:tab w:val="left" w:pos="1816"/>
        </w:tabs>
        <w:spacing w:before="43" w:after="0" w:line="240" w:lineRule="auto"/>
        <w:ind w:left="1815" w:right="0" w:hanging="421"/>
        <w:jc w:val="left"/>
        <w:rPr>
          <w:sz w:val="21"/>
        </w:rPr>
      </w:pPr>
      <w:r>
        <w:rPr>
          <w:sz w:val="21"/>
        </w:rPr>
        <w:t>宜选用防蚁型电缆产品，尽量避免采用直埋敷设方式；</w:t>
      </w:r>
    </w:p>
    <w:p>
      <w:pPr>
        <w:pStyle w:val="ListParagraph"/>
        <w:numPr>
          <w:ilvl w:val="0"/>
          <w:numId w:val="25"/>
        </w:numPr>
        <w:tabs>
          <w:tab w:val="left" w:pos="1815"/>
          <w:tab w:val="left" w:pos="1816"/>
        </w:tabs>
        <w:spacing w:before="43" w:after="0" w:line="278" w:lineRule="auto"/>
        <w:ind w:left="1815" w:right="857" w:hanging="421"/>
        <w:jc w:val="left"/>
        <w:rPr>
          <w:sz w:val="21"/>
        </w:rPr>
      </w:pPr>
      <w:r>
        <w:rPr>
          <w:spacing w:val="-6"/>
          <w:sz w:val="21"/>
        </w:rPr>
        <w:t>电缆白蚁预防方法应根据电缆的敷设方式、电缆沟周围土质和地下水位等环境条件</w:t>
      </w:r>
      <w:r>
        <w:rPr>
          <w:sz w:val="21"/>
        </w:rPr>
        <w:t>进行选择，常见电缆敷设方式及处理方法应符合表 2 的要求；</w:t>
      </w:r>
    </w:p>
    <w:p>
      <w:pPr>
        <w:pStyle w:val="ListParagraph"/>
        <w:numPr>
          <w:ilvl w:val="0"/>
          <w:numId w:val="25"/>
        </w:numPr>
        <w:tabs>
          <w:tab w:val="left" w:pos="1815"/>
          <w:tab w:val="left" w:pos="1816"/>
        </w:tabs>
        <w:spacing w:before="0" w:after="0" w:line="269" w:lineRule="exact"/>
        <w:ind w:left="1815" w:right="0" w:hanging="421"/>
        <w:jc w:val="left"/>
        <w:rPr>
          <w:sz w:val="21"/>
        </w:rPr>
      </w:pPr>
      <w:r>
        <w:rPr>
          <w:sz w:val="21"/>
        </w:rPr>
        <w:t>长期积水或土壤酸碱性不适合白蚁生存的区段可不作处理；</w:t>
      </w:r>
    </w:p>
    <w:p>
      <w:pPr>
        <w:pStyle w:val="BodyText"/>
        <w:spacing w:before="43" w:line="278" w:lineRule="auto"/>
        <w:ind w:left="1815" w:right="856" w:hanging="421"/>
      </w:pPr>
      <w:r>
        <w:t>d）</w:t>
      </w:r>
      <w:r>
        <w:rPr>
          <w:spacing w:val="-11"/>
        </w:rPr>
        <w:t xml:space="preserve"> 电缆所在空间如方便进出，易于检查的，可不作屏障预防处理，但在运行期应做好</w:t>
      </w:r>
      <w:r>
        <w:t>白蚁日常维护工作。</w:t>
      </w:r>
    </w:p>
    <w:p>
      <w:pPr>
        <w:spacing w:after="0" w:line="278"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9" w:history="1">
        <w:r>
          <w:rPr>
            <w:rFonts w:ascii="SimSun" w:eastAsia="SimSun" w:hAnsi="SimSun" w:cs="SimSun"/>
            <w:b/>
            <w:bCs/>
            <w:color w:val="0000EE"/>
            <w:sz w:val="30"/>
            <w:szCs w:val="30"/>
            <w:u w:val="single" w:color="0000EE"/>
          </w:rPr>
          <w:t>https://d.book118.com/465024034202011101</w:t>
        </w:r>
      </w:hyperlink>
    </w:p>
    <w:p>
      <w:pPr>
        <w:spacing w:after="0" w:line="278" w:lineRule="auto"/>
      </w:pPr>
    </w:p>
    <w:sectPr>
      <w:headerReference w:type="even" r:id="rId60"/>
      <w:headerReference w:type="default" r:id="rId61"/>
      <w:footerReference w:type="even" r:id="rId62"/>
      <w:footerReference w:type="default" r:id="rId63"/>
      <w:pgSz w:w="11910" w:h="16840"/>
      <w:pgMar w:top="1080" w:right="940" w:bottom="1440" w:left="820" w:header="881" w:footer="1250"/>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5pt;height:12pt;margin-top:770.86pt;margin-left:526.56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 ROMAN </w:instrText>
                </w:r>
                <w:r>
                  <w:fldChar w:fldCharType="separate"/>
                </w:r>
                <w:r>
                  <w:rPr>
                    <w:rFonts w:ascii="Times New Roman"/>
                    <w:sz w:val="18"/>
                  </w:rPr>
                  <w:t>I</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pt;height:12pt;margin-top:770.86pt;margin-left:526.56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 ROMAN </w:instrText>
                </w:r>
                <w:r>
                  <w:fldChar w:fldCharType="separate"/>
                </w:r>
                <w:r>
                  <w:rPr>
                    <w:rFonts w:ascii="Times New Roman"/>
                    <w:sz w:val="18"/>
                  </w:rPr>
                  <w:t>I</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5pt;height:12pt;margin-top:770.86pt;margin-left:526.56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 ROMAN </w:instrText>
                </w:r>
                <w:r>
                  <w:fldChar w:fldCharType="separate"/>
                </w:r>
                <w:r>
                  <w:rPr>
                    <w:rFonts w:ascii="Times New Roman"/>
                    <w:sz w:val="18"/>
                  </w:rPr>
                  <w:t>III</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5pt;height:12pt;margin-top:770.86pt;margin-left:526.56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 ROMAN </w:instrText>
                </w:r>
                <w:r>
                  <w:fldChar w:fldCharType="separate"/>
                </w:r>
                <w:r>
                  <w:rPr>
                    <w:rFonts w:ascii="Times New Roman"/>
                    <w:sz w:val="18"/>
                  </w:rPr>
                  <w:t>III</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5pt;height:11pt;margin-top:768.38pt;margin-left:89.04pt;mso-position-horizontal-relative:page;mso-position-vertical-relative:page;position:absolute;z-index:-25165312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30</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5.1pt;height:11pt;margin-top:770.67pt;margin-left:495.6pt;mso-position-horizontal-relative:page;mso-position-vertical-relative:page;position:absolute;z-index:-25165414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5pt;height:11pt;margin-top:768.38pt;margin-left:89.04pt;mso-position-horizontal-relative:page;mso-position-vertical-relative:page;position:absolute;z-index:-25165107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5.1pt;height:11pt;margin-top:770.67pt;margin-left:495.6pt;mso-position-horizontal-relative:page;mso-position-vertical-relative:page;position:absolute;z-index:-25165209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29</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5pt;height:11pt;margin-top:768.38pt;margin-left:89.04pt;mso-position-horizontal-relative:page;mso-position-vertical-relative:page;position:absolute;z-index:-25164902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30</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5.1pt;height:11pt;margin-top:770.67pt;margin-left:495.6pt;mso-position-horizontal-relative:page;mso-position-vertical-relative:page;position:absolute;z-index:-25165004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5pt;height:11pt;margin-top:768.38pt;margin-left:89.04pt;mso-position-horizontal-relative:page;mso-position-vertical-relative:page;position:absolute;z-index:-25164697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5.1pt;height:11pt;margin-top:770.67pt;margin-left:495.6pt;mso-position-horizontal-relative:page;mso-position-vertical-relative:page;position:absolute;z-index:-25164800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29</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5pt;height:11pt;margin-top:768.38pt;margin-left:89.04pt;mso-position-horizontal-relative:page;mso-position-vertical-relative:page;position:absolute;z-index:-25164492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30</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5.1pt;height:11pt;margin-top:770.67pt;margin-left:495.6pt;mso-position-horizontal-relative:page;mso-position-vertical-relative:page;position:absolute;z-index:-25164595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5pt;height:11pt;margin-top:768.38pt;margin-left:89.04pt;mso-position-horizontal-relative:page;mso-position-vertical-relative:page;position:absolute;z-index:-25164288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6</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5.1pt;height:11pt;margin-top:770.67pt;margin-left:495.6pt;mso-position-horizontal-relative:page;mso-position-vertical-relative:page;position:absolute;z-index:-25164390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29</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5pt;height:11pt;margin-top:768.38pt;margin-left:89.04pt;mso-position-horizontal-relative:page;mso-position-vertical-relative:page;position:absolute;z-index:-25164083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30</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5.1pt;height:11pt;margin-top:770.67pt;margin-left:495.6pt;mso-position-horizontal-relative:page;mso-position-vertical-relative:page;position:absolute;z-index:-25164185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7</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5pt;height:11pt;margin-top:768.38pt;margin-left:89.04pt;mso-position-horizontal-relative:page;mso-position-vertical-relative:page;position:absolute;z-index:-25163878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8</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5.1pt;height:11pt;margin-top:770.67pt;margin-left:495.6pt;mso-position-horizontal-relative:page;mso-position-vertical-relative:page;position:absolute;z-index:-25163980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29</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5pt;height:11pt;margin-top:768.38pt;margin-left:89.04pt;mso-position-horizontal-relative:page;mso-position-vertical-relative:page;position:absolute;z-index:-25163673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30</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5.1pt;height:11pt;margin-top:770.67pt;margin-left:495.6pt;mso-position-horizontal-relative:page;mso-position-vertical-relative:page;position:absolute;z-index:-25163776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9</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5pt;height:11pt;margin-top:768.38pt;margin-left:89.04pt;mso-position-horizontal-relative:page;mso-position-vertical-relative:page;position:absolute;z-index:-25163468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10</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5.1pt;height:11pt;margin-top:770.67pt;margin-left:495.6pt;mso-position-horizontal-relative:page;mso-position-vertical-relative:page;position:absolute;z-index:-25163571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29</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5pt;height:11pt;margin-top:768.38pt;margin-left:89.04pt;mso-position-horizontal-relative:page;mso-position-vertical-relative:page;position:absolute;z-index:-25163264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30</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5.1pt;height:11pt;margin-top:770.67pt;margin-left:495.6pt;mso-position-horizontal-relative:page;mso-position-vertical-relative:page;position:absolute;z-index:-25163366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11</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1.2pt;height:12.45pt;margin-top:43.06pt;margin-left:448.28pt;mso-position-horizontal-relative:page;mso-position-vertical-relative:page;position:absolute;z-index:-251658240"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1.2pt;height:12.45pt;margin-top:43.06pt;margin-left:448.28pt;mso-position-horizontal-relative:page;mso-position-vertical-relative:page;position:absolute;z-index:-251657216"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1.2pt;height:12.45pt;margin-top:43.06pt;margin-left:448.28pt;mso-position-horizontal-relative:page;mso-position-vertical-relative:page;position:absolute;z-index:-251656192"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91.2pt;height:12.45pt;margin-top:43.06pt;margin-left:448.28pt;mso-position-horizontal-relative:page;mso-position-vertical-relative:page;position:absolute;z-index:-251655168"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3pt;height:12.45pt;margin-top:43.06pt;margin-left:88.76pt;mso-position-horizontal-relative:page;mso-position-vertical-relative:page;position:absolute;z-index:-251653120"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1.2pt;height:12.45pt;margin-top:43.06pt;margin-left:415.16pt;mso-position-horizontal-relative:page;mso-position-vertical-relative:page;position:absolute;z-index:-251654144"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1.3pt;height:12.45pt;margin-top:43.06pt;margin-left:88.76pt;mso-position-horizontal-relative:page;mso-position-vertical-relative:page;position:absolute;z-index:-251651072"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1.2pt;height:12.45pt;margin-top:43.06pt;margin-left:415.16pt;mso-position-horizontal-relative:page;mso-position-vertical-relative:page;position:absolute;z-index:-251652096"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91.3pt;height:12.45pt;margin-top:43.06pt;margin-left:88.76pt;mso-position-horizontal-relative:page;mso-position-vertical-relative:page;position:absolute;z-index:-251649024"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1.2pt;height:12.45pt;margin-top:43.06pt;margin-left:415.16pt;mso-position-horizontal-relative:page;mso-position-vertical-relative:page;position:absolute;z-index:-251650048"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91.3pt;height:12.45pt;margin-top:43.06pt;margin-left:88.76pt;mso-position-horizontal-relative:page;mso-position-vertical-relative:page;position:absolute;z-index:-251646976"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1.2pt;height:12.45pt;margin-top:43.06pt;margin-left:415.16pt;mso-position-horizontal-relative:page;mso-position-vertical-relative:page;position:absolute;z-index:-251648000"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91.3pt;height:12.45pt;margin-top:43.06pt;margin-left:88.76pt;mso-position-horizontal-relative:page;mso-position-vertical-relative:page;position:absolute;z-index:-251644928"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91.2pt;height:12.45pt;margin-top:43.06pt;margin-left:415.16pt;mso-position-horizontal-relative:page;mso-position-vertical-relative:page;position:absolute;z-index:-251645952"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91.3pt;height:12.45pt;margin-top:43.06pt;margin-left:88.76pt;mso-position-horizontal-relative:page;mso-position-vertical-relative:page;position:absolute;z-index:-251642880"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91.2pt;height:12.45pt;margin-top:43.06pt;margin-left:415.16pt;mso-position-horizontal-relative:page;mso-position-vertical-relative:page;position:absolute;z-index:-251643904"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91.3pt;height:12.45pt;margin-top:43.06pt;margin-left:88.76pt;mso-position-horizontal-relative:page;mso-position-vertical-relative:page;position:absolute;z-index:-251640832"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91.2pt;height:12.45pt;margin-top:43.06pt;margin-left:415.16pt;mso-position-horizontal-relative:page;mso-position-vertical-relative:page;position:absolute;z-index:-251641856"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91.3pt;height:12.45pt;margin-top:43.06pt;margin-left:88.76pt;mso-position-horizontal-relative:page;mso-position-vertical-relative:page;position:absolute;z-index:-251638784"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91.2pt;height:12.45pt;margin-top:43.06pt;margin-left:415.16pt;mso-position-horizontal-relative:page;mso-position-vertical-relative:page;position:absolute;z-index:-251639808"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91.3pt;height:12.45pt;margin-top:43.06pt;margin-left:88.76pt;mso-position-horizontal-relative:page;mso-position-vertical-relative:page;position:absolute;z-index:-251636736"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91.2pt;height:12.45pt;margin-top:43.06pt;margin-left:415.16pt;mso-position-horizontal-relative:page;mso-position-vertical-relative:page;position:absolute;z-index:-251637760"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91.3pt;height:12.45pt;margin-top:43.06pt;margin-left:88.76pt;mso-position-horizontal-relative:page;mso-position-vertical-relative:page;position:absolute;z-index:-251634688"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91.2pt;height:12.45pt;margin-top:43.06pt;margin-left:415.16pt;mso-position-horizontal-relative:page;mso-position-vertical-relative:page;position:absolute;z-index:-251635712"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91.3pt;height:12.45pt;margin-top:43.06pt;margin-left:88.76pt;mso-position-horizontal-relative:page;mso-position-vertical-relative:page;position:absolute;z-index:-251632640"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91.2pt;height:12.45pt;margin-top:43.06pt;margin-left:415.16pt;mso-position-horizontal-relative:page;mso-position-vertical-relative:page;position:absolute;z-index:-251633664" filled="f" stroked="f">
          <v:textbox inset="0,0,0,0">
            <w:txbxContent>
              <w:p>
                <w:pPr>
                  <w:pStyle w:val="BodyText"/>
                  <w:spacing w:line="249" w:lineRule="exact"/>
                  <w:ind w:left="20"/>
                  <w:rPr>
                    <w:rFonts w:ascii="黑体" w:hAnsi="黑体"/>
                  </w:rPr>
                </w:pPr>
                <w:r>
                  <w:rPr>
                    <w:rFonts w:ascii="黑体" w:hAnsi="黑体"/>
                  </w:rPr>
                  <w:t>DB4401/T 91—2020</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96DB6"/>
    <w:multiLevelType w:val="hybridMultilevel"/>
    <w:tmpl w:val="00000000"/>
    <w:lvl w:ilvl="0">
      <w:start w:val="3"/>
      <w:numFmt w:val="lowerLetter"/>
      <w:lvlText w:val="%1）"/>
      <w:lvlJc w:val="left"/>
      <w:pPr>
        <w:ind w:left="1815" w:hanging="404"/>
        <w:jc w:val="left"/>
      </w:pPr>
      <w:rPr>
        <w:rFonts w:ascii="宋体" w:eastAsia="宋体" w:hAnsi="宋体" w:cs="宋体" w:hint="default"/>
        <w:spacing w:val="0"/>
        <w:w w:val="99"/>
        <w:sz w:val="21"/>
        <w:szCs w:val="21"/>
        <w:lang w:val="en-US" w:eastAsia="zh-CN" w:bidi="ar-SA"/>
      </w:rPr>
    </w:lvl>
    <w:lvl w:ilvl="1">
      <w:start w:val="0"/>
      <w:numFmt w:val="bullet"/>
      <w:lvlText w:val="•"/>
      <w:lvlJc w:val="left"/>
      <w:pPr>
        <w:ind w:left="2652" w:hanging="404"/>
      </w:pPr>
      <w:rPr>
        <w:rFonts w:hint="default"/>
        <w:lang w:val="en-US" w:eastAsia="zh-CN" w:bidi="ar-SA"/>
      </w:rPr>
    </w:lvl>
    <w:lvl w:ilvl="2">
      <w:start w:val="0"/>
      <w:numFmt w:val="bullet"/>
      <w:lvlText w:val="•"/>
      <w:lvlJc w:val="left"/>
      <w:pPr>
        <w:ind w:left="3485" w:hanging="404"/>
      </w:pPr>
      <w:rPr>
        <w:rFonts w:hint="default"/>
        <w:lang w:val="en-US" w:eastAsia="zh-CN" w:bidi="ar-SA"/>
      </w:rPr>
    </w:lvl>
    <w:lvl w:ilvl="3">
      <w:start w:val="0"/>
      <w:numFmt w:val="bullet"/>
      <w:lvlText w:val="•"/>
      <w:lvlJc w:val="left"/>
      <w:pPr>
        <w:ind w:left="4317" w:hanging="404"/>
      </w:pPr>
      <w:rPr>
        <w:rFonts w:hint="default"/>
        <w:lang w:val="en-US" w:eastAsia="zh-CN" w:bidi="ar-SA"/>
      </w:rPr>
    </w:lvl>
    <w:lvl w:ilvl="4">
      <w:start w:val="0"/>
      <w:numFmt w:val="bullet"/>
      <w:lvlText w:val="•"/>
      <w:lvlJc w:val="left"/>
      <w:pPr>
        <w:ind w:left="5150" w:hanging="404"/>
      </w:pPr>
      <w:rPr>
        <w:rFonts w:hint="default"/>
        <w:lang w:val="en-US" w:eastAsia="zh-CN" w:bidi="ar-SA"/>
      </w:rPr>
    </w:lvl>
    <w:lvl w:ilvl="5">
      <w:start w:val="0"/>
      <w:numFmt w:val="bullet"/>
      <w:lvlText w:val="•"/>
      <w:lvlJc w:val="left"/>
      <w:pPr>
        <w:ind w:left="5982" w:hanging="404"/>
      </w:pPr>
      <w:rPr>
        <w:rFonts w:hint="default"/>
        <w:lang w:val="en-US" w:eastAsia="zh-CN" w:bidi="ar-SA"/>
      </w:rPr>
    </w:lvl>
    <w:lvl w:ilvl="6">
      <w:start w:val="0"/>
      <w:numFmt w:val="bullet"/>
      <w:lvlText w:val="•"/>
      <w:lvlJc w:val="left"/>
      <w:pPr>
        <w:ind w:left="6815" w:hanging="404"/>
      </w:pPr>
      <w:rPr>
        <w:rFonts w:hint="default"/>
        <w:lang w:val="en-US" w:eastAsia="zh-CN" w:bidi="ar-SA"/>
      </w:rPr>
    </w:lvl>
    <w:lvl w:ilvl="7">
      <w:start w:val="0"/>
      <w:numFmt w:val="bullet"/>
      <w:lvlText w:val="•"/>
      <w:lvlJc w:val="left"/>
      <w:pPr>
        <w:ind w:left="7647" w:hanging="404"/>
      </w:pPr>
      <w:rPr>
        <w:rFonts w:hint="default"/>
        <w:lang w:val="en-US" w:eastAsia="zh-CN" w:bidi="ar-SA"/>
      </w:rPr>
    </w:lvl>
    <w:lvl w:ilvl="8">
      <w:start w:val="0"/>
      <w:numFmt w:val="bullet"/>
      <w:lvlText w:val="•"/>
      <w:lvlJc w:val="left"/>
      <w:pPr>
        <w:ind w:left="8480" w:hanging="404"/>
      </w:pPr>
      <w:rPr>
        <w:rFonts w:hint="default"/>
        <w:lang w:val="en-US" w:eastAsia="zh-CN" w:bidi="ar-SA"/>
      </w:rPr>
    </w:lvl>
  </w:abstractNum>
  <w:abstractNum w:abstractNumId="1">
    <w:nsid w:val="00950AC0"/>
    <w:multiLevelType w:val="hybridMultilevel"/>
    <w:tmpl w:val="00000000"/>
    <w:lvl w:ilvl="0">
      <w:start w:val="4"/>
      <w:numFmt w:val="decimal"/>
      <w:lvlText w:val="%1"/>
      <w:lvlJc w:val="left"/>
      <w:pPr>
        <w:ind w:left="1500" w:hanging="526"/>
        <w:jc w:val="left"/>
      </w:pPr>
      <w:rPr>
        <w:rFonts w:hint="default"/>
        <w:lang w:val="en-US" w:eastAsia="zh-CN" w:bidi="ar-SA"/>
      </w:rPr>
    </w:lvl>
    <w:lvl w:ilvl="1">
      <w:start w:val="3"/>
      <w:numFmt w:val="decimal"/>
      <w:lvlText w:val="%1.%2"/>
      <w:lvlJc w:val="left"/>
      <w:pPr>
        <w:ind w:left="1500" w:hanging="526"/>
        <w:jc w:val="left"/>
      </w:pPr>
      <w:rPr>
        <w:rFonts w:ascii="黑体" w:eastAsia="黑体" w:hAnsi="黑体" w:cs="黑体" w:hint="default"/>
        <w:w w:val="99"/>
        <w:sz w:val="21"/>
        <w:szCs w:val="21"/>
        <w:lang w:val="en-US" w:eastAsia="zh-CN" w:bidi="ar-SA"/>
      </w:rPr>
    </w:lvl>
    <w:lvl w:ilvl="2">
      <w:start w:val="1"/>
      <w:numFmt w:val="decimal"/>
      <w:lvlText w:val="%1.%2.%3"/>
      <w:lvlJc w:val="left"/>
      <w:pPr>
        <w:ind w:left="1712" w:hanging="737"/>
        <w:jc w:val="left"/>
      </w:pPr>
      <w:rPr>
        <w:rFonts w:ascii="黑体" w:eastAsia="黑体" w:hAnsi="黑体" w:cs="黑体" w:hint="default"/>
        <w:w w:val="99"/>
        <w:sz w:val="21"/>
        <w:szCs w:val="21"/>
        <w:lang w:val="en-US" w:eastAsia="zh-CN" w:bidi="ar-SA"/>
      </w:rPr>
    </w:lvl>
    <w:lvl w:ilvl="3">
      <w:start w:val="1"/>
      <w:numFmt w:val="decimal"/>
      <w:lvlText w:val="%1.%2.%3.%4"/>
      <w:lvlJc w:val="left"/>
      <w:pPr>
        <w:ind w:left="1920" w:hanging="946"/>
        <w:jc w:val="left"/>
      </w:pPr>
      <w:rPr>
        <w:rFonts w:ascii="黑体" w:eastAsia="黑体" w:hAnsi="黑体" w:cs="黑体" w:hint="default"/>
        <w:w w:val="99"/>
        <w:sz w:val="21"/>
        <w:szCs w:val="21"/>
        <w:lang w:val="en-US" w:eastAsia="zh-CN" w:bidi="ar-SA"/>
      </w:rPr>
    </w:lvl>
    <w:lvl w:ilvl="4">
      <w:start w:val="1"/>
      <w:numFmt w:val="lowerLetter"/>
      <w:lvlText w:val="%5)"/>
      <w:lvlJc w:val="left"/>
      <w:pPr>
        <w:ind w:left="1815" w:hanging="421"/>
        <w:jc w:val="left"/>
      </w:pPr>
      <w:rPr>
        <w:rFonts w:ascii="宋体" w:eastAsia="宋体" w:hAnsi="宋体" w:cs="宋体" w:hint="default"/>
        <w:w w:val="99"/>
        <w:sz w:val="21"/>
        <w:szCs w:val="21"/>
        <w:lang w:val="en-US" w:eastAsia="zh-CN" w:bidi="ar-SA"/>
      </w:rPr>
    </w:lvl>
    <w:lvl w:ilvl="5">
      <w:start w:val="0"/>
      <w:numFmt w:val="bullet"/>
      <w:lvlText w:val="•"/>
      <w:lvlJc w:val="left"/>
      <w:pPr>
        <w:ind w:left="2020" w:hanging="421"/>
      </w:pPr>
      <w:rPr>
        <w:rFonts w:hint="default"/>
        <w:lang w:val="en-US" w:eastAsia="zh-CN" w:bidi="ar-SA"/>
      </w:rPr>
    </w:lvl>
    <w:lvl w:ilvl="6">
      <w:start w:val="0"/>
      <w:numFmt w:val="bullet"/>
      <w:lvlText w:val="•"/>
      <w:lvlJc w:val="left"/>
      <w:pPr>
        <w:ind w:left="3645" w:hanging="421"/>
      </w:pPr>
      <w:rPr>
        <w:rFonts w:hint="default"/>
        <w:lang w:val="en-US" w:eastAsia="zh-CN" w:bidi="ar-SA"/>
      </w:rPr>
    </w:lvl>
    <w:lvl w:ilvl="7">
      <w:start w:val="0"/>
      <w:numFmt w:val="bullet"/>
      <w:lvlText w:val="•"/>
      <w:lvlJc w:val="left"/>
      <w:pPr>
        <w:ind w:left="5270" w:hanging="421"/>
      </w:pPr>
      <w:rPr>
        <w:rFonts w:hint="default"/>
        <w:lang w:val="en-US" w:eastAsia="zh-CN" w:bidi="ar-SA"/>
      </w:rPr>
    </w:lvl>
    <w:lvl w:ilvl="8">
      <w:start w:val="0"/>
      <w:numFmt w:val="bullet"/>
      <w:lvlText w:val="•"/>
      <w:lvlJc w:val="left"/>
      <w:pPr>
        <w:ind w:left="6895" w:hanging="421"/>
      </w:pPr>
      <w:rPr>
        <w:rFonts w:hint="default"/>
        <w:lang w:val="en-US" w:eastAsia="zh-CN" w:bidi="ar-SA"/>
      </w:rPr>
    </w:lvl>
  </w:abstractNum>
  <w:abstractNum w:abstractNumId="2">
    <w:nsid w:val="00955486"/>
    <w:multiLevelType w:val="hybridMultilevel"/>
    <w:tmpl w:val="00000000"/>
    <w:lvl w:ilvl="0">
      <w:start w:val="5"/>
      <w:numFmt w:val="decimal"/>
      <w:lvlText w:val="%1"/>
      <w:lvlJc w:val="left"/>
      <w:pPr>
        <w:ind w:left="1712" w:hanging="737"/>
        <w:jc w:val="left"/>
      </w:pPr>
      <w:rPr>
        <w:rFonts w:hint="default"/>
        <w:lang w:val="en-US" w:eastAsia="zh-CN" w:bidi="ar-SA"/>
      </w:rPr>
    </w:lvl>
    <w:lvl w:ilvl="1">
      <w:start w:val="2"/>
      <w:numFmt w:val="decimal"/>
      <w:lvlText w:val="%1.%2"/>
      <w:lvlJc w:val="left"/>
      <w:pPr>
        <w:ind w:left="1712" w:hanging="737"/>
        <w:jc w:val="left"/>
      </w:pPr>
      <w:rPr>
        <w:rFonts w:hint="default"/>
        <w:lang w:val="en-US" w:eastAsia="zh-CN" w:bidi="ar-SA"/>
      </w:rPr>
    </w:lvl>
    <w:lvl w:ilvl="2">
      <w:start w:val="4"/>
      <w:numFmt w:val="decimal"/>
      <w:lvlText w:val="%1.%2.%3"/>
      <w:lvlJc w:val="left"/>
      <w:pPr>
        <w:ind w:left="1712" w:hanging="737"/>
        <w:jc w:val="left"/>
      </w:pPr>
      <w:rPr>
        <w:rFonts w:ascii="黑体" w:eastAsia="黑体" w:hAnsi="黑体" w:cs="黑体" w:hint="default"/>
        <w:w w:val="99"/>
        <w:sz w:val="21"/>
        <w:szCs w:val="21"/>
        <w:lang w:val="en-US" w:eastAsia="zh-CN" w:bidi="ar-SA"/>
      </w:rPr>
    </w:lvl>
    <w:lvl w:ilvl="3">
      <w:start w:val="1"/>
      <w:numFmt w:val="decimal"/>
      <w:lvlText w:val="%1.%2.%3.%4"/>
      <w:lvlJc w:val="left"/>
      <w:pPr>
        <w:ind w:left="975" w:hanging="946"/>
        <w:jc w:val="left"/>
      </w:pPr>
      <w:rPr>
        <w:rFonts w:ascii="黑体" w:eastAsia="黑体" w:hAnsi="黑体" w:cs="黑体" w:hint="default"/>
        <w:w w:val="99"/>
        <w:sz w:val="21"/>
        <w:szCs w:val="21"/>
        <w:lang w:val="en-US" w:eastAsia="zh-CN" w:bidi="ar-SA"/>
      </w:rPr>
    </w:lvl>
    <w:lvl w:ilvl="4">
      <w:start w:val="0"/>
      <w:numFmt w:val="bullet"/>
      <w:lvlText w:val="•"/>
      <w:lvlJc w:val="left"/>
      <w:pPr>
        <w:ind w:left="4528" w:hanging="946"/>
      </w:pPr>
      <w:rPr>
        <w:rFonts w:hint="default"/>
        <w:lang w:val="en-US" w:eastAsia="zh-CN" w:bidi="ar-SA"/>
      </w:rPr>
    </w:lvl>
    <w:lvl w:ilvl="5">
      <w:start w:val="0"/>
      <w:numFmt w:val="bullet"/>
      <w:lvlText w:val="•"/>
      <w:lvlJc w:val="left"/>
      <w:pPr>
        <w:ind w:left="5464" w:hanging="946"/>
      </w:pPr>
      <w:rPr>
        <w:rFonts w:hint="default"/>
        <w:lang w:val="en-US" w:eastAsia="zh-CN" w:bidi="ar-SA"/>
      </w:rPr>
    </w:lvl>
    <w:lvl w:ilvl="6">
      <w:start w:val="0"/>
      <w:numFmt w:val="bullet"/>
      <w:lvlText w:val="•"/>
      <w:lvlJc w:val="left"/>
      <w:pPr>
        <w:ind w:left="6400" w:hanging="946"/>
      </w:pPr>
      <w:rPr>
        <w:rFonts w:hint="default"/>
        <w:lang w:val="en-US" w:eastAsia="zh-CN" w:bidi="ar-SA"/>
      </w:rPr>
    </w:lvl>
    <w:lvl w:ilvl="7">
      <w:start w:val="0"/>
      <w:numFmt w:val="bullet"/>
      <w:lvlText w:val="•"/>
      <w:lvlJc w:val="left"/>
      <w:pPr>
        <w:ind w:left="7337" w:hanging="946"/>
      </w:pPr>
      <w:rPr>
        <w:rFonts w:hint="default"/>
        <w:lang w:val="en-US" w:eastAsia="zh-CN" w:bidi="ar-SA"/>
      </w:rPr>
    </w:lvl>
    <w:lvl w:ilvl="8">
      <w:start w:val="0"/>
      <w:numFmt w:val="bullet"/>
      <w:lvlText w:val="•"/>
      <w:lvlJc w:val="left"/>
      <w:pPr>
        <w:ind w:left="8273" w:hanging="946"/>
      </w:pPr>
      <w:rPr>
        <w:rFonts w:hint="default"/>
        <w:lang w:val="en-US" w:eastAsia="zh-CN" w:bidi="ar-SA"/>
      </w:rPr>
    </w:lvl>
  </w:abstractNum>
  <w:abstractNum w:abstractNumId="3">
    <w:nsid w:val="02F7B70C"/>
    <w:multiLevelType w:val="hybridMultilevel"/>
    <w:tmpl w:val="00000000"/>
    <w:lvl w:ilvl="0">
      <w:start w:val="5"/>
      <w:numFmt w:val="decimal"/>
      <w:lvlText w:val="%1"/>
      <w:lvlJc w:val="left"/>
      <w:pPr>
        <w:ind w:left="975" w:hanging="946"/>
        <w:jc w:val="left"/>
      </w:pPr>
      <w:rPr>
        <w:rFonts w:hint="default"/>
        <w:lang w:val="en-US" w:eastAsia="zh-CN" w:bidi="ar-SA"/>
      </w:rPr>
    </w:lvl>
    <w:lvl w:ilvl="1">
      <w:start w:val="5"/>
      <w:numFmt w:val="decimal"/>
      <w:lvlText w:val="%1.%2"/>
      <w:lvlJc w:val="left"/>
      <w:pPr>
        <w:ind w:left="975" w:hanging="946"/>
        <w:jc w:val="left"/>
      </w:pPr>
      <w:rPr>
        <w:rFonts w:hint="default"/>
        <w:lang w:val="en-US" w:eastAsia="zh-CN" w:bidi="ar-SA"/>
      </w:rPr>
    </w:lvl>
    <w:lvl w:ilvl="2">
      <w:start w:val="3"/>
      <w:numFmt w:val="decimal"/>
      <w:lvlText w:val="%1.%2.%3"/>
      <w:lvlJc w:val="left"/>
      <w:pPr>
        <w:ind w:left="975" w:hanging="946"/>
        <w:jc w:val="left"/>
      </w:pPr>
      <w:rPr>
        <w:rFonts w:hint="default"/>
        <w:lang w:val="en-US" w:eastAsia="zh-CN" w:bidi="ar-SA"/>
      </w:rPr>
    </w:lvl>
    <w:lvl w:ilvl="3">
      <w:start w:val="1"/>
      <w:numFmt w:val="decimal"/>
      <w:lvlText w:val="%1.%2.%3.%4"/>
      <w:lvlJc w:val="left"/>
      <w:pPr>
        <w:ind w:left="975" w:hanging="946"/>
        <w:jc w:val="left"/>
      </w:pPr>
      <w:rPr>
        <w:rFonts w:ascii="黑体" w:eastAsia="黑体" w:hAnsi="黑体" w:cs="黑体" w:hint="default"/>
        <w:w w:val="99"/>
        <w:sz w:val="21"/>
        <w:szCs w:val="21"/>
        <w:lang w:val="en-US" w:eastAsia="zh-CN" w:bidi="ar-SA"/>
      </w:rPr>
    </w:lvl>
    <w:lvl w:ilvl="4">
      <w:start w:val="0"/>
      <w:numFmt w:val="bullet"/>
      <w:lvlText w:val="•"/>
      <w:lvlJc w:val="left"/>
      <w:pPr>
        <w:ind w:left="4646" w:hanging="946"/>
      </w:pPr>
      <w:rPr>
        <w:rFonts w:hint="default"/>
        <w:lang w:val="en-US" w:eastAsia="zh-CN" w:bidi="ar-SA"/>
      </w:rPr>
    </w:lvl>
    <w:lvl w:ilvl="5">
      <w:start w:val="0"/>
      <w:numFmt w:val="bullet"/>
      <w:lvlText w:val="•"/>
      <w:lvlJc w:val="left"/>
      <w:pPr>
        <w:ind w:left="5562" w:hanging="946"/>
      </w:pPr>
      <w:rPr>
        <w:rFonts w:hint="default"/>
        <w:lang w:val="en-US" w:eastAsia="zh-CN" w:bidi="ar-SA"/>
      </w:rPr>
    </w:lvl>
    <w:lvl w:ilvl="6">
      <w:start w:val="0"/>
      <w:numFmt w:val="bullet"/>
      <w:lvlText w:val="•"/>
      <w:lvlJc w:val="left"/>
      <w:pPr>
        <w:ind w:left="6479" w:hanging="946"/>
      </w:pPr>
      <w:rPr>
        <w:rFonts w:hint="default"/>
        <w:lang w:val="en-US" w:eastAsia="zh-CN" w:bidi="ar-SA"/>
      </w:rPr>
    </w:lvl>
    <w:lvl w:ilvl="7">
      <w:start w:val="0"/>
      <w:numFmt w:val="bullet"/>
      <w:lvlText w:val="•"/>
      <w:lvlJc w:val="left"/>
      <w:pPr>
        <w:ind w:left="7395" w:hanging="946"/>
      </w:pPr>
      <w:rPr>
        <w:rFonts w:hint="default"/>
        <w:lang w:val="en-US" w:eastAsia="zh-CN" w:bidi="ar-SA"/>
      </w:rPr>
    </w:lvl>
    <w:lvl w:ilvl="8">
      <w:start w:val="0"/>
      <w:numFmt w:val="bullet"/>
      <w:lvlText w:val="•"/>
      <w:lvlJc w:val="left"/>
      <w:pPr>
        <w:ind w:left="8312" w:hanging="946"/>
      </w:pPr>
      <w:rPr>
        <w:rFonts w:hint="default"/>
        <w:lang w:val="en-US" w:eastAsia="zh-CN" w:bidi="ar-SA"/>
      </w:rPr>
    </w:lvl>
  </w:abstractNum>
  <w:abstractNum w:abstractNumId="4">
    <w:nsid w:val="04AD5620"/>
    <w:multiLevelType w:val="hybridMultilevel"/>
    <w:tmpl w:val="00000000"/>
    <w:lvl w:ilvl="0">
      <w:start w:val="5"/>
      <w:numFmt w:val="decimal"/>
      <w:lvlText w:val="%1"/>
      <w:lvlJc w:val="left"/>
      <w:pPr>
        <w:ind w:left="975" w:hanging="946"/>
        <w:jc w:val="left"/>
      </w:pPr>
      <w:rPr>
        <w:rFonts w:hint="default"/>
        <w:lang w:val="en-US" w:eastAsia="zh-CN" w:bidi="ar-SA"/>
      </w:rPr>
    </w:lvl>
    <w:lvl w:ilvl="1">
      <w:start w:val="4"/>
      <w:numFmt w:val="decimal"/>
      <w:lvlText w:val="%1.%2"/>
      <w:lvlJc w:val="left"/>
      <w:pPr>
        <w:ind w:left="975" w:hanging="946"/>
        <w:jc w:val="left"/>
      </w:pPr>
      <w:rPr>
        <w:rFonts w:hint="default"/>
        <w:lang w:val="en-US" w:eastAsia="zh-CN" w:bidi="ar-SA"/>
      </w:rPr>
    </w:lvl>
    <w:lvl w:ilvl="2">
      <w:start w:val="1"/>
      <w:numFmt w:val="decimal"/>
      <w:lvlText w:val="%1.%2.%3"/>
      <w:lvlJc w:val="left"/>
      <w:pPr>
        <w:ind w:left="975" w:hanging="946"/>
        <w:jc w:val="left"/>
      </w:pPr>
      <w:rPr>
        <w:rFonts w:hint="default"/>
        <w:lang w:val="en-US" w:eastAsia="zh-CN" w:bidi="ar-SA"/>
      </w:rPr>
    </w:lvl>
    <w:lvl w:ilvl="3">
      <w:start w:val="1"/>
      <w:numFmt w:val="decimal"/>
      <w:lvlText w:val="%1.%2.%3.%4"/>
      <w:lvlJc w:val="left"/>
      <w:pPr>
        <w:ind w:left="975" w:hanging="946"/>
        <w:jc w:val="left"/>
      </w:pPr>
      <w:rPr>
        <w:rFonts w:ascii="黑体" w:eastAsia="黑体" w:hAnsi="黑体" w:cs="黑体" w:hint="default"/>
        <w:w w:val="99"/>
        <w:sz w:val="21"/>
        <w:szCs w:val="21"/>
        <w:lang w:val="en-US" w:eastAsia="zh-CN" w:bidi="ar-SA"/>
      </w:rPr>
    </w:lvl>
    <w:lvl w:ilvl="4">
      <w:start w:val="0"/>
      <w:numFmt w:val="bullet"/>
      <w:lvlText w:val="•"/>
      <w:lvlJc w:val="left"/>
      <w:pPr>
        <w:ind w:left="4646" w:hanging="946"/>
      </w:pPr>
      <w:rPr>
        <w:rFonts w:hint="default"/>
        <w:lang w:val="en-US" w:eastAsia="zh-CN" w:bidi="ar-SA"/>
      </w:rPr>
    </w:lvl>
    <w:lvl w:ilvl="5">
      <w:start w:val="0"/>
      <w:numFmt w:val="bullet"/>
      <w:lvlText w:val="•"/>
      <w:lvlJc w:val="left"/>
      <w:pPr>
        <w:ind w:left="5562" w:hanging="946"/>
      </w:pPr>
      <w:rPr>
        <w:rFonts w:hint="default"/>
        <w:lang w:val="en-US" w:eastAsia="zh-CN" w:bidi="ar-SA"/>
      </w:rPr>
    </w:lvl>
    <w:lvl w:ilvl="6">
      <w:start w:val="0"/>
      <w:numFmt w:val="bullet"/>
      <w:lvlText w:val="•"/>
      <w:lvlJc w:val="left"/>
      <w:pPr>
        <w:ind w:left="6479" w:hanging="946"/>
      </w:pPr>
      <w:rPr>
        <w:rFonts w:hint="default"/>
        <w:lang w:val="en-US" w:eastAsia="zh-CN" w:bidi="ar-SA"/>
      </w:rPr>
    </w:lvl>
    <w:lvl w:ilvl="7">
      <w:start w:val="0"/>
      <w:numFmt w:val="bullet"/>
      <w:lvlText w:val="•"/>
      <w:lvlJc w:val="left"/>
      <w:pPr>
        <w:ind w:left="7395" w:hanging="946"/>
      </w:pPr>
      <w:rPr>
        <w:rFonts w:hint="default"/>
        <w:lang w:val="en-US" w:eastAsia="zh-CN" w:bidi="ar-SA"/>
      </w:rPr>
    </w:lvl>
    <w:lvl w:ilvl="8">
      <w:start w:val="0"/>
      <w:numFmt w:val="bullet"/>
      <w:lvlText w:val="•"/>
      <w:lvlJc w:val="left"/>
      <w:pPr>
        <w:ind w:left="8312" w:hanging="946"/>
      </w:pPr>
      <w:rPr>
        <w:rFonts w:hint="default"/>
        <w:lang w:val="en-US" w:eastAsia="zh-CN" w:bidi="ar-SA"/>
      </w:rPr>
    </w:lvl>
  </w:abstractNum>
  <w:abstractNum w:abstractNumId="5">
    <w:nsid w:val="0B0AB2CA"/>
    <w:multiLevelType w:val="hybridMultilevel"/>
    <w:tmpl w:val="00000000"/>
    <w:lvl w:ilvl="0">
      <w:start w:val="1"/>
      <w:numFmt w:val="lowerLetter"/>
      <w:lvlText w:val="%1）"/>
      <w:lvlJc w:val="left"/>
      <w:pPr>
        <w:ind w:left="1815" w:hanging="421"/>
        <w:jc w:val="left"/>
      </w:pPr>
      <w:rPr>
        <w:rFonts w:ascii="宋体" w:eastAsia="宋体" w:hAnsi="宋体" w:cs="宋体" w:hint="default"/>
        <w:spacing w:val="0"/>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6">
    <w:nsid w:val="0EAD1C5A"/>
    <w:multiLevelType w:val="hybridMultilevel"/>
    <w:tmpl w:val="00000000"/>
    <w:lvl w:ilvl="0">
      <w:start w:val="1"/>
      <w:numFmt w:val="decimal"/>
      <w:lvlText w:val="%1"/>
      <w:lvlJc w:val="left"/>
      <w:pPr>
        <w:ind w:left="1291" w:hanging="317"/>
        <w:jc w:val="left"/>
      </w:pPr>
      <w:rPr>
        <w:rFonts w:ascii="黑体" w:eastAsia="黑体" w:hAnsi="黑体" w:cs="黑体" w:hint="default"/>
        <w:w w:val="99"/>
        <w:sz w:val="21"/>
        <w:szCs w:val="21"/>
        <w:lang w:val="en-US" w:eastAsia="zh-CN" w:bidi="ar-SA"/>
      </w:rPr>
    </w:lvl>
    <w:lvl w:ilvl="1">
      <w:start w:val="0"/>
      <w:numFmt w:val="bullet"/>
      <w:lvlText w:val="•"/>
      <w:lvlJc w:val="left"/>
      <w:pPr>
        <w:ind w:left="2184" w:hanging="317"/>
      </w:pPr>
      <w:rPr>
        <w:rFonts w:hint="default"/>
        <w:lang w:val="en-US" w:eastAsia="zh-CN" w:bidi="ar-SA"/>
      </w:rPr>
    </w:lvl>
    <w:lvl w:ilvl="2">
      <w:start w:val="0"/>
      <w:numFmt w:val="bullet"/>
      <w:lvlText w:val="•"/>
      <w:lvlJc w:val="left"/>
      <w:pPr>
        <w:ind w:left="3069" w:hanging="317"/>
      </w:pPr>
      <w:rPr>
        <w:rFonts w:hint="default"/>
        <w:lang w:val="en-US" w:eastAsia="zh-CN" w:bidi="ar-SA"/>
      </w:rPr>
    </w:lvl>
    <w:lvl w:ilvl="3">
      <w:start w:val="0"/>
      <w:numFmt w:val="bullet"/>
      <w:lvlText w:val="•"/>
      <w:lvlJc w:val="left"/>
      <w:pPr>
        <w:ind w:left="3953" w:hanging="317"/>
      </w:pPr>
      <w:rPr>
        <w:rFonts w:hint="default"/>
        <w:lang w:val="en-US" w:eastAsia="zh-CN" w:bidi="ar-SA"/>
      </w:rPr>
    </w:lvl>
    <w:lvl w:ilvl="4">
      <w:start w:val="0"/>
      <w:numFmt w:val="bullet"/>
      <w:lvlText w:val="•"/>
      <w:lvlJc w:val="left"/>
      <w:pPr>
        <w:ind w:left="4838" w:hanging="317"/>
      </w:pPr>
      <w:rPr>
        <w:rFonts w:hint="default"/>
        <w:lang w:val="en-US" w:eastAsia="zh-CN" w:bidi="ar-SA"/>
      </w:rPr>
    </w:lvl>
    <w:lvl w:ilvl="5">
      <w:start w:val="0"/>
      <w:numFmt w:val="bullet"/>
      <w:lvlText w:val="•"/>
      <w:lvlJc w:val="left"/>
      <w:pPr>
        <w:ind w:left="5722" w:hanging="317"/>
      </w:pPr>
      <w:rPr>
        <w:rFonts w:hint="default"/>
        <w:lang w:val="en-US" w:eastAsia="zh-CN" w:bidi="ar-SA"/>
      </w:rPr>
    </w:lvl>
    <w:lvl w:ilvl="6">
      <w:start w:val="0"/>
      <w:numFmt w:val="bullet"/>
      <w:lvlText w:val="•"/>
      <w:lvlJc w:val="left"/>
      <w:pPr>
        <w:ind w:left="6607" w:hanging="317"/>
      </w:pPr>
      <w:rPr>
        <w:rFonts w:hint="default"/>
        <w:lang w:val="en-US" w:eastAsia="zh-CN" w:bidi="ar-SA"/>
      </w:rPr>
    </w:lvl>
    <w:lvl w:ilvl="7">
      <w:start w:val="0"/>
      <w:numFmt w:val="bullet"/>
      <w:lvlText w:val="•"/>
      <w:lvlJc w:val="left"/>
      <w:pPr>
        <w:ind w:left="7491" w:hanging="317"/>
      </w:pPr>
      <w:rPr>
        <w:rFonts w:hint="default"/>
        <w:lang w:val="en-US" w:eastAsia="zh-CN" w:bidi="ar-SA"/>
      </w:rPr>
    </w:lvl>
    <w:lvl w:ilvl="8">
      <w:start w:val="0"/>
      <w:numFmt w:val="bullet"/>
      <w:lvlText w:val="•"/>
      <w:lvlJc w:val="left"/>
      <w:pPr>
        <w:ind w:left="8376" w:hanging="317"/>
      </w:pPr>
      <w:rPr>
        <w:rFonts w:hint="default"/>
        <w:lang w:val="en-US" w:eastAsia="zh-CN" w:bidi="ar-SA"/>
      </w:rPr>
    </w:lvl>
  </w:abstractNum>
  <w:abstractNum w:abstractNumId="7">
    <w:nsid w:val="1096BE8D"/>
    <w:multiLevelType w:val="hybridMultilevel"/>
    <w:tmpl w:val="00000000"/>
    <w:lvl w:ilvl="0">
      <w:start w:val="1"/>
      <w:numFmt w:val="lowerLetter"/>
      <w:lvlText w:val="%1)"/>
      <w:lvlJc w:val="left"/>
      <w:pPr>
        <w:ind w:left="1815" w:hanging="421"/>
        <w:jc w:val="left"/>
      </w:pPr>
      <w:rPr>
        <w:rFonts w:ascii="宋体" w:eastAsia="宋体" w:hAnsi="宋体" w:cs="宋体" w:hint="default"/>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8">
    <w:nsid w:val="14434B0C"/>
    <w:multiLevelType w:val="hybridMultilevel"/>
    <w:tmpl w:val="00000000"/>
    <w:lvl w:ilvl="0">
      <w:start w:val="1"/>
      <w:numFmt w:val="decimal"/>
      <w:lvlText w:val="%1"/>
      <w:lvlJc w:val="left"/>
      <w:pPr>
        <w:ind w:left="1291" w:hanging="317"/>
        <w:jc w:val="left"/>
      </w:pPr>
      <w:rPr>
        <w:rFonts w:ascii="黑体" w:eastAsia="黑体" w:hAnsi="黑体" w:cs="黑体" w:hint="default"/>
        <w:w w:val="99"/>
        <w:sz w:val="21"/>
        <w:szCs w:val="21"/>
        <w:lang w:val="en-US" w:eastAsia="zh-CN" w:bidi="ar-SA"/>
      </w:rPr>
    </w:lvl>
    <w:lvl w:ilvl="1">
      <w:start w:val="0"/>
      <w:numFmt w:val="bullet"/>
      <w:lvlText w:val="•"/>
      <w:lvlJc w:val="left"/>
      <w:pPr>
        <w:ind w:left="2184" w:hanging="317"/>
      </w:pPr>
      <w:rPr>
        <w:rFonts w:hint="default"/>
        <w:lang w:val="en-US" w:eastAsia="zh-CN" w:bidi="ar-SA"/>
      </w:rPr>
    </w:lvl>
    <w:lvl w:ilvl="2">
      <w:start w:val="0"/>
      <w:numFmt w:val="bullet"/>
      <w:lvlText w:val="•"/>
      <w:lvlJc w:val="left"/>
      <w:pPr>
        <w:ind w:left="3069" w:hanging="317"/>
      </w:pPr>
      <w:rPr>
        <w:rFonts w:hint="default"/>
        <w:lang w:val="en-US" w:eastAsia="zh-CN" w:bidi="ar-SA"/>
      </w:rPr>
    </w:lvl>
    <w:lvl w:ilvl="3">
      <w:start w:val="0"/>
      <w:numFmt w:val="bullet"/>
      <w:lvlText w:val="•"/>
      <w:lvlJc w:val="left"/>
      <w:pPr>
        <w:ind w:left="3953" w:hanging="317"/>
      </w:pPr>
      <w:rPr>
        <w:rFonts w:hint="default"/>
        <w:lang w:val="en-US" w:eastAsia="zh-CN" w:bidi="ar-SA"/>
      </w:rPr>
    </w:lvl>
    <w:lvl w:ilvl="4">
      <w:start w:val="0"/>
      <w:numFmt w:val="bullet"/>
      <w:lvlText w:val="•"/>
      <w:lvlJc w:val="left"/>
      <w:pPr>
        <w:ind w:left="4838" w:hanging="317"/>
      </w:pPr>
      <w:rPr>
        <w:rFonts w:hint="default"/>
        <w:lang w:val="en-US" w:eastAsia="zh-CN" w:bidi="ar-SA"/>
      </w:rPr>
    </w:lvl>
    <w:lvl w:ilvl="5">
      <w:start w:val="0"/>
      <w:numFmt w:val="bullet"/>
      <w:lvlText w:val="•"/>
      <w:lvlJc w:val="left"/>
      <w:pPr>
        <w:ind w:left="5722" w:hanging="317"/>
      </w:pPr>
      <w:rPr>
        <w:rFonts w:hint="default"/>
        <w:lang w:val="en-US" w:eastAsia="zh-CN" w:bidi="ar-SA"/>
      </w:rPr>
    </w:lvl>
    <w:lvl w:ilvl="6">
      <w:start w:val="0"/>
      <w:numFmt w:val="bullet"/>
      <w:lvlText w:val="•"/>
      <w:lvlJc w:val="left"/>
      <w:pPr>
        <w:ind w:left="6607" w:hanging="317"/>
      </w:pPr>
      <w:rPr>
        <w:rFonts w:hint="default"/>
        <w:lang w:val="en-US" w:eastAsia="zh-CN" w:bidi="ar-SA"/>
      </w:rPr>
    </w:lvl>
    <w:lvl w:ilvl="7">
      <w:start w:val="0"/>
      <w:numFmt w:val="bullet"/>
      <w:lvlText w:val="•"/>
      <w:lvlJc w:val="left"/>
      <w:pPr>
        <w:ind w:left="7491" w:hanging="317"/>
      </w:pPr>
      <w:rPr>
        <w:rFonts w:hint="default"/>
        <w:lang w:val="en-US" w:eastAsia="zh-CN" w:bidi="ar-SA"/>
      </w:rPr>
    </w:lvl>
    <w:lvl w:ilvl="8">
      <w:start w:val="0"/>
      <w:numFmt w:val="bullet"/>
      <w:lvlText w:val="•"/>
      <w:lvlJc w:val="left"/>
      <w:pPr>
        <w:ind w:left="8376" w:hanging="317"/>
      </w:pPr>
      <w:rPr>
        <w:rFonts w:hint="default"/>
        <w:lang w:val="en-US" w:eastAsia="zh-CN" w:bidi="ar-SA"/>
      </w:rPr>
    </w:lvl>
  </w:abstractNum>
  <w:abstractNum w:abstractNumId="9">
    <w:nsid w:val="1640AA88"/>
    <w:multiLevelType w:val="hybridMultilevel"/>
    <w:tmpl w:val="00000000"/>
    <w:lvl w:ilvl="0">
      <w:start w:val="5"/>
      <w:numFmt w:val="decimal"/>
      <w:lvlText w:val="%1"/>
      <w:lvlJc w:val="left"/>
      <w:pPr>
        <w:ind w:left="1332" w:hanging="526"/>
        <w:jc w:val="left"/>
      </w:pPr>
      <w:rPr>
        <w:rFonts w:hint="default"/>
        <w:lang w:val="en-US" w:eastAsia="zh-CN" w:bidi="ar-SA"/>
      </w:rPr>
    </w:lvl>
    <w:lvl w:ilvl="1">
      <w:start w:val="7"/>
      <w:numFmt w:val="decimal"/>
      <w:lvlText w:val="%1.%2"/>
      <w:lvlJc w:val="left"/>
      <w:pPr>
        <w:ind w:left="1332" w:hanging="526"/>
        <w:jc w:val="left"/>
      </w:pPr>
      <w:rPr>
        <w:rFonts w:ascii="宋体" w:eastAsia="宋体" w:hAnsi="宋体" w:cs="宋体" w:hint="default"/>
        <w:w w:val="99"/>
        <w:sz w:val="21"/>
        <w:szCs w:val="21"/>
        <w:lang w:val="en-US" w:eastAsia="zh-CN" w:bidi="ar-SA"/>
      </w:rPr>
    </w:lvl>
    <w:lvl w:ilvl="2">
      <w:start w:val="0"/>
      <w:numFmt w:val="bullet"/>
      <w:lvlText w:val="•"/>
      <w:lvlJc w:val="left"/>
      <w:pPr>
        <w:ind w:left="3101" w:hanging="526"/>
      </w:pPr>
      <w:rPr>
        <w:rFonts w:hint="default"/>
        <w:lang w:val="en-US" w:eastAsia="zh-CN" w:bidi="ar-SA"/>
      </w:rPr>
    </w:lvl>
    <w:lvl w:ilvl="3">
      <w:start w:val="0"/>
      <w:numFmt w:val="bullet"/>
      <w:lvlText w:val="•"/>
      <w:lvlJc w:val="left"/>
      <w:pPr>
        <w:ind w:left="3981" w:hanging="526"/>
      </w:pPr>
      <w:rPr>
        <w:rFonts w:hint="default"/>
        <w:lang w:val="en-US" w:eastAsia="zh-CN" w:bidi="ar-SA"/>
      </w:rPr>
    </w:lvl>
    <w:lvl w:ilvl="4">
      <w:start w:val="0"/>
      <w:numFmt w:val="bullet"/>
      <w:lvlText w:val="•"/>
      <w:lvlJc w:val="left"/>
      <w:pPr>
        <w:ind w:left="4862" w:hanging="526"/>
      </w:pPr>
      <w:rPr>
        <w:rFonts w:hint="default"/>
        <w:lang w:val="en-US" w:eastAsia="zh-CN" w:bidi="ar-SA"/>
      </w:rPr>
    </w:lvl>
    <w:lvl w:ilvl="5">
      <w:start w:val="0"/>
      <w:numFmt w:val="bullet"/>
      <w:lvlText w:val="•"/>
      <w:lvlJc w:val="left"/>
      <w:pPr>
        <w:ind w:left="5742" w:hanging="526"/>
      </w:pPr>
      <w:rPr>
        <w:rFonts w:hint="default"/>
        <w:lang w:val="en-US" w:eastAsia="zh-CN" w:bidi="ar-SA"/>
      </w:rPr>
    </w:lvl>
    <w:lvl w:ilvl="6">
      <w:start w:val="0"/>
      <w:numFmt w:val="bullet"/>
      <w:lvlText w:val="•"/>
      <w:lvlJc w:val="left"/>
      <w:pPr>
        <w:ind w:left="6623" w:hanging="526"/>
      </w:pPr>
      <w:rPr>
        <w:rFonts w:hint="default"/>
        <w:lang w:val="en-US" w:eastAsia="zh-CN" w:bidi="ar-SA"/>
      </w:rPr>
    </w:lvl>
    <w:lvl w:ilvl="7">
      <w:start w:val="0"/>
      <w:numFmt w:val="bullet"/>
      <w:lvlText w:val="•"/>
      <w:lvlJc w:val="left"/>
      <w:pPr>
        <w:ind w:left="7503" w:hanging="526"/>
      </w:pPr>
      <w:rPr>
        <w:rFonts w:hint="default"/>
        <w:lang w:val="en-US" w:eastAsia="zh-CN" w:bidi="ar-SA"/>
      </w:rPr>
    </w:lvl>
    <w:lvl w:ilvl="8">
      <w:start w:val="0"/>
      <w:numFmt w:val="bullet"/>
      <w:lvlText w:val="•"/>
      <w:lvlJc w:val="left"/>
      <w:pPr>
        <w:ind w:left="8384" w:hanging="526"/>
      </w:pPr>
      <w:rPr>
        <w:rFonts w:hint="default"/>
        <w:lang w:val="en-US" w:eastAsia="zh-CN" w:bidi="ar-SA"/>
      </w:rPr>
    </w:lvl>
  </w:abstractNum>
  <w:abstractNum w:abstractNumId="10">
    <w:nsid w:val="1A5461AD"/>
    <w:multiLevelType w:val="hybridMultilevel"/>
    <w:tmpl w:val="00000000"/>
    <w:lvl w:ilvl="0">
      <w:start w:val="4"/>
      <w:numFmt w:val="decimal"/>
      <w:lvlText w:val="%1"/>
      <w:lvlJc w:val="left"/>
      <w:pPr>
        <w:ind w:left="1291" w:hanging="317"/>
        <w:jc w:val="left"/>
      </w:pPr>
      <w:rPr>
        <w:rFonts w:ascii="黑体" w:eastAsia="黑体" w:hAnsi="黑体" w:cs="黑体" w:hint="default"/>
        <w:w w:val="99"/>
        <w:sz w:val="21"/>
        <w:szCs w:val="21"/>
        <w:lang w:val="en-US" w:eastAsia="zh-CN" w:bidi="ar-SA"/>
      </w:rPr>
    </w:lvl>
    <w:lvl w:ilvl="1">
      <w:start w:val="1"/>
      <w:numFmt w:val="decimal"/>
      <w:lvlText w:val="%1.%2"/>
      <w:lvlJc w:val="left"/>
      <w:pPr>
        <w:ind w:left="1500" w:hanging="526"/>
        <w:jc w:val="left"/>
      </w:pPr>
      <w:rPr>
        <w:rFonts w:ascii="黑体" w:eastAsia="黑体" w:hAnsi="黑体" w:cs="黑体" w:hint="default"/>
        <w:w w:val="99"/>
        <w:sz w:val="21"/>
        <w:szCs w:val="21"/>
        <w:lang w:val="en-US" w:eastAsia="zh-CN" w:bidi="ar-SA"/>
      </w:rPr>
    </w:lvl>
    <w:lvl w:ilvl="2">
      <w:start w:val="1"/>
      <w:numFmt w:val="decimal"/>
      <w:lvlText w:val="%1.%2.%3"/>
      <w:lvlJc w:val="left"/>
      <w:pPr>
        <w:ind w:left="1712" w:hanging="737"/>
        <w:jc w:val="left"/>
      </w:pPr>
      <w:rPr>
        <w:rFonts w:ascii="黑体" w:eastAsia="黑体" w:hAnsi="黑体" w:cs="黑体" w:hint="default"/>
        <w:w w:val="99"/>
        <w:sz w:val="21"/>
        <w:szCs w:val="21"/>
        <w:lang w:val="en-US" w:eastAsia="zh-CN" w:bidi="ar-SA"/>
      </w:rPr>
    </w:lvl>
    <w:lvl w:ilvl="3">
      <w:start w:val="1"/>
      <w:numFmt w:val="lowerLetter"/>
      <w:lvlText w:val="%4)"/>
      <w:lvlJc w:val="left"/>
      <w:pPr>
        <w:ind w:left="1815" w:hanging="421"/>
        <w:jc w:val="left"/>
      </w:pPr>
      <w:rPr>
        <w:rFonts w:ascii="宋体" w:eastAsia="宋体" w:hAnsi="宋体" w:cs="宋体" w:hint="default"/>
        <w:w w:val="99"/>
        <w:sz w:val="21"/>
        <w:szCs w:val="21"/>
        <w:lang w:val="en-US" w:eastAsia="zh-CN" w:bidi="ar-SA"/>
      </w:rPr>
    </w:lvl>
    <w:lvl w:ilvl="4">
      <w:start w:val="0"/>
      <w:numFmt w:val="bullet"/>
      <w:lvlText w:val="•"/>
      <w:lvlJc w:val="left"/>
      <w:pPr>
        <w:ind w:left="3009" w:hanging="421"/>
      </w:pPr>
      <w:rPr>
        <w:rFonts w:hint="default"/>
        <w:lang w:val="en-US" w:eastAsia="zh-CN" w:bidi="ar-SA"/>
      </w:rPr>
    </w:lvl>
    <w:lvl w:ilvl="5">
      <w:start w:val="0"/>
      <w:numFmt w:val="bullet"/>
      <w:lvlText w:val="•"/>
      <w:lvlJc w:val="left"/>
      <w:pPr>
        <w:ind w:left="4198" w:hanging="421"/>
      </w:pPr>
      <w:rPr>
        <w:rFonts w:hint="default"/>
        <w:lang w:val="en-US" w:eastAsia="zh-CN" w:bidi="ar-SA"/>
      </w:rPr>
    </w:lvl>
    <w:lvl w:ilvl="6">
      <w:start w:val="0"/>
      <w:numFmt w:val="bullet"/>
      <w:lvlText w:val="•"/>
      <w:lvlJc w:val="left"/>
      <w:pPr>
        <w:ind w:left="5388" w:hanging="421"/>
      </w:pPr>
      <w:rPr>
        <w:rFonts w:hint="default"/>
        <w:lang w:val="en-US" w:eastAsia="zh-CN" w:bidi="ar-SA"/>
      </w:rPr>
    </w:lvl>
    <w:lvl w:ilvl="7">
      <w:start w:val="0"/>
      <w:numFmt w:val="bullet"/>
      <w:lvlText w:val="•"/>
      <w:lvlJc w:val="left"/>
      <w:pPr>
        <w:ind w:left="6577" w:hanging="421"/>
      </w:pPr>
      <w:rPr>
        <w:rFonts w:hint="default"/>
        <w:lang w:val="en-US" w:eastAsia="zh-CN" w:bidi="ar-SA"/>
      </w:rPr>
    </w:lvl>
    <w:lvl w:ilvl="8">
      <w:start w:val="0"/>
      <w:numFmt w:val="bullet"/>
      <w:lvlText w:val="•"/>
      <w:lvlJc w:val="left"/>
      <w:pPr>
        <w:ind w:left="7766" w:hanging="421"/>
      </w:pPr>
      <w:rPr>
        <w:rFonts w:hint="default"/>
        <w:lang w:val="en-US" w:eastAsia="zh-CN" w:bidi="ar-SA"/>
      </w:rPr>
    </w:lvl>
  </w:abstractNum>
  <w:abstractNum w:abstractNumId="11">
    <w:nsid w:val="1AA8FDB4"/>
    <w:multiLevelType w:val="hybridMultilevel"/>
    <w:tmpl w:val="00000000"/>
    <w:lvl w:ilvl="0">
      <w:start w:val="5"/>
      <w:numFmt w:val="decimal"/>
      <w:lvlText w:val="%1"/>
      <w:lvlJc w:val="left"/>
      <w:pPr>
        <w:ind w:left="975" w:hanging="946"/>
        <w:jc w:val="left"/>
      </w:pPr>
      <w:rPr>
        <w:rFonts w:hint="default"/>
        <w:lang w:val="en-US" w:eastAsia="zh-CN" w:bidi="ar-SA"/>
      </w:rPr>
    </w:lvl>
    <w:lvl w:ilvl="1">
      <w:start w:val="4"/>
      <w:numFmt w:val="decimal"/>
      <w:lvlText w:val="%1.%2"/>
      <w:lvlJc w:val="left"/>
      <w:pPr>
        <w:ind w:left="975" w:hanging="946"/>
        <w:jc w:val="left"/>
      </w:pPr>
      <w:rPr>
        <w:rFonts w:hint="default"/>
        <w:lang w:val="en-US" w:eastAsia="zh-CN" w:bidi="ar-SA"/>
      </w:rPr>
    </w:lvl>
    <w:lvl w:ilvl="2">
      <w:start w:val="3"/>
      <w:numFmt w:val="decimal"/>
      <w:lvlText w:val="%1.%2.%3"/>
      <w:lvlJc w:val="left"/>
      <w:pPr>
        <w:ind w:left="975" w:hanging="946"/>
        <w:jc w:val="left"/>
      </w:pPr>
      <w:rPr>
        <w:rFonts w:hint="default"/>
        <w:lang w:val="en-US" w:eastAsia="zh-CN" w:bidi="ar-SA"/>
      </w:rPr>
    </w:lvl>
    <w:lvl w:ilvl="3">
      <w:start w:val="1"/>
      <w:numFmt w:val="decimal"/>
      <w:lvlText w:val="%1.%2.%3.%4"/>
      <w:lvlJc w:val="left"/>
      <w:pPr>
        <w:ind w:left="975" w:hanging="946"/>
        <w:jc w:val="left"/>
      </w:pPr>
      <w:rPr>
        <w:rFonts w:ascii="黑体" w:eastAsia="黑体" w:hAnsi="黑体" w:cs="黑体" w:hint="default"/>
        <w:w w:val="99"/>
        <w:sz w:val="21"/>
        <w:szCs w:val="21"/>
        <w:lang w:val="en-US" w:eastAsia="zh-CN" w:bidi="ar-SA"/>
      </w:rPr>
    </w:lvl>
    <w:lvl w:ilvl="4">
      <w:start w:val="0"/>
      <w:numFmt w:val="bullet"/>
      <w:lvlText w:val="•"/>
      <w:lvlJc w:val="left"/>
      <w:pPr>
        <w:ind w:left="4646" w:hanging="946"/>
      </w:pPr>
      <w:rPr>
        <w:rFonts w:hint="default"/>
        <w:lang w:val="en-US" w:eastAsia="zh-CN" w:bidi="ar-SA"/>
      </w:rPr>
    </w:lvl>
    <w:lvl w:ilvl="5">
      <w:start w:val="0"/>
      <w:numFmt w:val="bullet"/>
      <w:lvlText w:val="•"/>
      <w:lvlJc w:val="left"/>
      <w:pPr>
        <w:ind w:left="5562" w:hanging="946"/>
      </w:pPr>
      <w:rPr>
        <w:rFonts w:hint="default"/>
        <w:lang w:val="en-US" w:eastAsia="zh-CN" w:bidi="ar-SA"/>
      </w:rPr>
    </w:lvl>
    <w:lvl w:ilvl="6">
      <w:start w:val="0"/>
      <w:numFmt w:val="bullet"/>
      <w:lvlText w:val="•"/>
      <w:lvlJc w:val="left"/>
      <w:pPr>
        <w:ind w:left="6479" w:hanging="946"/>
      </w:pPr>
      <w:rPr>
        <w:rFonts w:hint="default"/>
        <w:lang w:val="en-US" w:eastAsia="zh-CN" w:bidi="ar-SA"/>
      </w:rPr>
    </w:lvl>
    <w:lvl w:ilvl="7">
      <w:start w:val="0"/>
      <w:numFmt w:val="bullet"/>
      <w:lvlText w:val="•"/>
      <w:lvlJc w:val="left"/>
      <w:pPr>
        <w:ind w:left="7395" w:hanging="946"/>
      </w:pPr>
      <w:rPr>
        <w:rFonts w:hint="default"/>
        <w:lang w:val="en-US" w:eastAsia="zh-CN" w:bidi="ar-SA"/>
      </w:rPr>
    </w:lvl>
    <w:lvl w:ilvl="8">
      <w:start w:val="0"/>
      <w:numFmt w:val="bullet"/>
      <w:lvlText w:val="•"/>
      <w:lvlJc w:val="left"/>
      <w:pPr>
        <w:ind w:left="8312" w:hanging="946"/>
      </w:pPr>
      <w:rPr>
        <w:rFonts w:hint="default"/>
        <w:lang w:val="en-US" w:eastAsia="zh-CN" w:bidi="ar-SA"/>
      </w:rPr>
    </w:lvl>
  </w:abstractNum>
  <w:abstractNum w:abstractNumId="12">
    <w:nsid w:val="1B64C7E1"/>
    <w:multiLevelType w:val="hybridMultilevel"/>
    <w:tmpl w:val="00000000"/>
    <w:lvl w:ilvl="0">
      <w:start w:val="4"/>
      <w:numFmt w:val="decimal"/>
      <w:lvlText w:val="%1"/>
      <w:lvlJc w:val="left"/>
      <w:pPr>
        <w:ind w:left="2131" w:hanging="1157"/>
        <w:jc w:val="left"/>
      </w:pPr>
      <w:rPr>
        <w:rFonts w:hint="default"/>
        <w:lang w:val="en-US" w:eastAsia="zh-CN" w:bidi="ar-SA"/>
      </w:rPr>
    </w:lvl>
    <w:lvl w:ilvl="1">
      <w:start w:val="2"/>
      <w:numFmt w:val="decimal"/>
      <w:lvlText w:val="%1.%2"/>
      <w:lvlJc w:val="left"/>
      <w:pPr>
        <w:ind w:left="2131" w:hanging="1157"/>
        <w:jc w:val="left"/>
      </w:pPr>
      <w:rPr>
        <w:rFonts w:hint="default"/>
        <w:lang w:val="en-US" w:eastAsia="zh-CN" w:bidi="ar-SA"/>
      </w:rPr>
    </w:lvl>
    <w:lvl w:ilvl="2">
      <w:start w:val="2"/>
      <w:numFmt w:val="decimal"/>
      <w:lvlText w:val="%1.%2.%3"/>
      <w:lvlJc w:val="left"/>
      <w:pPr>
        <w:ind w:left="2131" w:hanging="1157"/>
        <w:jc w:val="left"/>
      </w:pPr>
      <w:rPr>
        <w:rFonts w:hint="default"/>
        <w:lang w:val="en-US" w:eastAsia="zh-CN" w:bidi="ar-SA"/>
      </w:rPr>
    </w:lvl>
    <w:lvl w:ilvl="3">
      <w:start w:val="3"/>
      <w:numFmt w:val="decimal"/>
      <w:lvlText w:val="%1.%2.%3.%4"/>
      <w:lvlJc w:val="left"/>
      <w:pPr>
        <w:ind w:left="2131" w:hanging="1157"/>
        <w:jc w:val="left"/>
      </w:pPr>
      <w:rPr>
        <w:rFonts w:hint="default"/>
        <w:lang w:val="en-US" w:eastAsia="zh-CN" w:bidi="ar-SA"/>
      </w:rPr>
    </w:lvl>
    <w:lvl w:ilvl="4">
      <w:start w:val="1"/>
      <w:numFmt w:val="decimal"/>
      <w:lvlText w:val="%1.%2.%3.%4.%5"/>
      <w:lvlJc w:val="left"/>
      <w:pPr>
        <w:ind w:left="2131" w:hanging="1157"/>
        <w:jc w:val="left"/>
      </w:pPr>
      <w:rPr>
        <w:rFonts w:ascii="黑体" w:eastAsia="黑体" w:hAnsi="黑体" w:cs="黑体" w:hint="default"/>
        <w:w w:val="99"/>
        <w:sz w:val="21"/>
        <w:szCs w:val="21"/>
        <w:lang w:val="en-US" w:eastAsia="zh-CN" w:bidi="ar-SA"/>
      </w:rPr>
    </w:lvl>
    <w:lvl w:ilvl="5">
      <w:start w:val="1"/>
      <w:numFmt w:val="lowerLetter"/>
      <w:lvlText w:val="%6)"/>
      <w:lvlJc w:val="left"/>
      <w:pPr>
        <w:ind w:left="1815" w:hanging="421"/>
        <w:jc w:val="left"/>
      </w:pPr>
      <w:rPr>
        <w:rFonts w:ascii="宋体" w:eastAsia="宋体" w:hAnsi="宋体" w:cs="宋体" w:hint="default"/>
        <w:w w:val="99"/>
        <w:sz w:val="21"/>
        <w:szCs w:val="21"/>
        <w:lang w:val="en-US" w:eastAsia="zh-CN" w:bidi="ar-SA"/>
      </w:rPr>
    </w:lvl>
    <w:lvl w:ilvl="6">
      <w:start w:val="1"/>
      <w:numFmt w:val="decimal"/>
      <w:lvlText w:val="%7)"/>
      <w:lvlJc w:val="left"/>
      <w:pPr>
        <w:ind w:left="2235" w:hanging="420"/>
        <w:jc w:val="left"/>
      </w:pPr>
      <w:rPr>
        <w:rFonts w:ascii="宋体" w:eastAsia="宋体" w:hAnsi="宋体" w:cs="宋体" w:hint="default"/>
        <w:w w:val="99"/>
        <w:sz w:val="21"/>
        <w:szCs w:val="21"/>
        <w:lang w:val="en-US" w:eastAsia="zh-CN" w:bidi="ar-SA"/>
      </w:rPr>
    </w:lvl>
    <w:lvl w:ilvl="7">
      <w:start w:val="0"/>
      <w:numFmt w:val="bullet"/>
      <w:lvlText w:val="•"/>
      <w:lvlJc w:val="left"/>
      <w:pPr>
        <w:ind w:left="7180" w:hanging="420"/>
      </w:pPr>
      <w:rPr>
        <w:rFonts w:hint="default"/>
        <w:lang w:val="en-US" w:eastAsia="zh-CN" w:bidi="ar-SA"/>
      </w:rPr>
    </w:lvl>
    <w:lvl w:ilvl="8">
      <w:start w:val="0"/>
      <w:numFmt w:val="bullet"/>
      <w:lvlText w:val="•"/>
      <w:lvlJc w:val="left"/>
      <w:pPr>
        <w:ind w:left="8169" w:hanging="420"/>
      </w:pPr>
      <w:rPr>
        <w:rFonts w:hint="default"/>
        <w:lang w:val="en-US" w:eastAsia="zh-CN" w:bidi="ar-SA"/>
      </w:rPr>
    </w:lvl>
  </w:abstractNum>
  <w:abstractNum w:abstractNumId="13">
    <w:nsid w:val="1FD61FA6"/>
    <w:multiLevelType w:val="hybridMultilevel"/>
    <w:tmpl w:val="00000000"/>
    <w:lvl w:ilvl="0">
      <w:start w:val="1"/>
      <w:numFmt w:val="lowerLetter"/>
      <w:lvlText w:val="%1)"/>
      <w:lvlJc w:val="left"/>
      <w:pPr>
        <w:ind w:left="1815" w:hanging="421"/>
        <w:jc w:val="left"/>
      </w:pPr>
      <w:rPr>
        <w:rFonts w:ascii="宋体" w:eastAsia="宋体" w:hAnsi="宋体" w:cs="宋体" w:hint="default"/>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14">
    <w:nsid w:val="233518B5"/>
    <w:multiLevelType w:val="hybridMultilevel"/>
    <w:tmpl w:val="00000000"/>
    <w:lvl w:ilvl="0">
      <w:start w:val="5"/>
      <w:numFmt w:val="decimal"/>
      <w:lvlText w:val="%1"/>
      <w:lvlJc w:val="left"/>
      <w:pPr>
        <w:ind w:left="1920" w:hanging="946"/>
        <w:jc w:val="left"/>
      </w:pPr>
      <w:rPr>
        <w:rFonts w:hint="default"/>
        <w:lang w:val="en-US" w:eastAsia="zh-CN" w:bidi="ar-SA"/>
      </w:rPr>
    </w:lvl>
    <w:lvl w:ilvl="1">
      <w:start w:val="5"/>
      <w:numFmt w:val="decimal"/>
      <w:lvlText w:val="%1.%2"/>
      <w:lvlJc w:val="left"/>
      <w:pPr>
        <w:ind w:left="1920" w:hanging="946"/>
        <w:jc w:val="left"/>
      </w:pPr>
      <w:rPr>
        <w:rFonts w:hint="default"/>
        <w:lang w:val="en-US" w:eastAsia="zh-CN" w:bidi="ar-SA"/>
      </w:rPr>
    </w:lvl>
    <w:lvl w:ilvl="2">
      <w:start w:val="1"/>
      <w:numFmt w:val="decimal"/>
      <w:lvlText w:val="%1.%2.%3"/>
      <w:lvlJc w:val="left"/>
      <w:pPr>
        <w:ind w:left="1920" w:hanging="946"/>
        <w:jc w:val="left"/>
      </w:pPr>
      <w:rPr>
        <w:rFonts w:hint="default"/>
        <w:lang w:val="en-US" w:eastAsia="zh-CN" w:bidi="ar-SA"/>
      </w:rPr>
    </w:lvl>
    <w:lvl w:ilvl="3">
      <w:start w:val="1"/>
      <w:numFmt w:val="decimal"/>
      <w:lvlText w:val="%1.%2.%3.%4"/>
      <w:lvlJc w:val="left"/>
      <w:pPr>
        <w:ind w:left="1920" w:hanging="946"/>
        <w:jc w:val="left"/>
      </w:pPr>
      <w:rPr>
        <w:rFonts w:ascii="黑体" w:eastAsia="黑体" w:hAnsi="黑体" w:cs="黑体" w:hint="default"/>
        <w:w w:val="99"/>
        <w:sz w:val="21"/>
        <w:szCs w:val="21"/>
        <w:lang w:val="en-US" w:eastAsia="zh-CN" w:bidi="ar-SA"/>
      </w:rPr>
    </w:lvl>
    <w:lvl w:ilvl="4">
      <w:start w:val="0"/>
      <w:numFmt w:val="bullet"/>
      <w:lvlText w:val="•"/>
      <w:lvlJc w:val="left"/>
      <w:pPr>
        <w:ind w:left="5210" w:hanging="946"/>
      </w:pPr>
      <w:rPr>
        <w:rFonts w:hint="default"/>
        <w:lang w:val="en-US" w:eastAsia="zh-CN" w:bidi="ar-SA"/>
      </w:rPr>
    </w:lvl>
    <w:lvl w:ilvl="5">
      <w:start w:val="0"/>
      <w:numFmt w:val="bullet"/>
      <w:lvlText w:val="•"/>
      <w:lvlJc w:val="left"/>
      <w:pPr>
        <w:ind w:left="6032" w:hanging="946"/>
      </w:pPr>
      <w:rPr>
        <w:rFonts w:hint="default"/>
        <w:lang w:val="en-US" w:eastAsia="zh-CN" w:bidi="ar-SA"/>
      </w:rPr>
    </w:lvl>
    <w:lvl w:ilvl="6">
      <w:start w:val="0"/>
      <w:numFmt w:val="bullet"/>
      <w:lvlText w:val="•"/>
      <w:lvlJc w:val="left"/>
      <w:pPr>
        <w:ind w:left="6855" w:hanging="946"/>
      </w:pPr>
      <w:rPr>
        <w:rFonts w:hint="default"/>
        <w:lang w:val="en-US" w:eastAsia="zh-CN" w:bidi="ar-SA"/>
      </w:rPr>
    </w:lvl>
    <w:lvl w:ilvl="7">
      <w:start w:val="0"/>
      <w:numFmt w:val="bullet"/>
      <w:lvlText w:val="•"/>
      <w:lvlJc w:val="left"/>
      <w:pPr>
        <w:ind w:left="7677" w:hanging="946"/>
      </w:pPr>
      <w:rPr>
        <w:rFonts w:hint="default"/>
        <w:lang w:val="en-US" w:eastAsia="zh-CN" w:bidi="ar-SA"/>
      </w:rPr>
    </w:lvl>
    <w:lvl w:ilvl="8">
      <w:start w:val="0"/>
      <w:numFmt w:val="bullet"/>
      <w:lvlText w:val="•"/>
      <w:lvlJc w:val="left"/>
      <w:pPr>
        <w:ind w:left="8500" w:hanging="946"/>
      </w:pPr>
      <w:rPr>
        <w:rFonts w:hint="default"/>
        <w:lang w:val="en-US" w:eastAsia="zh-CN" w:bidi="ar-SA"/>
      </w:rPr>
    </w:lvl>
  </w:abstractNum>
  <w:abstractNum w:abstractNumId="15">
    <w:nsid w:val="2359BB2B"/>
    <w:multiLevelType w:val="hybridMultilevel"/>
    <w:tmpl w:val="00000000"/>
    <w:lvl w:ilvl="0">
      <w:start w:val="5"/>
      <w:numFmt w:val="decimal"/>
      <w:lvlText w:val="%1"/>
      <w:lvlJc w:val="left"/>
      <w:pPr>
        <w:ind w:left="975" w:hanging="946"/>
        <w:jc w:val="left"/>
      </w:pPr>
      <w:rPr>
        <w:rFonts w:hint="default"/>
        <w:lang w:val="en-US" w:eastAsia="zh-CN" w:bidi="ar-SA"/>
      </w:rPr>
    </w:lvl>
    <w:lvl w:ilvl="1">
      <w:start w:val="7"/>
      <w:numFmt w:val="decimal"/>
      <w:lvlText w:val="%1.%2"/>
      <w:lvlJc w:val="left"/>
      <w:pPr>
        <w:ind w:left="975" w:hanging="946"/>
        <w:jc w:val="left"/>
      </w:pPr>
      <w:rPr>
        <w:rFonts w:hint="default"/>
        <w:lang w:val="en-US" w:eastAsia="zh-CN" w:bidi="ar-SA"/>
      </w:rPr>
    </w:lvl>
    <w:lvl w:ilvl="2">
      <w:start w:val="3"/>
      <w:numFmt w:val="decimal"/>
      <w:lvlText w:val="%1.%2.%3"/>
      <w:lvlJc w:val="left"/>
      <w:pPr>
        <w:ind w:left="975" w:hanging="946"/>
        <w:jc w:val="left"/>
      </w:pPr>
      <w:rPr>
        <w:rFonts w:hint="default"/>
        <w:lang w:val="en-US" w:eastAsia="zh-CN" w:bidi="ar-SA"/>
      </w:rPr>
    </w:lvl>
    <w:lvl w:ilvl="3">
      <w:start w:val="1"/>
      <w:numFmt w:val="decimal"/>
      <w:lvlText w:val="%1.%2.%3.%4"/>
      <w:lvlJc w:val="left"/>
      <w:pPr>
        <w:ind w:left="975" w:hanging="946"/>
        <w:jc w:val="left"/>
      </w:pPr>
      <w:rPr>
        <w:rFonts w:ascii="黑体" w:eastAsia="黑体" w:hAnsi="黑体" w:cs="黑体" w:hint="default"/>
        <w:w w:val="99"/>
        <w:sz w:val="21"/>
        <w:szCs w:val="21"/>
        <w:lang w:val="en-US" w:eastAsia="zh-CN" w:bidi="ar-SA"/>
      </w:rPr>
    </w:lvl>
    <w:lvl w:ilvl="4">
      <w:start w:val="0"/>
      <w:numFmt w:val="bullet"/>
      <w:lvlText w:val="•"/>
      <w:lvlJc w:val="left"/>
      <w:pPr>
        <w:ind w:left="4646" w:hanging="946"/>
      </w:pPr>
      <w:rPr>
        <w:rFonts w:hint="default"/>
        <w:lang w:val="en-US" w:eastAsia="zh-CN" w:bidi="ar-SA"/>
      </w:rPr>
    </w:lvl>
    <w:lvl w:ilvl="5">
      <w:start w:val="0"/>
      <w:numFmt w:val="bullet"/>
      <w:lvlText w:val="•"/>
      <w:lvlJc w:val="left"/>
      <w:pPr>
        <w:ind w:left="5562" w:hanging="946"/>
      </w:pPr>
      <w:rPr>
        <w:rFonts w:hint="default"/>
        <w:lang w:val="en-US" w:eastAsia="zh-CN" w:bidi="ar-SA"/>
      </w:rPr>
    </w:lvl>
    <w:lvl w:ilvl="6">
      <w:start w:val="0"/>
      <w:numFmt w:val="bullet"/>
      <w:lvlText w:val="•"/>
      <w:lvlJc w:val="left"/>
      <w:pPr>
        <w:ind w:left="6479" w:hanging="946"/>
      </w:pPr>
      <w:rPr>
        <w:rFonts w:hint="default"/>
        <w:lang w:val="en-US" w:eastAsia="zh-CN" w:bidi="ar-SA"/>
      </w:rPr>
    </w:lvl>
    <w:lvl w:ilvl="7">
      <w:start w:val="0"/>
      <w:numFmt w:val="bullet"/>
      <w:lvlText w:val="•"/>
      <w:lvlJc w:val="left"/>
      <w:pPr>
        <w:ind w:left="7395" w:hanging="946"/>
      </w:pPr>
      <w:rPr>
        <w:rFonts w:hint="default"/>
        <w:lang w:val="en-US" w:eastAsia="zh-CN" w:bidi="ar-SA"/>
      </w:rPr>
    </w:lvl>
    <w:lvl w:ilvl="8">
      <w:start w:val="0"/>
      <w:numFmt w:val="bullet"/>
      <w:lvlText w:val="•"/>
      <w:lvlJc w:val="left"/>
      <w:pPr>
        <w:ind w:left="8312" w:hanging="946"/>
      </w:pPr>
      <w:rPr>
        <w:rFonts w:hint="default"/>
        <w:lang w:val="en-US" w:eastAsia="zh-CN" w:bidi="ar-SA"/>
      </w:rPr>
    </w:lvl>
  </w:abstractNum>
  <w:abstractNum w:abstractNumId="16">
    <w:nsid w:val="25AA093A"/>
    <w:multiLevelType w:val="hybridMultilevel"/>
    <w:tmpl w:val="00000000"/>
    <w:lvl w:ilvl="0">
      <w:start w:val="5"/>
      <w:numFmt w:val="decimal"/>
      <w:lvlText w:val="%1"/>
      <w:lvlJc w:val="left"/>
      <w:pPr>
        <w:ind w:left="975" w:hanging="946"/>
        <w:jc w:val="left"/>
      </w:pPr>
      <w:rPr>
        <w:rFonts w:hint="default"/>
        <w:lang w:val="en-US" w:eastAsia="zh-CN" w:bidi="ar-SA"/>
      </w:rPr>
    </w:lvl>
    <w:lvl w:ilvl="1">
      <w:start w:val="7"/>
      <w:numFmt w:val="decimal"/>
      <w:lvlText w:val="%1.%2"/>
      <w:lvlJc w:val="left"/>
      <w:pPr>
        <w:ind w:left="975" w:hanging="946"/>
        <w:jc w:val="left"/>
      </w:pPr>
      <w:rPr>
        <w:rFonts w:hint="default"/>
        <w:lang w:val="en-US" w:eastAsia="zh-CN" w:bidi="ar-SA"/>
      </w:rPr>
    </w:lvl>
    <w:lvl w:ilvl="2">
      <w:start w:val="2"/>
      <w:numFmt w:val="decimal"/>
      <w:lvlText w:val="%1.%2.%3"/>
      <w:lvlJc w:val="left"/>
      <w:pPr>
        <w:ind w:left="975" w:hanging="946"/>
        <w:jc w:val="left"/>
      </w:pPr>
      <w:rPr>
        <w:rFonts w:hint="default"/>
        <w:lang w:val="en-US" w:eastAsia="zh-CN" w:bidi="ar-SA"/>
      </w:rPr>
    </w:lvl>
    <w:lvl w:ilvl="3">
      <w:start w:val="1"/>
      <w:numFmt w:val="decimal"/>
      <w:lvlText w:val="%1.%2.%3.%4"/>
      <w:lvlJc w:val="left"/>
      <w:pPr>
        <w:ind w:left="975" w:hanging="946"/>
        <w:jc w:val="left"/>
      </w:pPr>
      <w:rPr>
        <w:rFonts w:ascii="黑体" w:eastAsia="黑体" w:hAnsi="黑体" w:cs="黑体" w:hint="default"/>
        <w:w w:val="99"/>
        <w:sz w:val="21"/>
        <w:szCs w:val="21"/>
        <w:lang w:val="en-US" w:eastAsia="zh-CN" w:bidi="ar-SA"/>
      </w:rPr>
    </w:lvl>
    <w:lvl w:ilvl="4">
      <w:start w:val="0"/>
      <w:numFmt w:val="bullet"/>
      <w:lvlText w:val="•"/>
      <w:lvlJc w:val="left"/>
      <w:pPr>
        <w:ind w:left="4646" w:hanging="946"/>
      </w:pPr>
      <w:rPr>
        <w:rFonts w:hint="default"/>
        <w:lang w:val="en-US" w:eastAsia="zh-CN" w:bidi="ar-SA"/>
      </w:rPr>
    </w:lvl>
    <w:lvl w:ilvl="5">
      <w:start w:val="0"/>
      <w:numFmt w:val="bullet"/>
      <w:lvlText w:val="•"/>
      <w:lvlJc w:val="left"/>
      <w:pPr>
        <w:ind w:left="5562" w:hanging="946"/>
      </w:pPr>
      <w:rPr>
        <w:rFonts w:hint="default"/>
        <w:lang w:val="en-US" w:eastAsia="zh-CN" w:bidi="ar-SA"/>
      </w:rPr>
    </w:lvl>
    <w:lvl w:ilvl="6">
      <w:start w:val="0"/>
      <w:numFmt w:val="bullet"/>
      <w:lvlText w:val="•"/>
      <w:lvlJc w:val="left"/>
      <w:pPr>
        <w:ind w:left="6479" w:hanging="946"/>
      </w:pPr>
      <w:rPr>
        <w:rFonts w:hint="default"/>
        <w:lang w:val="en-US" w:eastAsia="zh-CN" w:bidi="ar-SA"/>
      </w:rPr>
    </w:lvl>
    <w:lvl w:ilvl="7">
      <w:start w:val="0"/>
      <w:numFmt w:val="bullet"/>
      <w:lvlText w:val="•"/>
      <w:lvlJc w:val="left"/>
      <w:pPr>
        <w:ind w:left="7395" w:hanging="946"/>
      </w:pPr>
      <w:rPr>
        <w:rFonts w:hint="default"/>
        <w:lang w:val="en-US" w:eastAsia="zh-CN" w:bidi="ar-SA"/>
      </w:rPr>
    </w:lvl>
    <w:lvl w:ilvl="8">
      <w:start w:val="0"/>
      <w:numFmt w:val="bullet"/>
      <w:lvlText w:val="•"/>
      <w:lvlJc w:val="left"/>
      <w:pPr>
        <w:ind w:left="8312" w:hanging="946"/>
      </w:pPr>
      <w:rPr>
        <w:rFonts w:hint="default"/>
        <w:lang w:val="en-US" w:eastAsia="zh-CN" w:bidi="ar-SA"/>
      </w:rPr>
    </w:lvl>
  </w:abstractNum>
  <w:abstractNum w:abstractNumId="17">
    <w:nsid w:val="2914ED86"/>
    <w:multiLevelType w:val="hybridMultilevel"/>
    <w:tmpl w:val="00000000"/>
    <w:lvl w:ilvl="0">
      <w:start w:val="1"/>
      <w:numFmt w:val="lowerLetter"/>
      <w:lvlText w:val="%1)"/>
      <w:lvlJc w:val="left"/>
      <w:pPr>
        <w:ind w:left="1815" w:hanging="421"/>
        <w:jc w:val="left"/>
      </w:pPr>
      <w:rPr>
        <w:rFonts w:ascii="宋体" w:eastAsia="宋体" w:hAnsi="宋体" w:cs="宋体" w:hint="default"/>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18">
    <w:nsid w:val="29D24FF4"/>
    <w:multiLevelType w:val="hybridMultilevel"/>
    <w:tmpl w:val="00000000"/>
    <w:lvl w:ilvl="0">
      <w:start w:val="4"/>
      <w:numFmt w:val="decimal"/>
      <w:lvlText w:val="%1"/>
      <w:lvlJc w:val="left"/>
      <w:pPr>
        <w:ind w:left="1920" w:hanging="946"/>
        <w:jc w:val="left"/>
      </w:pPr>
      <w:rPr>
        <w:rFonts w:hint="default"/>
        <w:lang w:val="en-US" w:eastAsia="zh-CN" w:bidi="ar-SA"/>
      </w:rPr>
    </w:lvl>
    <w:lvl w:ilvl="1">
      <w:start w:val="2"/>
      <w:numFmt w:val="decimal"/>
      <w:lvlText w:val="%1.%2"/>
      <w:lvlJc w:val="left"/>
      <w:pPr>
        <w:ind w:left="1920" w:hanging="946"/>
        <w:jc w:val="left"/>
      </w:pPr>
      <w:rPr>
        <w:rFonts w:hint="default"/>
        <w:lang w:val="en-US" w:eastAsia="zh-CN" w:bidi="ar-SA"/>
      </w:rPr>
    </w:lvl>
    <w:lvl w:ilvl="2">
      <w:start w:val="2"/>
      <w:numFmt w:val="decimal"/>
      <w:lvlText w:val="%1.%2.%3"/>
      <w:lvlJc w:val="left"/>
      <w:pPr>
        <w:ind w:left="1920" w:hanging="946"/>
        <w:jc w:val="left"/>
      </w:pPr>
      <w:rPr>
        <w:rFonts w:hint="default"/>
        <w:lang w:val="en-US" w:eastAsia="zh-CN" w:bidi="ar-SA"/>
      </w:rPr>
    </w:lvl>
    <w:lvl w:ilvl="3">
      <w:start w:val="1"/>
      <w:numFmt w:val="decimal"/>
      <w:lvlText w:val="%1.%2.%3.%4"/>
      <w:lvlJc w:val="left"/>
      <w:pPr>
        <w:ind w:left="1920" w:hanging="946"/>
        <w:jc w:val="left"/>
      </w:pPr>
      <w:rPr>
        <w:rFonts w:ascii="黑体" w:eastAsia="黑体" w:hAnsi="黑体" w:cs="黑体" w:hint="default"/>
        <w:w w:val="99"/>
        <w:sz w:val="21"/>
        <w:szCs w:val="21"/>
        <w:lang w:val="en-US" w:eastAsia="zh-CN" w:bidi="ar-SA"/>
      </w:rPr>
    </w:lvl>
    <w:lvl w:ilvl="4">
      <w:start w:val="1"/>
      <w:numFmt w:val="lowerLetter"/>
      <w:lvlText w:val="%5)"/>
      <w:lvlJc w:val="left"/>
      <w:pPr>
        <w:ind w:left="1815" w:hanging="421"/>
        <w:jc w:val="left"/>
      </w:pPr>
      <w:rPr>
        <w:rFonts w:ascii="宋体" w:eastAsia="宋体" w:hAnsi="宋体" w:cs="宋体" w:hint="default"/>
        <w:w w:val="99"/>
        <w:sz w:val="21"/>
        <w:szCs w:val="21"/>
        <w:lang w:val="en-US" w:eastAsia="zh-CN" w:bidi="ar-SA"/>
      </w:rPr>
    </w:lvl>
    <w:lvl w:ilvl="5">
      <w:start w:val="0"/>
      <w:numFmt w:val="bullet"/>
      <w:lvlText w:val="•"/>
      <w:lvlJc w:val="left"/>
      <w:pPr>
        <w:ind w:left="5575" w:hanging="421"/>
      </w:pPr>
      <w:rPr>
        <w:rFonts w:hint="default"/>
        <w:lang w:val="en-US" w:eastAsia="zh-CN" w:bidi="ar-SA"/>
      </w:rPr>
    </w:lvl>
    <w:lvl w:ilvl="6">
      <w:start w:val="0"/>
      <w:numFmt w:val="bullet"/>
      <w:lvlText w:val="•"/>
      <w:lvlJc w:val="left"/>
      <w:pPr>
        <w:ind w:left="6489" w:hanging="421"/>
      </w:pPr>
      <w:rPr>
        <w:rFonts w:hint="default"/>
        <w:lang w:val="en-US" w:eastAsia="zh-CN" w:bidi="ar-SA"/>
      </w:rPr>
    </w:lvl>
    <w:lvl w:ilvl="7">
      <w:start w:val="0"/>
      <w:numFmt w:val="bullet"/>
      <w:lvlText w:val="•"/>
      <w:lvlJc w:val="left"/>
      <w:pPr>
        <w:ind w:left="7403" w:hanging="421"/>
      </w:pPr>
      <w:rPr>
        <w:rFonts w:hint="default"/>
        <w:lang w:val="en-US" w:eastAsia="zh-CN" w:bidi="ar-SA"/>
      </w:rPr>
    </w:lvl>
    <w:lvl w:ilvl="8">
      <w:start w:val="0"/>
      <w:numFmt w:val="bullet"/>
      <w:lvlText w:val="•"/>
      <w:lvlJc w:val="left"/>
      <w:pPr>
        <w:ind w:left="8317" w:hanging="421"/>
      </w:pPr>
      <w:rPr>
        <w:rFonts w:hint="default"/>
        <w:lang w:val="en-US" w:eastAsia="zh-CN" w:bidi="ar-SA"/>
      </w:rPr>
    </w:lvl>
  </w:abstractNum>
  <w:abstractNum w:abstractNumId="19">
    <w:nsid w:val="30CD1C43"/>
    <w:multiLevelType w:val="hybridMultilevel"/>
    <w:tmpl w:val="00000000"/>
    <w:lvl w:ilvl="0">
      <w:start w:val="1"/>
      <w:numFmt w:val="decimal"/>
      <w:lvlText w:val="%1"/>
      <w:lvlJc w:val="left"/>
      <w:pPr>
        <w:ind w:left="912" w:hanging="317"/>
        <w:jc w:val="left"/>
      </w:pPr>
      <w:rPr>
        <w:rFonts w:ascii="宋体" w:eastAsia="宋体" w:hAnsi="宋体" w:cs="宋体" w:hint="default"/>
        <w:w w:val="99"/>
        <w:sz w:val="21"/>
        <w:szCs w:val="21"/>
        <w:lang w:val="en-US" w:eastAsia="zh-CN" w:bidi="ar-SA"/>
      </w:rPr>
    </w:lvl>
    <w:lvl w:ilvl="1">
      <w:start w:val="1"/>
      <w:numFmt w:val="decimal"/>
      <w:lvlText w:val="%1.%2"/>
      <w:lvlJc w:val="left"/>
      <w:pPr>
        <w:ind w:left="1332" w:hanging="526"/>
        <w:jc w:val="left"/>
      </w:pPr>
      <w:rPr>
        <w:rFonts w:ascii="宋体" w:eastAsia="宋体" w:hAnsi="宋体" w:cs="宋体" w:hint="default"/>
        <w:w w:val="99"/>
        <w:sz w:val="21"/>
        <w:szCs w:val="21"/>
        <w:lang w:val="en-US" w:eastAsia="zh-CN" w:bidi="ar-SA"/>
      </w:rPr>
    </w:lvl>
    <w:lvl w:ilvl="2">
      <w:start w:val="0"/>
      <w:numFmt w:val="bullet"/>
      <w:lvlText w:val="•"/>
      <w:lvlJc w:val="left"/>
      <w:pPr>
        <w:ind w:left="2318" w:hanging="526"/>
      </w:pPr>
      <w:rPr>
        <w:rFonts w:hint="default"/>
        <w:lang w:val="en-US" w:eastAsia="zh-CN" w:bidi="ar-SA"/>
      </w:rPr>
    </w:lvl>
    <w:lvl w:ilvl="3">
      <w:start w:val="0"/>
      <w:numFmt w:val="bullet"/>
      <w:lvlText w:val="•"/>
      <w:lvlJc w:val="left"/>
      <w:pPr>
        <w:ind w:left="3296" w:hanging="526"/>
      </w:pPr>
      <w:rPr>
        <w:rFonts w:hint="default"/>
        <w:lang w:val="en-US" w:eastAsia="zh-CN" w:bidi="ar-SA"/>
      </w:rPr>
    </w:lvl>
    <w:lvl w:ilvl="4">
      <w:start w:val="0"/>
      <w:numFmt w:val="bullet"/>
      <w:lvlText w:val="•"/>
      <w:lvlJc w:val="left"/>
      <w:pPr>
        <w:ind w:left="4275" w:hanging="526"/>
      </w:pPr>
      <w:rPr>
        <w:rFonts w:hint="default"/>
        <w:lang w:val="en-US" w:eastAsia="zh-CN" w:bidi="ar-SA"/>
      </w:rPr>
    </w:lvl>
    <w:lvl w:ilvl="5">
      <w:start w:val="0"/>
      <w:numFmt w:val="bullet"/>
      <w:lvlText w:val="•"/>
      <w:lvlJc w:val="left"/>
      <w:pPr>
        <w:ind w:left="5253" w:hanging="526"/>
      </w:pPr>
      <w:rPr>
        <w:rFonts w:hint="default"/>
        <w:lang w:val="en-US" w:eastAsia="zh-CN" w:bidi="ar-SA"/>
      </w:rPr>
    </w:lvl>
    <w:lvl w:ilvl="6">
      <w:start w:val="0"/>
      <w:numFmt w:val="bullet"/>
      <w:lvlText w:val="•"/>
      <w:lvlJc w:val="left"/>
      <w:pPr>
        <w:ind w:left="6231" w:hanging="526"/>
      </w:pPr>
      <w:rPr>
        <w:rFonts w:hint="default"/>
        <w:lang w:val="en-US" w:eastAsia="zh-CN" w:bidi="ar-SA"/>
      </w:rPr>
    </w:lvl>
    <w:lvl w:ilvl="7">
      <w:start w:val="0"/>
      <w:numFmt w:val="bullet"/>
      <w:lvlText w:val="•"/>
      <w:lvlJc w:val="left"/>
      <w:pPr>
        <w:ind w:left="7210" w:hanging="526"/>
      </w:pPr>
      <w:rPr>
        <w:rFonts w:hint="default"/>
        <w:lang w:val="en-US" w:eastAsia="zh-CN" w:bidi="ar-SA"/>
      </w:rPr>
    </w:lvl>
    <w:lvl w:ilvl="8">
      <w:start w:val="0"/>
      <w:numFmt w:val="bullet"/>
      <w:lvlText w:val="•"/>
      <w:lvlJc w:val="left"/>
      <w:pPr>
        <w:ind w:left="8188" w:hanging="526"/>
      </w:pPr>
      <w:rPr>
        <w:rFonts w:hint="default"/>
        <w:lang w:val="en-US" w:eastAsia="zh-CN" w:bidi="ar-SA"/>
      </w:rPr>
    </w:lvl>
  </w:abstractNum>
  <w:abstractNum w:abstractNumId="20">
    <w:nsid w:val="31AB4BC2"/>
    <w:multiLevelType w:val="hybridMultilevel"/>
    <w:tmpl w:val="00000000"/>
    <w:lvl w:ilvl="0">
      <w:start w:val="5"/>
      <w:numFmt w:val="decimal"/>
      <w:lvlText w:val="%1"/>
      <w:lvlJc w:val="left"/>
      <w:pPr>
        <w:ind w:left="975" w:hanging="946"/>
        <w:jc w:val="left"/>
      </w:pPr>
      <w:rPr>
        <w:rFonts w:hint="default"/>
        <w:lang w:val="en-US" w:eastAsia="zh-CN" w:bidi="ar-SA"/>
      </w:rPr>
    </w:lvl>
    <w:lvl w:ilvl="1">
      <w:start w:val="6"/>
      <w:numFmt w:val="decimal"/>
      <w:lvlText w:val="%1.%2"/>
      <w:lvlJc w:val="left"/>
      <w:pPr>
        <w:ind w:left="975" w:hanging="946"/>
        <w:jc w:val="left"/>
      </w:pPr>
      <w:rPr>
        <w:rFonts w:hint="default"/>
        <w:lang w:val="en-US" w:eastAsia="zh-CN" w:bidi="ar-SA"/>
      </w:rPr>
    </w:lvl>
    <w:lvl w:ilvl="2">
      <w:start w:val="1"/>
      <w:numFmt w:val="decimal"/>
      <w:lvlText w:val="%1.%2.%3"/>
      <w:lvlJc w:val="left"/>
      <w:pPr>
        <w:ind w:left="975" w:hanging="946"/>
        <w:jc w:val="left"/>
      </w:pPr>
      <w:rPr>
        <w:rFonts w:hint="default"/>
        <w:lang w:val="en-US" w:eastAsia="zh-CN" w:bidi="ar-SA"/>
      </w:rPr>
    </w:lvl>
    <w:lvl w:ilvl="3">
      <w:start w:val="1"/>
      <w:numFmt w:val="decimal"/>
      <w:lvlText w:val="%1.%2.%3.%4"/>
      <w:lvlJc w:val="left"/>
      <w:pPr>
        <w:ind w:left="975" w:hanging="946"/>
        <w:jc w:val="left"/>
      </w:pPr>
      <w:rPr>
        <w:rFonts w:ascii="黑体" w:eastAsia="黑体" w:hAnsi="黑体" w:cs="黑体" w:hint="default"/>
        <w:w w:val="99"/>
        <w:sz w:val="21"/>
        <w:szCs w:val="21"/>
        <w:lang w:val="en-US" w:eastAsia="zh-CN" w:bidi="ar-SA"/>
      </w:rPr>
    </w:lvl>
    <w:lvl w:ilvl="4">
      <w:start w:val="0"/>
      <w:numFmt w:val="bullet"/>
      <w:lvlText w:val="•"/>
      <w:lvlJc w:val="left"/>
      <w:pPr>
        <w:ind w:left="4646" w:hanging="946"/>
      </w:pPr>
      <w:rPr>
        <w:rFonts w:hint="default"/>
        <w:lang w:val="en-US" w:eastAsia="zh-CN" w:bidi="ar-SA"/>
      </w:rPr>
    </w:lvl>
    <w:lvl w:ilvl="5">
      <w:start w:val="0"/>
      <w:numFmt w:val="bullet"/>
      <w:lvlText w:val="•"/>
      <w:lvlJc w:val="left"/>
      <w:pPr>
        <w:ind w:left="5562" w:hanging="946"/>
      </w:pPr>
      <w:rPr>
        <w:rFonts w:hint="default"/>
        <w:lang w:val="en-US" w:eastAsia="zh-CN" w:bidi="ar-SA"/>
      </w:rPr>
    </w:lvl>
    <w:lvl w:ilvl="6">
      <w:start w:val="0"/>
      <w:numFmt w:val="bullet"/>
      <w:lvlText w:val="•"/>
      <w:lvlJc w:val="left"/>
      <w:pPr>
        <w:ind w:left="6479" w:hanging="946"/>
      </w:pPr>
      <w:rPr>
        <w:rFonts w:hint="default"/>
        <w:lang w:val="en-US" w:eastAsia="zh-CN" w:bidi="ar-SA"/>
      </w:rPr>
    </w:lvl>
    <w:lvl w:ilvl="7">
      <w:start w:val="0"/>
      <w:numFmt w:val="bullet"/>
      <w:lvlText w:val="•"/>
      <w:lvlJc w:val="left"/>
      <w:pPr>
        <w:ind w:left="7395" w:hanging="946"/>
      </w:pPr>
      <w:rPr>
        <w:rFonts w:hint="default"/>
        <w:lang w:val="en-US" w:eastAsia="zh-CN" w:bidi="ar-SA"/>
      </w:rPr>
    </w:lvl>
    <w:lvl w:ilvl="8">
      <w:start w:val="0"/>
      <w:numFmt w:val="bullet"/>
      <w:lvlText w:val="•"/>
      <w:lvlJc w:val="left"/>
      <w:pPr>
        <w:ind w:left="8312" w:hanging="946"/>
      </w:pPr>
      <w:rPr>
        <w:rFonts w:hint="default"/>
        <w:lang w:val="en-US" w:eastAsia="zh-CN" w:bidi="ar-SA"/>
      </w:rPr>
    </w:lvl>
  </w:abstractNum>
  <w:abstractNum w:abstractNumId="21">
    <w:nsid w:val="3A7EBEAE"/>
    <w:multiLevelType w:val="hybridMultilevel"/>
    <w:tmpl w:val="00000000"/>
    <w:lvl w:ilvl="0">
      <w:start w:val="4"/>
      <w:numFmt w:val="decimal"/>
      <w:lvlText w:val="%1"/>
      <w:lvlJc w:val="left"/>
      <w:pPr>
        <w:ind w:left="2026" w:hanging="1052"/>
        <w:jc w:val="left"/>
      </w:pPr>
      <w:rPr>
        <w:rFonts w:hint="default"/>
        <w:lang w:val="en-US" w:eastAsia="zh-CN" w:bidi="ar-SA"/>
      </w:rPr>
    </w:lvl>
    <w:lvl w:ilvl="1">
      <w:start w:val="2"/>
      <w:numFmt w:val="decimal"/>
      <w:lvlText w:val="%1.%2"/>
      <w:lvlJc w:val="left"/>
      <w:pPr>
        <w:ind w:left="2026" w:hanging="1052"/>
        <w:jc w:val="left"/>
      </w:pPr>
      <w:rPr>
        <w:rFonts w:hint="default"/>
        <w:lang w:val="en-US" w:eastAsia="zh-CN" w:bidi="ar-SA"/>
      </w:rPr>
    </w:lvl>
    <w:lvl w:ilvl="2">
      <w:start w:val="2"/>
      <w:numFmt w:val="decimal"/>
      <w:lvlText w:val="%1.%2.%3"/>
      <w:lvlJc w:val="left"/>
      <w:pPr>
        <w:ind w:left="2026" w:hanging="1052"/>
        <w:jc w:val="left"/>
      </w:pPr>
      <w:rPr>
        <w:rFonts w:hint="default"/>
        <w:lang w:val="en-US" w:eastAsia="zh-CN" w:bidi="ar-SA"/>
      </w:rPr>
    </w:lvl>
    <w:lvl w:ilvl="3">
      <w:start w:val="2"/>
      <w:numFmt w:val="decimal"/>
      <w:lvlText w:val="%1.%2.%3.%4"/>
      <w:lvlJc w:val="left"/>
      <w:pPr>
        <w:ind w:left="2026" w:hanging="1052"/>
        <w:jc w:val="left"/>
      </w:pPr>
      <w:rPr>
        <w:rFonts w:hint="default"/>
        <w:lang w:val="en-US" w:eastAsia="zh-CN" w:bidi="ar-SA"/>
      </w:rPr>
    </w:lvl>
    <w:lvl w:ilvl="4">
      <w:start w:val="1"/>
      <w:numFmt w:val="decimal"/>
      <w:lvlText w:val="%1.%2.%3.%4.%5"/>
      <w:lvlJc w:val="left"/>
      <w:pPr>
        <w:ind w:left="2026" w:hanging="1052"/>
        <w:jc w:val="left"/>
      </w:pPr>
      <w:rPr>
        <w:rFonts w:ascii="黑体" w:eastAsia="黑体" w:hAnsi="黑体" w:cs="黑体" w:hint="default"/>
        <w:w w:val="99"/>
        <w:sz w:val="21"/>
        <w:szCs w:val="21"/>
        <w:lang w:val="en-US" w:eastAsia="zh-CN" w:bidi="ar-SA"/>
      </w:rPr>
    </w:lvl>
    <w:lvl w:ilvl="5">
      <w:start w:val="1"/>
      <w:numFmt w:val="lowerLetter"/>
      <w:lvlText w:val="%6)"/>
      <w:lvlJc w:val="left"/>
      <w:pPr>
        <w:ind w:left="1815" w:hanging="421"/>
        <w:jc w:val="left"/>
      </w:pPr>
      <w:rPr>
        <w:rFonts w:ascii="宋体" w:eastAsia="宋体" w:hAnsi="宋体" w:cs="宋体" w:hint="default"/>
        <w:w w:val="99"/>
        <w:sz w:val="21"/>
        <w:szCs w:val="21"/>
        <w:lang w:val="en-US" w:eastAsia="zh-CN" w:bidi="ar-SA"/>
      </w:rPr>
    </w:lvl>
    <w:lvl w:ilvl="6">
      <w:start w:val="0"/>
      <w:numFmt w:val="bullet"/>
      <w:lvlText w:val="•"/>
      <w:lvlJc w:val="left"/>
      <w:pPr>
        <w:ind w:left="6534" w:hanging="421"/>
      </w:pPr>
      <w:rPr>
        <w:rFonts w:hint="default"/>
        <w:lang w:val="en-US" w:eastAsia="zh-CN" w:bidi="ar-SA"/>
      </w:rPr>
    </w:lvl>
    <w:lvl w:ilvl="7">
      <w:start w:val="0"/>
      <w:numFmt w:val="bullet"/>
      <w:lvlText w:val="•"/>
      <w:lvlJc w:val="left"/>
      <w:pPr>
        <w:ind w:left="7437" w:hanging="421"/>
      </w:pPr>
      <w:rPr>
        <w:rFonts w:hint="default"/>
        <w:lang w:val="en-US" w:eastAsia="zh-CN" w:bidi="ar-SA"/>
      </w:rPr>
    </w:lvl>
    <w:lvl w:ilvl="8">
      <w:start w:val="0"/>
      <w:numFmt w:val="bullet"/>
      <w:lvlText w:val="•"/>
      <w:lvlJc w:val="left"/>
      <w:pPr>
        <w:ind w:left="8339" w:hanging="421"/>
      </w:pPr>
      <w:rPr>
        <w:rFonts w:hint="default"/>
        <w:lang w:val="en-US" w:eastAsia="zh-CN" w:bidi="ar-SA"/>
      </w:rPr>
    </w:lvl>
  </w:abstractNum>
  <w:abstractNum w:abstractNumId="22">
    <w:nsid w:val="3A979790"/>
    <w:multiLevelType w:val="hybridMultilevel"/>
    <w:tmpl w:val="00000000"/>
    <w:lvl w:ilvl="0">
      <w:start w:val="1"/>
      <w:numFmt w:val="lowerLetter"/>
      <w:lvlText w:val="%1)"/>
      <w:lvlJc w:val="left"/>
      <w:pPr>
        <w:ind w:left="1815" w:hanging="421"/>
        <w:jc w:val="left"/>
      </w:pPr>
      <w:rPr>
        <w:rFonts w:ascii="宋体" w:eastAsia="宋体" w:hAnsi="宋体" w:cs="宋体" w:hint="default"/>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23">
    <w:nsid w:val="3D67FA92"/>
    <w:multiLevelType w:val="hybridMultilevel"/>
    <w:tmpl w:val="00000000"/>
    <w:lvl w:ilvl="0">
      <w:start w:val="5"/>
      <w:numFmt w:val="decimal"/>
      <w:lvlText w:val="%1"/>
      <w:lvlJc w:val="left"/>
      <w:pPr>
        <w:ind w:left="1920" w:hanging="946"/>
        <w:jc w:val="left"/>
      </w:pPr>
      <w:rPr>
        <w:rFonts w:hint="default"/>
        <w:lang w:val="en-US" w:eastAsia="zh-CN" w:bidi="ar-SA"/>
      </w:rPr>
    </w:lvl>
    <w:lvl w:ilvl="1">
      <w:start w:val="2"/>
      <w:numFmt w:val="decimal"/>
      <w:lvlText w:val="%1.%2"/>
      <w:lvlJc w:val="left"/>
      <w:pPr>
        <w:ind w:left="1920" w:hanging="946"/>
        <w:jc w:val="left"/>
      </w:pPr>
      <w:rPr>
        <w:rFonts w:hint="default"/>
        <w:lang w:val="en-US" w:eastAsia="zh-CN" w:bidi="ar-SA"/>
      </w:rPr>
    </w:lvl>
    <w:lvl w:ilvl="2">
      <w:start w:val="2"/>
      <w:numFmt w:val="decimal"/>
      <w:lvlText w:val="%1.%2.%3"/>
      <w:lvlJc w:val="left"/>
      <w:pPr>
        <w:ind w:left="1920" w:hanging="946"/>
        <w:jc w:val="left"/>
      </w:pPr>
      <w:rPr>
        <w:rFonts w:hint="default"/>
        <w:lang w:val="en-US" w:eastAsia="zh-CN" w:bidi="ar-SA"/>
      </w:rPr>
    </w:lvl>
    <w:lvl w:ilvl="3">
      <w:start w:val="1"/>
      <w:numFmt w:val="decimal"/>
      <w:lvlText w:val="%1.%2.%3.%4"/>
      <w:lvlJc w:val="left"/>
      <w:pPr>
        <w:ind w:left="1920" w:hanging="946"/>
        <w:jc w:val="left"/>
      </w:pPr>
      <w:rPr>
        <w:rFonts w:ascii="黑体" w:eastAsia="黑体" w:hAnsi="黑体" w:cs="黑体" w:hint="default"/>
        <w:w w:val="99"/>
        <w:sz w:val="21"/>
        <w:szCs w:val="21"/>
        <w:lang w:val="en-US" w:eastAsia="zh-CN" w:bidi="ar-SA"/>
      </w:rPr>
    </w:lvl>
    <w:lvl w:ilvl="4">
      <w:start w:val="1"/>
      <w:numFmt w:val="lowerLetter"/>
      <w:lvlText w:val="%5)"/>
      <w:lvlJc w:val="left"/>
      <w:pPr>
        <w:ind w:left="1815" w:hanging="421"/>
        <w:jc w:val="left"/>
      </w:pPr>
      <w:rPr>
        <w:rFonts w:ascii="宋体" w:eastAsia="宋体" w:hAnsi="宋体" w:cs="宋体" w:hint="default"/>
        <w:w w:val="99"/>
        <w:sz w:val="21"/>
        <w:szCs w:val="21"/>
        <w:lang w:val="en-US" w:eastAsia="zh-CN" w:bidi="ar-SA"/>
      </w:rPr>
    </w:lvl>
    <w:lvl w:ilvl="5">
      <w:start w:val="0"/>
      <w:numFmt w:val="bullet"/>
      <w:lvlText w:val="•"/>
      <w:lvlJc w:val="left"/>
      <w:pPr>
        <w:ind w:left="5575" w:hanging="421"/>
      </w:pPr>
      <w:rPr>
        <w:rFonts w:hint="default"/>
        <w:lang w:val="en-US" w:eastAsia="zh-CN" w:bidi="ar-SA"/>
      </w:rPr>
    </w:lvl>
    <w:lvl w:ilvl="6">
      <w:start w:val="0"/>
      <w:numFmt w:val="bullet"/>
      <w:lvlText w:val="•"/>
      <w:lvlJc w:val="left"/>
      <w:pPr>
        <w:ind w:left="6489" w:hanging="421"/>
      </w:pPr>
      <w:rPr>
        <w:rFonts w:hint="default"/>
        <w:lang w:val="en-US" w:eastAsia="zh-CN" w:bidi="ar-SA"/>
      </w:rPr>
    </w:lvl>
    <w:lvl w:ilvl="7">
      <w:start w:val="0"/>
      <w:numFmt w:val="bullet"/>
      <w:lvlText w:val="•"/>
      <w:lvlJc w:val="left"/>
      <w:pPr>
        <w:ind w:left="7403" w:hanging="421"/>
      </w:pPr>
      <w:rPr>
        <w:rFonts w:hint="default"/>
        <w:lang w:val="en-US" w:eastAsia="zh-CN" w:bidi="ar-SA"/>
      </w:rPr>
    </w:lvl>
    <w:lvl w:ilvl="8">
      <w:start w:val="0"/>
      <w:numFmt w:val="bullet"/>
      <w:lvlText w:val="•"/>
      <w:lvlJc w:val="left"/>
      <w:pPr>
        <w:ind w:left="8317" w:hanging="421"/>
      </w:pPr>
      <w:rPr>
        <w:rFonts w:hint="default"/>
        <w:lang w:val="en-US" w:eastAsia="zh-CN" w:bidi="ar-SA"/>
      </w:rPr>
    </w:lvl>
  </w:abstractNum>
  <w:abstractNum w:abstractNumId="24">
    <w:nsid w:val="3D74C06C"/>
    <w:multiLevelType w:val="hybridMultilevel"/>
    <w:tmpl w:val="00000000"/>
    <w:lvl w:ilvl="0">
      <w:start w:val="1"/>
      <w:numFmt w:val="lowerLetter"/>
      <w:lvlText w:val="%1)"/>
      <w:lvlJc w:val="left"/>
      <w:pPr>
        <w:ind w:left="1815" w:hanging="421"/>
        <w:jc w:val="left"/>
      </w:pPr>
      <w:rPr>
        <w:rFonts w:ascii="宋体" w:eastAsia="宋体" w:hAnsi="宋体" w:cs="宋体" w:hint="default"/>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25">
    <w:nsid w:val="421B1BCF"/>
    <w:multiLevelType w:val="hybridMultilevel"/>
    <w:tmpl w:val="00000000"/>
    <w:lvl w:ilvl="0">
      <w:start w:val="5"/>
      <w:numFmt w:val="decimal"/>
      <w:lvlText w:val="%1"/>
      <w:lvlJc w:val="left"/>
      <w:pPr>
        <w:ind w:left="1920" w:hanging="946"/>
        <w:jc w:val="left"/>
      </w:pPr>
      <w:rPr>
        <w:rFonts w:hint="default"/>
        <w:lang w:val="en-US" w:eastAsia="zh-CN" w:bidi="ar-SA"/>
      </w:rPr>
    </w:lvl>
    <w:lvl w:ilvl="1">
      <w:start w:val="6"/>
      <w:numFmt w:val="decimal"/>
      <w:lvlText w:val="%1.%2"/>
      <w:lvlJc w:val="left"/>
      <w:pPr>
        <w:ind w:left="1920" w:hanging="946"/>
        <w:jc w:val="left"/>
      </w:pPr>
      <w:rPr>
        <w:rFonts w:hint="default"/>
        <w:lang w:val="en-US" w:eastAsia="zh-CN" w:bidi="ar-SA"/>
      </w:rPr>
    </w:lvl>
    <w:lvl w:ilvl="2">
      <w:start w:val="3"/>
      <w:numFmt w:val="decimal"/>
      <w:lvlText w:val="%1.%2.%3"/>
      <w:lvlJc w:val="left"/>
      <w:pPr>
        <w:ind w:left="1920" w:hanging="946"/>
        <w:jc w:val="left"/>
      </w:pPr>
      <w:rPr>
        <w:rFonts w:hint="default"/>
        <w:lang w:val="en-US" w:eastAsia="zh-CN" w:bidi="ar-SA"/>
      </w:rPr>
    </w:lvl>
    <w:lvl w:ilvl="3">
      <w:start w:val="1"/>
      <w:numFmt w:val="decimal"/>
      <w:lvlText w:val="%1.%2.%3.%4"/>
      <w:lvlJc w:val="left"/>
      <w:pPr>
        <w:ind w:left="1920" w:hanging="946"/>
        <w:jc w:val="left"/>
      </w:pPr>
      <w:rPr>
        <w:rFonts w:ascii="黑体" w:eastAsia="黑体" w:hAnsi="黑体" w:cs="黑体" w:hint="default"/>
        <w:w w:val="99"/>
        <w:sz w:val="21"/>
        <w:szCs w:val="21"/>
        <w:lang w:val="en-US" w:eastAsia="zh-CN" w:bidi="ar-SA"/>
      </w:rPr>
    </w:lvl>
    <w:lvl w:ilvl="4">
      <w:start w:val="0"/>
      <w:numFmt w:val="bullet"/>
      <w:lvlText w:val="•"/>
      <w:lvlJc w:val="left"/>
      <w:pPr>
        <w:ind w:left="5210" w:hanging="946"/>
      </w:pPr>
      <w:rPr>
        <w:rFonts w:hint="default"/>
        <w:lang w:val="en-US" w:eastAsia="zh-CN" w:bidi="ar-SA"/>
      </w:rPr>
    </w:lvl>
    <w:lvl w:ilvl="5">
      <w:start w:val="0"/>
      <w:numFmt w:val="bullet"/>
      <w:lvlText w:val="•"/>
      <w:lvlJc w:val="left"/>
      <w:pPr>
        <w:ind w:left="6032" w:hanging="946"/>
      </w:pPr>
      <w:rPr>
        <w:rFonts w:hint="default"/>
        <w:lang w:val="en-US" w:eastAsia="zh-CN" w:bidi="ar-SA"/>
      </w:rPr>
    </w:lvl>
    <w:lvl w:ilvl="6">
      <w:start w:val="0"/>
      <w:numFmt w:val="bullet"/>
      <w:lvlText w:val="•"/>
      <w:lvlJc w:val="left"/>
      <w:pPr>
        <w:ind w:left="6855" w:hanging="946"/>
      </w:pPr>
      <w:rPr>
        <w:rFonts w:hint="default"/>
        <w:lang w:val="en-US" w:eastAsia="zh-CN" w:bidi="ar-SA"/>
      </w:rPr>
    </w:lvl>
    <w:lvl w:ilvl="7">
      <w:start w:val="0"/>
      <w:numFmt w:val="bullet"/>
      <w:lvlText w:val="•"/>
      <w:lvlJc w:val="left"/>
      <w:pPr>
        <w:ind w:left="7677" w:hanging="946"/>
      </w:pPr>
      <w:rPr>
        <w:rFonts w:hint="default"/>
        <w:lang w:val="en-US" w:eastAsia="zh-CN" w:bidi="ar-SA"/>
      </w:rPr>
    </w:lvl>
    <w:lvl w:ilvl="8">
      <w:start w:val="0"/>
      <w:numFmt w:val="bullet"/>
      <w:lvlText w:val="•"/>
      <w:lvlJc w:val="left"/>
      <w:pPr>
        <w:ind w:left="8500" w:hanging="946"/>
      </w:pPr>
      <w:rPr>
        <w:rFonts w:hint="default"/>
        <w:lang w:val="en-US" w:eastAsia="zh-CN" w:bidi="ar-SA"/>
      </w:rPr>
    </w:lvl>
  </w:abstractNum>
  <w:abstractNum w:abstractNumId="26">
    <w:nsid w:val="4313921C"/>
    <w:multiLevelType w:val="hybridMultilevel"/>
    <w:tmpl w:val="00000000"/>
    <w:lvl w:ilvl="0">
      <w:start w:val="5"/>
      <w:numFmt w:val="decimal"/>
      <w:lvlText w:val="%1"/>
      <w:lvlJc w:val="left"/>
      <w:pPr>
        <w:ind w:left="1500" w:hanging="526"/>
        <w:jc w:val="left"/>
      </w:pPr>
      <w:rPr>
        <w:rFonts w:hint="default"/>
        <w:lang w:val="en-US" w:eastAsia="zh-CN" w:bidi="ar-SA"/>
      </w:rPr>
    </w:lvl>
    <w:lvl w:ilvl="1">
      <w:start w:val="3"/>
      <w:numFmt w:val="decimal"/>
      <w:lvlText w:val="%1.%2"/>
      <w:lvlJc w:val="left"/>
      <w:pPr>
        <w:ind w:left="1500" w:hanging="526"/>
        <w:jc w:val="left"/>
      </w:pPr>
      <w:rPr>
        <w:rFonts w:ascii="黑体" w:eastAsia="黑体" w:hAnsi="黑体" w:cs="黑体" w:hint="default"/>
        <w:w w:val="99"/>
        <w:sz w:val="21"/>
        <w:szCs w:val="21"/>
        <w:lang w:val="en-US" w:eastAsia="zh-CN" w:bidi="ar-SA"/>
      </w:rPr>
    </w:lvl>
    <w:lvl w:ilvl="2">
      <w:start w:val="1"/>
      <w:numFmt w:val="decimal"/>
      <w:lvlText w:val="%1.%2.%3"/>
      <w:lvlJc w:val="left"/>
      <w:pPr>
        <w:ind w:left="1712" w:hanging="737"/>
        <w:jc w:val="left"/>
      </w:pPr>
      <w:rPr>
        <w:rFonts w:ascii="黑体" w:eastAsia="黑体" w:hAnsi="黑体" w:cs="黑体" w:hint="default"/>
        <w:w w:val="99"/>
        <w:sz w:val="21"/>
        <w:szCs w:val="21"/>
        <w:lang w:val="en-US" w:eastAsia="zh-CN" w:bidi="ar-SA"/>
      </w:rPr>
    </w:lvl>
    <w:lvl w:ilvl="3">
      <w:start w:val="1"/>
      <w:numFmt w:val="lowerLetter"/>
      <w:lvlText w:val="%4)"/>
      <w:lvlJc w:val="left"/>
      <w:pPr>
        <w:ind w:left="1815" w:hanging="421"/>
        <w:jc w:val="left"/>
      </w:pPr>
      <w:rPr>
        <w:rFonts w:ascii="宋体" w:eastAsia="宋体" w:hAnsi="宋体" w:cs="宋体" w:hint="default"/>
        <w:w w:val="99"/>
        <w:sz w:val="21"/>
        <w:szCs w:val="21"/>
        <w:lang w:val="en-US" w:eastAsia="zh-CN" w:bidi="ar-SA"/>
      </w:rPr>
    </w:lvl>
    <w:lvl w:ilvl="4">
      <w:start w:val="0"/>
      <w:numFmt w:val="bullet"/>
      <w:lvlText w:val="•"/>
      <w:lvlJc w:val="left"/>
      <w:pPr>
        <w:ind w:left="3901" w:hanging="421"/>
      </w:pPr>
      <w:rPr>
        <w:rFonts w:hint="default"/>
        <w:lang w:val="en-US" w:eastAsia="zh-CN" w:bidi="ar-SA"/>
      </w:rPr>
    </w:lvl>
    <w:lvl w:ilvl="5">
      <w:start w:val="0"/>
      <w:numFmt w:val="bullet"/>
      <w:lvlText w:val="•"/>
      <w:lvlJc w:val="left"/>
      <w:pPr>
        <w:ind w:left="4942" w:hanging="421"/>
      </w:pPr>
      <w:rPr>
        <w:rFonts w:hint="default"/>
        <w:lang w:val="en-US" w:eastAsia="zh-CN" w:bidi="ar-SA"/>
      </w:rPr>
    </w:lvl>
    <w:lvl w:ilvl="6">
      <w:start w:val="0"/>
      <w:numFmt w:val="bullet"/>
      <w:lvlText w:val="•"/>
      <w:lvlJc w:val="left"/>
      <w:pPr>
        <w:ind w:left="5982" w:hanging="421"/>
      </w:pPr>
      <w:rPr>
        <w:rFonts w:hint="default"/>
        <w:lang w:val="en-US" w:eastAsia="zh-CN" w:bidi="ar-SA"/>
      </w:rPr>
    </w:lvl>
    <w:lvl w:ilvl="7">
      <w:start w:val="0"/>
      <w:numFmt w:val="bullet"/>
      <w:lvlText w:val="•"/>
      <w:lvlJc w:val="left"/>
      <w:pPr>
        <w:ind w:left="7023" w:hanging="421"/>
      </w:pPr>
      <w:rPr>
        <w:rFonts w:hint="default"/>
        <w:lang w:val="en-US" w:eastAsia="zh-CN" w:bidi="ar-SA"/>
      </w:rPr>
    </w:lvl>
    <w:lvl w:ilvl="8">
      <w:start w:val="0"/>
      <w:numFmt w:val="bullet"/>
      <w:lvlText w:val="•"/>
      <w:lvlJc w:val="left"/>
      <w:pPr>
        <w:ind w:left="8064" w:hanging="421"/>
      </w:pPr>
      <w:rPr>
        <w:rFonts w:hint="default"/>
        <w:lang w:val="en-US" w:eastAsia="zh-CN" w:bidi="ar-SA"/>
      </w:rPr>
    </w:lvl>
  </w:abstractNum>
  <w:abstractNum w:abstractNumId="27">
    <w:nsid w:val="49403569"/>
    <w:multiLevelType w:val="hybridMultilevel"/>
    <w:tmpl w:val="00000000"/>
    <w:lvl w:ilvl="0">
      <w:start w:val="3"/>
      <w:numFmt w:val="lowerLetter"/>
      <w:lvlText w:val="%1）"/>
      <w:lvlJc w:val="left"/>
      <w:pPr>
        <w:ind w:left="1815" w:hanging="397"/>
        <w:jc w:val="left"/>
      </w:pPr>
      <w:rPr>
        <w:rFonts w:ascii="宋体" w:eastAsia="宋体" w:hAnsi="宋体" w:cs="宋体" w:hint="default"/>
        <w:spacing w:val="0"/>
        <w:w w:val="99"/>
        <w:sz w:val="21"/>
        <w:szCs w:val="21"/>
        <w:lang w:val="en-US" w:eastAsia="zh-CN" w:bidi="ar-SA"/>
      </w:rPr>
    </w:lvl>
    <w:lvl w:ilvl="1">
      <w:start w:val="0"/>
      <w:numFmt w:val="bullet"/>
      <w:lvlText w:val="•"/>
      <w:lvlJc w:val="left"/>
      <w:pPr>
        <w:ind w:left="2652" w:hanging="397"/>
      </w:pPr>
      <w:rPr>
        <w:rFonts w:hint="default"/>
        <w:lang w:val="en-US" w:eastAsia="zh-CN" w:bidi="ar-SA"/>
      </w:rPr>
    </w:lvl>
    <w:lvl w:ilvl="2">
      <w:start w:val="0"/>
      <w:numFmt w:val="bullet"/>
      <w:lvlText w:val="•"/>
      <w:lvlJc w:val="left"/>
      <w:pPr>
        <w:ind w:left="3485" w:hanging="397"/>
      </w:pPr>
      <w:rPr>
        <w:rFonts w:hint="default"/>
        <w:lang w:val="en-US" w:eastAsia="zh-CN" w:bidi="ar-SA"/>
      </w:rPr>
    </w:lvl>
    <w:lvl w:ilvl="3">
      <w:start w:val="0"/>
      <w:numFmt w:val="bullet"/>
      <w:lvlText w:val="•"/>
      <w:lvlJc w:val="left"/>
      <w:pPr>
        <w:ind w:left="4317" w:hanging="397"/>
      </w:pPr>
      <w:rPr>
        <w:rFonts w:hint="default"/>
        <w:lang w:val="en-US" w:eastAsia="zh-CN" w:bidi="ar-SA"/>
      </w:rPr>
    </w:lvl>
    <w:lvl w:ilvl="4">
      <w:start w:val="0"/>
      <w:numFmt w:val="bullet"/>
      <w:lvlText w:val="•"/>
      <w:lvlJc w:val="left"/>
      <w:pPr>
        <w:ind w:left="5150" w:hanging="397"/>
      </w:pPr>
      <w:rPr>
        <w:rFonts w:hint="default"/>
        <w:lang w:val="en-US" w:eastAsia="zh-CN" w:bidi="ar-SA"/>
      </w:rPr>
    </w:lvl>
    <w:lvl w:ilvl="5">
      <w:start w:val="0"/>
      <w:numFmt w:val="bullet"/>
      <w:lvlText w:val="•"/>
      <w:lvlJc w:val="left"/>
      <w:pPr>
        <w:ind w:left="5982" w:hanging="397"/>
      </w:pPr>
      <w:rPr>
        <w:rFonts w:hint="default"/>
        <w:lang w:val="en-US" w:eastAsia="zh-CN" w:bidi="ar-SA"/>
      </w:rPr>
    </w:lvl>
    <w:lvl w:ilvl="6">
      <w:start w:val="0"/>
      <w:numFmt w:val="bullet"/>
      <w:lvlText w:val="•"/>
      <w:lvlJc w:val="left"/>
      <w:pPr>
        <w:ind w:left="6815" w:hanging="397"/>
      </w:pPr>
      <w:rPr>
        <w:rFonts w:hint="default"/>
        <w:lang w:val="en-US" w:eastAsia="zh-CN" w:bidi="ar-SA"/>
      </w:rPr>
    </w:lvl>
    <w:lvl w:ilvl="7">
      <w:start w:val="0"/>
      <w:numFmt w:val="bullet"/>
      <w:lvlText w:val="•"/>
      <w:lvlJc w:val="left"/>
      <w:pPr>
        <w:ind w:left="7647" w:hanging="397"/>
      </w:pPr>
      <w:rPr>
        <w:rFonts w:hint="default"/>
        <w:lang w:val="en-US" w:eastAsia="zh-CN" w:bidi="ar-SA"/>
      </w:rPr>
    </w:lvl>
    <w:lvl w:ilvl="8">
      <w:start w:val="0"/>
      <w:numFmt w:val="bullet"/>
      <w:lvlText w:val="•"/>
      <w:lvlJc w:val="left"/>
      <w:pPr>
        <w:ind w:left="8480" w:hanging="397"/>
      </w:pPr>
      <w:rPr>
        <w:rFonts w:hint="default"/>
        <w:lang w:val="en-US" w:eastAsia="zh-CN" w:bidi="ar-SA"/>
      </w:rPr>
    </w:lvl>
  </w:abstractNum>
  <w:abstractNum w:abstractNumId="28">
    <w:nsid w:val="4ACC3245"/>
    <w:multiLevelType w:val="hybridMultilevel"/>
    <w:tmpl w:val="00000000"/>
    <w:lvl w:ilvl="0">
      <w:start w:val="5"/>
      <w:numFmt w:val="decimal"/>
      <w:lvlText w:val="%1"/>
      <w:lvlJc w:val="left"/>
      <w:pPr>
        <w:ind w:left="1920" w:hanging="946"/>
        <w:jc w:val="left"/>
      </w:pPr>
      <w:rPr>
        <w:rFonts w:hint="default"/>
        <w:lang w:val="en-US" w:eastAsia="zh-CN" w:bidi="ar-SA"/>
      </w:rPr>
    </w:lvl>
    <w:lvl w:ilvl="1">
      <w:start w:val="3"/>
      <w:numFmt w:val="decimal"/>
      <w:lvlText w:val="%1.%2"/>
      <w:lvlJc w:val="left"/>
      <w:pPr>
        <w:ind w:left="1920" w:hanging="946"/>
        <w:jc w:val="left"/>
      </w:pPr>
      <w:rPr>
        <w:rFonts w:hint="default"/>
        <w:lang w:val="en-US" w:eastAsia="zh-CN" w:bidi="ar-SA"/>
      </w:rPr>
    </w:lvl>
    <w:lvl w:ilvl="2">
      <w:start w:val="2"/>
      <w:numFmt w:val="decimal"/>
      <w:lvlText w:val="%1.%2.%3"/>
      <w:lvlJc w:val="left"/>
      <w:pPr>
        <w:ind w:left="1920" w:hanging="946"/>
        <w:jc w:val="left"/>
      </w:pPr>
      <w:rPr>
        <w:rFonts w:hint="default"/>
        <w:lang w:val="en-US" w:eastAsia="zh-CN" w:bidi="ar-SA"/>
      </w:rPr>
    </w:lvl>
    <w:lvl w:ilvl="3">
      <w:start w:val="1"/>
      <w:numFmt w:val="decimal"/>
      <w:lvlText w:val="%1.%2.%3.%4"/>
      <w:lvlJc w:val="left"/>
      <w:pPr>
        <w:ind w:left="1920" w:hanging="946"/>
        <w:jc w:val="left"/>
      </w:pPr>
      <w:rPr>
        <w:rFonts w:ascii="黑体" w:eastAsia="黑体" w:hAnsi="黑体" w:cs="黑体" w:hint="default"/>
        <w:w w:val="99"/>
        <w:sz w:val="21"/>
        <w:szCs w:val="21"/>
        <w:lang w:val="en-US" w:eastAsia="zh-CN" w:bidi="ar-SA"/>
      </w:rPr>
    </w:lvl>
    <w:lvl w:ilvl="4">
      <w:start w:val="1"/>
      <w:numFmt w:val="decimal"/>
      <w:lvlText w:val="%1.%2.%3.%4.%5"/>
      <w:lvlJc w:val="left"/>
      <w:pPr>
        <w:ind w:left="2131" w:hanging="1157"/>
        <w:jc w:val="left"/>
      </w:pPr>
      <w:rPr>
        <w:rFonts w:ascii="黑体" w:eastAsia="黑体" w:hAnsi="黑体" w:cs="黑体" w:hint="default"/>
        <w:w w:val="99"/>
        <w:sz w:val="21"/>
        <w:szCs w:val="21"/>
        <w:lang w:val="en-US" w:eastAsia="zh-CN" w:bidi="ar-SA"/>
      </w:rPr>
    </w:lvl>
    <w:lvl w:ilvl="5">
      <w:start w:val="0"/>
      <w:numFmt w:val="bullet"/>
      <w:lvlText w:val="•"/>
      <w:lvlJc w:val="left"/>
      <w:pPr>
        <w:ind w:left="5698" w:hanging="1157"/>
      </w:pPr>
      <w:rPr>
        <w:rFonts w:hint="default"/>
        <w:lang w:val="en-US" w:eastAsia="zh-CN" w:bidi="ar-SA"/>
      </w:rPr>
    </w:lvl>
    <w:lvl w:ilvl="6">
      <w:start w:val="0"/>
      <w:numFmt w:val="bullet"/>
      <w:lvlText w:val="•"/>
      <w:lvlJc w:val="left"/>
      <w:pPr>
        <w:ind w:left="6587" w:hanging="1157"/>
      </w:pPr>
      <w:rPr>
        <w:rFonts w:hint="default"/>
        <w:lang w:val="en-US" w:eastAsia="zh-CN" w:bidi="ar-SA"/>
      </w:rPr>
    </w:lvl>
    <w:lvl w:ilvl="7">
      <w:start w:val="0"/>
      <w:numFmt w:val="bullet"/>
      <w:lvlText w:val="•"/>
      <w:lvlJc w:val="left"/>
      <w:pPr>
        <w:ind w:left="7477" w:hanging="1157"/>
      </w:pPr>
      <w:rPr>
        <w:rFonts w:hint="default"/>
        <w:lang w:val="en-US" w:eastAsia="zh-CN" w:bidi="ar-SA"/>
      </w:rPr>
    </w:lvl>
    <w:lvl w:ilvl="8">
      <w:start w:val="0"/>
      <w:numFmt w:val="bullet"/>
      <w:lvlText w:val="•"/>
      <w:lvlJc w:val="left"/>
      <w:pPr>
        <w:ind w:left="8366" w:hanging="1157"/>
      </w:pPr>
      <w:rPr>
        <w:rFonts w:hint="default"/>
        <w:lang w:val="en-US" w:eastAsia="zh-CN" w:bidi="ar-SA"/>
      </w:rPr>
    </w:lvl>
  </w:abstractNum>
  <w:abstractNum w:abstractNumId="29">
    <w:nsid w:val="4FBDF2D8"/>
    <w:multiLevelType w:val="hybridMultilevel"/>
    <w:tmpl w:val="00000000"/>
    <w:lvl w:ilvl="0">
      <w:start w:val="1"/>
      <w:numFmt w:val="lowerLetter"/>
      <w:lvlText w:val="%1）"/>
      <w:lvlJc w:val="left"/>
      <w:pPr>
        <w:ind w:left="1815" w:hanging="421"/>
        <w:jc w:val="left"/>
      </w:pPr>
      <w:rPr>
        <w:rFonts w:ascii="宋体" w:eastAsia="宋体" w:hAnsi="宋体" w:cs="宋体" w:hint="default"/>
        <w:spacing w:val="0"/>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30">
    <w:nsid w:val="53B5F02B"/>
    <w:multiLevelType w:val="hybridMultilevel"/>
    <w:tmpl w:val="00000000"/>
    <w:lvl w:ilvl="0">
      <w:start w:val="1"/>
      <w:numFmt w:val="lowerLetter"/>
      <w:lvlText w:val="%1)"/>
      <w:lvlJc w:val="left"/>
      <w:pPr>
        <w:ind w:left="1815" w:hanging="421"/>
        <w:jc w:val="left"/>
      </w:pPr>
      <w:rPr>
        <w:rFonts w:ascii="宋体" w:eastAsia="宋体" w:hAnsi="宋体" w:cs="宋体" w:hint="default"/>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31">
    <w:nsid w:val="54105245"/>
    <w:multiLevelType w:val="hybridMultilevel"/>
    <w:tmpl w:val="00000000"/>
    <w:lvl w:ilvl="0">
      <w:start w:val="5"/>
      <w:numFmt w:val="decimal"/>
      <w:lvlText w:val="%1"/>
      <w:lvlJc w:val="left"/>
      <w:pPr>
        <w:ind w:left="1920" w:hanging="946"/>
        <w:jc w:val="left"/>
      </w:pPr>
      <w:rPr>
        <w:rFonts w:hint="default"/>
        <w:lang w:val="en-US" w:eastAsia="zh-CN" w:bidi="ar-SA"/>
      </w:rPr>
    </w:lvl>
    <w:lvl w:ilvl="1">
      <w:start w:val="6"/>
      <w:numFmt w:val="decimal"/>
      <w:lvlText w:val="%1.%2"/>
      <w:lvlJc w:val="left"/>
      <w:pPr>
        <w:ind w:left="1920" w:hanging="946"/>
        <w:jc w:val="left"/>
      </w:pPr>
      <w:rPr>
        <w:rFonts w:hint="default"/>
        <w:lang w:val="en-US" w:eastAsia="zh-CN" w:bidi="ar-SA"/>
      </w:rPr>
    </w:lvl>
    <w:lvl w:ilvl="2">
      <w:start w:val="2"/>
      <w:numFmt w:val="decimal"/>
      <w:lvlText w:val="%1.%2.%3"/>
      <w:lvlJc w:val="left"/>
      <w:pPr>
        <w:ind w:left="1920" w:hanging="946"/>
        <w:jc w:val="left"/>
      </w:pPr>
      <w:rPr>
        <w:rFonts w:hint="default"/>
        <w:lang w:val="en-US" w:eastAsia="zh-CN" w:bidi="ar-SA"/>
      </w:rPr>
    </w:lvl>
    <w:lvl w:ilvl="3">
      <w:start w:val="1"/>
      <w:numFmt w:val="decimal"/>
      <w:lvlText w:val="%1.%2.%3.%4"/>
      <w:lvlJc w:val="left"/>
      <w:pPr>
        <w:ind w:left="1920" w:hanging="946"/>
        <w:jc w:val="left"/>
      </w:pPr>
      <w:rPr>
        <w:rFonts w:ascii="黑体" w:eastAsia="黑体" w:hAnsi="黑体" w:cs="黑体" w:hint="default"/>
        <w:w w:val="99"/>
        <w:sz w:val="21"/>
        <w:szCs w:val="21"/>
        <w:lang w:val="en-US" w:eastAsia="zh-CN" w:bidi="ar-SA"/>
      </w:rPr>
    </w:lvl>
    <w:lvl w:ilvl="4">
      <w:start w:val="0"/>
      <w:numFmt w:val="bullet"/>
      <w:lvlText w:val="•"/>
      <w:lvlJc w:val="left"/>
      <w:pPr>
        <w:ind w:left="5210" w:hanging="946"/>
      </w:pPr>
      <w:rPr>
        <w:rFonts w:hint="default"/>
        <w:lang w:val="en-US" w:eastAsia="zh-CN" w:bidi="ar-SA"/>
      </w:rPr>
    </w:lvl>
    <w:lvl w:ilvl="5">
      <w:start w:val="0"/>
      <w:numFmt w:val="bullet"/>
      <w:lvlText w:val="•"/>
      <w:lvlJc w:val="left"/>
      <w:pPr>
        <w:ind w:left="6032" w:hanging="946"/>
      </w:pPr>
      <w:rPr>
        <w:rFonts w:hint="default"/>
        <w:lang w:val="en-US" w:eastAsia="zh-CN" w:bidi="ar-SA"/>
      </w:rPr>
    </w:lvl>
    <w:lvl w:ilvl="6">
      <w:start w:val="0"/>
      <w:numFmt w:val="bullet"/>
      <w:lvlText w:val="•"/>
      <w:lvlJc w:val="left"/>
      <w:pPr>
        <w:ind w:left="6855" w:hanging="946"/>
      </w:pPr>
      <w:rPr>
        <w:rFonts w:hint="default"/>
        <w:lang w:val="en-US" w:eastAsia="zh-CN" w:bidi="ar-SA"/>
      </w:rPr>
    </w:lvl>
    <w:lvl w:ilvl="7">
      <w:start w:val="0"/>
      <w:numFmt w:val="bullet"/>
      <w:lvlText w:val="•"/>
      <w:lvlJc w:val="left"/>
      <w:pPr>
        <w:ind w:left="7677" w:hanging="946"/>
      </w:pPr>
      <w:rPr>
        <w:rFonts w:hint="default"/>
        <w:lang w:val="en-US" w:eastAsia="zh-CN" w:bidi="ar-SA"/>
      </w:rPr>
    </w:lvl>
    <w:lvl w:ilvl="8">
      <w:start w:val="0"/>
      <w:numFmt w:val="bullet"/>
      <w:lvlText w:val="•"/>
      <w:lvlJc w:val="left"/>
      <w:pPr>
        <w:ind w:left="8500" w:hanging="946"/>
      </w:pPr>
      <w:rPr>
        <w:rFonts w:hint="default"/>
        <w:lang w:val="en-US" w:eastAsia="zh-CN" w:bidi="ar-SA"/>
      </w:rPr>
    </w:lvl>
  </w:abstractNum>
  <w:abstractNum w:abstractNumId="32">
    <w:nsid w:val="545A7DC9"/>
    <w:multiLevelType w:val="hybridMultilevel"/>
    <w:tmpl w:val="00000000"/>
    <w:lvl w:ilvl="0">
      <w:start w:val="1"/>
      <w:numFmt w:val="lowerLetter"/>
      <w:lvlText w:val="%1)"/>
      <w:lvlJc w:val="left"/>
      <w:pPr>
        <w:ind w:left="1815" w:hanging="421"/>
        <w:jc w:val="left"/>
      </w:pPr>
      <w:rPr>
        <w:rFonts w:ascii="宋体" w:eastAsia="宋体" w:hAnsi="宋体" w:cs="宋体" w:hint="default"/>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33">
    <w:nsid w:val="56B270B2"/>
    <w:multiLevelType w:val="hybridMultilevel"/>
    <w:tmpl w:val="00000000"/>
    <w:lvl w:ilvl="0">
      <w:start w:val="2"/>
      <w:numFmt w:val="upperLetter"/>
      <w:lvlText w:val="%1"/>
      <w:lvlJc w:val="left"/>
      <w:pPr>
        <w:ind w:left="975" w:hanging="526"/>
        <w:jc w:val="left"/>
      </w:pPr>
      <w:rPr>
        <w:rFonts w:hint="default"/>
        <w:lang w:val="en-US" w:eastAsia="zh-CN" w:bidi="ar-SA"/>
      </w:rPr>
    </w:lvl>
    <w:lvl w:ilvl="1">
      <w:start w:val="1"/>
      <w:numFmt w:val="decimal"/>
      <w:lvlText w:val="%1.%2"/>
      <w:lvlJc w:val="left"/>
      <w:pPr>
        <w:ind w:left="975" w:hanging="526"/>
        <w:jc w:val="left"/>
      </w:pPr>
      <w:rPr>
        <w:rFonts w:ascii="黑体" w:eastAsia="黑体" w:hAnsi="黑体" w:cs="黑体" w:hint="default"/>
        <w:spacing w:val="0"/>
        <w:w w:val="99"/>
        <w:sz w:val="21"/>
        <w:szCs w:val="21"/>
        <w:lang w:val="en-US" w:eastAsia="zh-CN" w:bidi="ar-SA"/>
      </w:rPr>
    </w:lvl>
    <w:lvl w:ilvl="2">
      <w:start w:val="0"/>
      <w:numFmt w:val="bullet"/>
      <w:lvlText w:val="•"/>
      <w:lvlJc w:val="left"/>
      <w:pPr>
        <w:ind w:left="2813" w:hanging="526"/>
      </w:pPr>
      <w:rPr>
        <w:rFonts w:hint="default"/>
        <w:lang w:val="en-US" w:eastAsia="zh-CN" w:bidi="ar-SA"/>
      </w:rPr>
    </w:lvl>
    <w:lvl w:ilvl="3">
      <w:start w:val="0"/>
      <w:numFmt w:val="bullet"/>
      <w:lvlText w:val="•"/>
      <w:lvlJc w:val="left"/>
      <w:pPr>
        <w:ind w:left="3729" w:hanging="526"/>
      </w:pPr>
      <w:rPr>
        <w:rFonts w:hint="default"/>
        <w:lang w:val="en-US" w:eastAsia="zh-CN" w:bidi="ar-SA"/>
      </w:rPr>
    </w:lvl>
    <w:lvl w:ilvl="4">
      <w:start w:val="0"/>
      <w:numFmt w:val="bullet"/>
      <w:lvlText w:val="•"/>
      <w:lvlJc w:val="left"/>
      <w:pPr>
        <w:ind w:left="4646" w:hanging="526"/>
      </w:pPr>
      <w:rPr>
        <w:rFonts w:hint="default"/>
        <w:lang w:val="en-US" w:eastAsia="zh-CN" w:bidi="ar-SA"/>
      </w:rPr>
    </w:lvl>
    <w:lvl w:ilvl="5">
      <w:start w:val="0"/>
      <w:numFmt w:val="bullet"/>
      <w:lvlText w:val="•"/>
      <w:lvlJc w:val="left"/>
      <w:pPr>
        <w:ind w:left="5562" w:hanging="526"/>
      </w:pPr>
      <w:rPr>
        <w:rFonts w:hint="default"/>
        <w:lang w:val="en-US" w:eastAsia="zh-CN" w:bidi="ar-SA"/>
      </w:rPr>
    </w:lvl>
    <w:lvl w:ilvl="6">
      <w:start w:val="0"/>
      <w:numFmt w:val="bullet"/>
      <w:lvlText w:val="•"/>
      <w:lvlJc w:val="left"/>
      <w:pPr>
        <w:ind w:left="6479" w:hanging="526"/>
      </w:pPr>
      <w:rPr>
        <w:rFonts w:hint="default"/>
        <w:lang w:val="en-US" w:eastAsia="zh-CN" w:bidi="ar-SA"/>
      </w:rPr>
    </w:lvl>
    <w:lvl w:ilvl="7">
      <w:start w:val="0"/>
      <w:numFmt w:val="bullet"/>
      <w:lvlText w:val="•"/>
      <w:lvlJc w:val="left"/>
      <w:pPr>
        <w:ind w:left="7395" w:hanging="526"/>
      </w:pPr>
      <w:rPr>
        <w:rFonts w:hint="default"/>
        <w:lang w:val="en-US" w:eastAsia="zh-CN" w:bidi="ar-SA"/>
      </w:rPr>
    </w:lvl>
    <w:lvl w:ilvl="8">
      <w:start w:val="0"/>
      <w:numFmt w:val="bullet"/>
      <w:lvlText w:val="•"/>
      <w:lvlJc w:val="left"/>
      <w:pPr>
        <w:ind w:left="8312" w:hanging="526"/>
      </w:pPr>
      <w:rPr>
        <w:rFonts w:hint="default"/>
        <w:lang w:val="en-US" w:eastAsia="zh-CN" w:bidi="ar-SA"/>
      </w:rPr>
    </w:lvl>
  </w:abstractNum>
  <w:abstractNum w:abstractNumId="34">
    <w:nsid w:val="60A4E3F1"/>
    <w:multiLevelType w:val="hybridMultilevel"/>
    <w:tmpl w:val="00000000"/>
    <w:lvl w:ilvl="0">
      <w:start w:val="1"/>
      <w:numFmt w:val="lowerLetter"/>
      <w:lvlText w:val="%1)"/>
      <w:lvlJc w:val="left"/>
      <w:pPr>
        <w:ind w:left="1815" w:hanging="421"/>
        <w:jc w:val="left"/>
      </w:pPr>
      <w:rPr>
        <w:rFonts w:ascii="宋体" w:eastAsia="宋体" w:hAnsi="宋体" w:cs="宋体" w:hint="default"/>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35">
    <w:nsid w:val="62C873AC"/>
    <w:multiLevelType w:val="hybridMultilevel"/>
    <w:tmpl w:val="00000000"/>
    <w:lvl w:ilvl="0">
      <w:start w:val="5"/>
      <w:numFmt w:val="decimal"/>
      <w:lvlText w:val="%1"/>
      <w:lvlJc w:val="left"/>
      <w:pPr>
        <w:ind w:left="1920" w:hanging="946"/>
        <w:jc w:val="left"/>
      </w:pPr>
      <w:rPr>
        <w:rFonts w:hint="default"/>
        <w:lang w:val="en-US" w:eastAsia="zh-CN" w:bidi="ar-SA"/>
      </w:rPr>
    </w:lvl>
    <w:lvl w:ilvl="1">
      <w:start w:val="2"/>
      <w:numFmt w:val="decimal"/>
      <w:lvlText w:val="%1.%2"/>
      <w:lvlJc w:val="left"/>
      <w:pPr>
        <w:ind w:left="1920" w:hanging="946"/>
        <w:jc w:val="left"/>
      </w:pPr>
      <w:rPr>
        <w:rFonts w:hint="default"/>
        <w:lang w:val="en-US" w:eastAsia="zh-CN" w:bidi="ar-SA"/>
      </w:rPr>
    </w:lvl>
    <w:lvl w:ilvl="2">
      <w:start w:val="3"/>
      <w:numFmt w:val="decimal"/>
      <w:lvlText w:val="%1.%2.%3"/>
      <w:lvlJc w:val="left"/>
      <w:pPr>
        <w:ind w:left="1920" w:hanging="946"/>
        <w:jc w:val="left"/>
      </w:pPr>
      <w:rPr>
        <w:rFonts w:hint="default"/>
        <w:lang w:val="en-US" w:eastAsia="zh-CN" w:bidi="ar-SA"/>
      </w:rPr>
    </w:lvl>
    <w:lvl w:ilvl="3">
      <w:start w:val="1"/>
      <w:numFmt w:val="decimal"/>
      <w:lvlText w:val="%1.%2.%3.%4"/>
      <w:lvlJc w:val="left"/>
      <w:pPr>
        <w:ind w:left="1920" w:hanging="946"/>
        <w:jc w:val="left"/>
      </w:pPr>
      <w:rPr>
        <w:rFonts w:ascii="黑体" w:eastAsia="黑体" w:hAnsi="黑体" w:cs="黑体" w:hint="default"/>
        <w:w w:val="99"/>
        <w:sz w:val="21"/>
        <w:szCs w:val="21"/>
        <w:lang w:val="en-US" w:eastAsia="zh-CN" w:bidi="ar-SA"/>
      </w:rPr>
    </w:lvl>
    <w:lvl w:ilvl="4">
      <w:start w:val="1"/>
      <w:numFmt w:val="decimal"/>
      <w:lvlText w:val="%1.%2.%3.%4.%5"/>
      <w:lvlJc w:val="left"/>
      <w:pPr>
        <w:ind w:left="975" w:hanging="1157"/>
        <w:jc w:val="left"/>
      </w:pPr>
      <w:rPr>
        <w:rFonts w:ascii="黑体" w:eastAsia="黑体" w:hAnsi="黑体" w:cs="黑体" w:hint="default"/>
        <w:w w:val="99"/>
        <w:sz w:val="21"/>
        <w:szCs w:val="21"/>
        <w:lang w:val="en-US" w:eastAsia="zh-CN" w:bidi="ar-SA"/>
      </w:rPr>
    </w:lvl>
    <w:lvl w:ilvl="5">
      <w:start w:val="0"/>
      <w:numFmt w:val="bullet"/>
      <w:lvlText w:val="•"/>
      <w:lvlJc w:val="left"/>
      <w:pPr>
        <w:ind w:left="5575" w:hanging="1157"/>
      </w:pPr>
      <w:rPr>
        <w:rFonts w:hint="default"/>
        <w:lang w:val="en-US" w:eastAsia="zh-CN" w:bidi="ar-SA"/>
      </w:rPr>
    </w:lvl>
    <w:lvl w:ilvl="6">
      <w:start w:val="0"/>
      <w:numFmt w:val="bullet"/>
      <w:lvlText w:val="•"/>
      <w:lvlJc w:val="left"/>
      <w:pPr>
        <w:ind w:left="6489" w:hanging="1157"/>
      </w:pPr>
      <w:rPr>
        <w:rFonts w:hint="default"/>
        <w:lang w:val="en-US" w:eastAsia="zh-CN" w:bidi="ar-SA"/>
      </w:rPr>
    </w:lvl>
    <w:lvl w:ilvl="7">
      <w:start w:val="0"/>
      <w:numFmt w:val="bullet"/>
      <w:lvlText w:val="•"/>
      <w:lvlJc w:val="left"/>
      <w:pPr>
        <w:ind w:left="7403" w:hanging="1157"/>
      </w:pPr>
      <w:rPr>
        <w:rFonts w:hint="default"/>
        <w:lang w:val="en-US" w:eastAsia="zh-CN" w:bidi="ar-SA"/>
      </w:rPr>
    </w:lvl>
    <w:lvl w:ilvl="8">
      <w:start w:val="0"/>
      <w:numFmt w:val="bullet"/>
      <w:lvlText w:val="•"/>
      <w:lvlJc w:val="left"/>
      <w:pPr>
        <w:ind w:left="8317" w:hanging="1157"/>
      </w:pPr>
      <w:rPr>
        <w:rFonts w:hint="default"/>
        <w:lang w:val="en-US" w:eastAsia="zh-CN" w:bidi="ar-SA"/>
      </w:rPr>
    </w:lvl>
  </w:abstractNum>
  <w:abstractNum w:abstractNumId="36">
    <w:nsid w:val="65DEB1E2"/>
    <w:multiLevelType w:val="hybridMultilevel"/>
    <w:tmpl w:val="00000000"/>
    <w:lvl w:ilvl="0">
      <w:start w:val="1"/>
      <w:numFmt w:val="upperLetter"/>
      <w:lvlText w:val="%1"/>
      <w:lvlJc w:val="left"/>
      <w:pPr>
        <w:ind w:left="1500" w:hanging="526"/>
        <w:jc w:val="left"/>
      </w:pPr>
      <w:rPr>
        <w:rFonts w:hint="default"/>
        <w:lang w:val="en-US" w:eastAsia="zh-CN" w:bidi="ar-SA"/>
      </w:rPr>
    </w:lvl>
    <w:lvl w:ilvl="1">
      <w:start w:val="1"/>
      <w:numFmt w:val="decimal"/>
      <w:lvlText w:val="%1.%2"/>
      <w:lvlJc w:val="left"/>
      <w:pPr>
        <w:ind w:left="1500" w:hanging="526"/>
        <w:jc w:val="left"/>
      </w:pPr>
      <w:rPr>
        <w:rFonts w:ascii="黑体" w:eastAsia="黑体" w:hAnsi="黑体" w:cs="黑体" w:hint="default"/>
        <w:w w:val="99"/>
        <w:sz w:val="21"/>
        <w:szCs w:val="21"/>
        <w:lang w:val="en-US" w:eastAsia="zh-CN" w:bidi="ar-SA"/>
      </w:rPr>
    </w:lvl>
    <w:lvl w:ilvl="2">
      <w:start w:val="1"/>
      <w:numFmt w:val="decimal"/>
      <w:lvlText w:val="%1.%2.%3"/>
      <w:lvlJc w:val="left"/>
      <w:pPr>
        <w:ind w:left="975" w:hanging="737"/>
        <w:jc w:val="left"/>
      </w:pPr>
      <w:rPr>
        <w:rFonts w:ascii="黑体" w:eastAsia="黑体" w:hAnsi="黑体" w:cs="黑体" w:hint="default"/>
        <w:w w:val="99"/>
        <w:sz w:val="21"/>
        <w:szCs w:val="21"/>
        <w:lang w:val="en-US" w:eastAsia="zh-CN" w:bidi="ar-SA"/>
      </w:rPr>
    </w:lvl>
    <w:lvl w:ilvl="3">
      <w:start w:val="0"/>
      <w:numFmt w:val="bullet"/>
      <w:lvlText w:val="•"/>
      <w:lvlJc w:val="left"/>
      <w:pPr>
        <w:ind w:left="3421" w:hanging="737"/>
      </w:pPr>
      <w:rPr>
        <w:rFonts w:hint="default"/>
        <w:lang w:val="en-US" w:eastAsia="zh-CN" w:bidi="ar-SA"/>
      </w:rPr>
    </w:lvl>
    <w:lvl w:ilvl="4">
      <w:start w:val="0"/>
      <w:numFmt w:val="bullet"/>
      <w:lvlText w:val="•"/>
      <w:lvlJc w:val="left"/>
      <w:pPr>
        <w:ind w:left="4381" w:hanging="737"/>
      </w:pPr>
      <w:rPr>
        <w:rFonts w:hint="default"/>
        <w:lang w:val="en-US" w:eastAsia="zh-CN" w:bidi="ar-SA"/>
      </w:rPr>
    </w:lvl>
    <w:lvl w:ilvl="5">
      <w:start w:val="0"/>
      <w:numFmt w:val="bullet"/>
      <w:lvlText w:val="•"/>
      <w:lvlJc w:val="left"/>
      <w:pPr>
        <w:ind w:left="5342" w:hanging="737"/>
      </w:pPr>
      <w:rPr>
        <w:rFonts w:hint="default"/>
        <w:lang w:val="en-US" w:eastAsia="zh-CN" w:bidi="ar-SA"/>
      </w:rPr>
    </w:lvl>
    <w:lvl w:ilvl="6">
      <w:start w:val="0"/>
      <w:numFmt w:val="bullet"/>
      <w:lvlText w:val="•"/>
      <w:lvlJc w:val="left"/>
      <w:pPr>
        <w:ind w:left="6303" w:hanging="737"/>
      </w:pPr>
      <w:rPr>
        <w:rFonts w:hint="default"/>
        <w:lang w:val="en-US" w:eastAsia="zh-CN" w:bidi="ar-SA"/>
      </w:rPr>
    </w:lvl>
    <w:lvl w:ilvl="7">
      <w:start w:val="0"/>
      <w:numFmt w:val="bullet"/>
      <w:lvlText w:val="•"/>
      <w:lvlJc w:val="left"/>
      <w:pPr>
        <w:ind w:left="7263" w:hanging="737"/>
      </w:pPr>
      <w:rPr>
        <w:rFonts w:hint="default"/>
        <w:lang w:val="en-US" w:eastAsia="zh-CN" w:bidi="ar-SA"/>
      </w:rPr>
    </w:lvl>
    <w:lvl w:ilvl="8">
      <w:start w:val="0"/>
      <w:numFmt w:val="bullet"/>
      <w:lvlText w:val="•"/>
      <w:lvlJc w:val="left"/>
      <w:pPr>
        <w:ind w:left="8224" w:hanging="737"/>
      </w:pPr>
      <w:rPr>
        <w:rFonts w:hint="default"/>
        <w:lang w:val="en-US" w:eastAsia="zh-CN" w:bidi="ar-SA"/>
      </w:rPr>
    </w:lvl>
  </w:abstractNum>
  <w:abstractNum w:abstractNumId="37">
    <w:nsid w:val="6A0E6BE7"/>
    <w:multiLevelType w:val="hybridMultilevel"/>
    <w:tmpl w:val="00000000"/>
    <w:lvl w:ilvl="0">
      <w:start w:val="5"/>
      <w:numFmt w:val="decimal"/>
      <w:lvlText w:val="%1"/>
      <w:lvlJc w:val="left"/>
      <w:pPr>
        <w:ind w:left="1920" w:hanging="946"/>
        <w:jc w:val="left"/>
      </w:pPr>
      <w:rPr>
        <w:rFonts w:hint="default"/>
        <w:lang w:val="en-US" w:eastAsia="zh-CN" w:bidi="ar-SA"/>
      </w:rPr>
    </w:lvl>
    <w:lvl w:ilvl="1">
      <w:start w:val="5"/>
      <w:numFmt w:val="decimal"/>
      <w:lvlText w:val="%1.%2"/>
      <w:lvlJc w:val="left"/>
      <w:pPr>
        <w:ind w:left="1920" w:hanging="946"/>
        <w:jc w:val="left"/>
      </w:pPr>
      <w:rPr>
        <w:rFonts w:hint="default"/>
        <w:lang w:val="en-US" w:eastAsia="zh-CN" w:bidi="ar-SA"/>
      </w:rPr>
    </w:lvl>
    <w:lvl w:ilvl="2">
      <w:start w:val="2"/>
      <w:numFmt w:val="decimal"/>
      <w:lvlText w:val="%1.%2.%3"/>
      <w:lvlJc w:val="left"/>
      <w:pPr>
        <w:ind w:left="1920" w:hanging="946"/>
        <w:jc w:val="left"/>
      </w:pPr>
      <w:rPr>
        <w:rFonts w:hint="default"/>
        <w:lang w:val="en-US" w:eastAsia="zh-CN" w:bidi="ar-SA"/>
      </w:rPr>
    </w:lvl>
    <w:lvl w:ilvl="3">
      <w:start w:val="1"/>
      <w:numFmt w:val="decimal"/>
      <w:lvlText w:val="%1.%2.%3.%4"/>
      <w:lvlJc w:val="left"/>
      <w:pPr>
        <w:ind w:left="1920" w:hanging="946"/>
        <w:jc w:val="left"/>
      </w:pPr>
      <w:rPr>
        <w:rFonts w:ascii="黑体" w:eastAsia="黑体" w:hAnsi="黑体" w:cs="黑体" w:hint="default"/>
        <w:w w:val="99"/>
        <w:sz w:val="21"/>
        <w:szCs w:val="21"/>
        <w:lang w:val="en-US" w:eastAsia="zh-CN" w:bidi="ar-SA"/>
      </w:rPr>
    </w:lvl>
    <w:lvl w:ilvl="4">
      <w:start w:val="0"/>
      <w:numFmt w:val="bullet"/>
      <w:lvlText w:val="•"/>
      <w:lvlJc w:val="left"/>
      <w:pPr>
        <w:ind w:left="5210" w:hanging="946"/>
      </w:pPr>
      <w:rPr>
        <w:rFonts w:hint="default"/>
        <w:lang w:val="en-US" w:eastAsia="zh-CN" w:bidi="ar-SA"/>
      </w:rPr>
    </w:lvl>
    <w:lvl w:ilvl="5">
      <w:start w:val="0"/>
      <w:numFmt w:val="bullet"/>
      <w:lvlText w:val="•"/>
      <w:lvlJc w:val="left"/>
      <w:pPr>
        <w:ind w:left="6032" w:hanging="946"/>
      </w:pPr>
      <w:rPr>
        <w:rFonts w:hint="default"/>
        <w:lang w:val="en-US" w:eastAsia="zh-CN" w:bidi="ar-SA"/>
      </w:rPr>
    </w:lvl>
    <w:lvl w:ilvl="6">
      <w:start w:val="0"/>
      <w:numFmt w:val="bullet"/>
      <w:lvlText w:val="•"/>
      <w:lvlJc w:val="left"/>
      <w:pPr>
        <w:ind w:left="6855" w:hanging="946"/>
      </w:pPr>
      <w:rPr>
        <w:rFonts w:hint="default"/>
        <w:lang w:val="en-US" w:eastAsia="zh-CN" w:bidi="ar-SA"/>
      </w:rPr>
    </w:lvl>
    <w:lvl w:ilvl="7">
      <w:start w:val="0"/>
      <w:numFmt w:val="bullet"/>
      <w:lvlText w:val="•"/>
      <w:lvlJc w:val="left"/>
      <w:pPr>
        <w:ind w:left="7677" w:hanging="946"/>
      </w:pPr>
      <w:rPr>
        <w:rFonts w:hint="default"/>
        <w:lang w:val="en-US" w:eastAsia="zh-CN" w:bidi="ar-SA"/>
      </w:rPr>
    </w:lvl>
    <w:lvl w:ilvl="8">
      <w:start w:val="0"/>
      <w:numFmt w:val="bullet"/>
      <w:lvlText w:val="•"/>
      <w:lvlJc w:val="left"/>
      <w:pPr>
        <w:ind w:left="8500" w:hanging="946"/>
      </w:pPr>
      <w:rPr>
        <w:rFonts w:hint="default"/>
        <w:lang w:val="en-US" w:eastAsia="zh-CN" w:bidi="ar-SA"/>
      </w:rPr>
    </w:lvl>
  </w:abstractNum>
  <w:abstractNum w:abstractNumId="38">
    <w:nsid w:val="6B148B5B"/>
    <w:multiLevelType w:val="hybridMultilevel"/>
    <w:tmpl w:val="00000000"/>
    <w:lvl w:ilvl="0">
      <w:start w:val="1"/>
      <w:numFmt w:val="lowerLetter"/>
      <w:lvlText w:val="%1）"/>
      <w:lvlJc w:val="left"/>
      <w:pPr>
        <w:ind w:left="1815" w:hanging="421"/>
        <w:jc w:val="left"/>
      </w:pPr>
      <w:rPr>
        <w:rFonts w:ascii="宋体" w:eastAsia="宋体" w:hAnsi="宋体" w:cs="宋体" w:hint="default"/>
        <w:spacing w:val="0"/>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39">
    <w:nsid w:val="6E145AB1"/>
    <w:multiLevelType w:val="hybridMultilevel"/>
    <w:tmpl w:val="00000000"/>
    <w:lvl w:ilvl="0">
      <w:start w:val="5"/>
      <w:numFmt w:val="lowerLetter"/>
      <w:lvlText w:val="%1）"/>
      <w:lvlJc w:val="left"/>
      <w:pPr>
        <w:ind w:left="1815" w:hanging="421"/>
        <w:jc w:val="left"/>
      </w:pPr>
      <w:rPr>
        <w:rFonts w:ascii="宋体" w:eastAsia="宋体" w:hAnsi="宋体" w:cs="宋体" w:hint="default"/>
        <w:spacing w:val="0"/>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40">
    <w:nsid w:val="71445EAD"/>
    <w:multiLevelType w:val="hybridMultilevel"/>
    <w:tmpl w:val="00000000"/>
    <w:lvl w:ilvl="0">
      <w:start w:val="1"/>
      <w:numFmt w:val="lowerLetter"/>
      <w:lvlText w:val="%1)"/>
      <w:lvlJc w:val="left"/>
      <w:pPr>
        <w:ind w:left="1815" w:hanging="421"/>
        <w:jc w:val="left"/>
      </w:pPr>
      <w:rPr>
        <w:rFonts w:ascii="宋体" w:eastAsia="宋体" w:hAnsi="宋体" w:cs="宋体" w:hint="default"/>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abstractNum w:abstractNumId="41">
    <w:nsid w:val="772B9132"/>
    <w:multiLevelType w:val="hybridMultilevel"/>
    <w:tmpl w:val="00000000"/>
    <w:lvl w:ilvl="0">
      <w:start w:val="4"/>
      <w:numFmt w:val="decimal"/>
      <w:lvlText w:val="%1"/>
      <w:lvlJc w:val="left"/>
      <w:pPr>
        <w:ind w:left="975" w:hanging="1157"/>
        <w:jc w:val="left"/>
      </w:pPr>
      <w:rPr>
        <w:rFonts w:hint="default"/>
        <w:lang w:val="en-US" w:eastAsia="zh-CN" w:bidi="ar-SA"/>
      </w:rPr>
    </w:lvl>
    <w:lvl w:ilvl="1">
      <w:start w:val="3"/>
      <w:numFmt w:val="decimal"/>
      <w:lvlText w:val="%1.%2"/>
      <w:lvlJc w:val="left"/>
      <w:pPr>
        <w:ind w:left="975" w:hanging="1157"/>
        <w:jc w:val="left"/>
      </w:pPr>
      <w:rPr>
        <w:rFonts w:hint="default"/>
        <w:lang w:val="en-US" w:eastAsia="zh-CN" w:bidi="ar-SA"/>
      </w:rPr>
    </w:lvl>
    <w:lvl w:ilvl="2">
      <w:start w:val="3"/>
      <w:numFmt w:val="decimal"/>
      <w:lvlText w:val="%1.%2.%3"/>
      <w:lvlJc w:val="left"/>
      <w:pPr>
        <w:ind w:left="975" w:hanging="1157"/>
        <w:jc w:val="left"/>
      </w:pPr>
      <w:rPr>
        <w:rFonts w:hint="default"/>
        <w:lang w:val="en-US" w:eastAsia="zh-CN" w:bidi="ar-SA"/>
      </w:rPr>
    </w:lvl>
    <w:lvl w:ilvl="3">
      <w:start w:val="1"/>
      <w:numFmt w:val="decimal"/>
      <w:lvlText w:val="%1.%2.%3.%4"/>
      <w:lvlJc w:val="left"/>
      <w:pPr>
        <w:ind w:left="975" w:hanging="1157"/>
        <w:jc w:val="left"/>
      </w:pPr>
      <w:rPr>
        <w:rFonts w:hint="default"/>
        <w:lang w:val="en-US" w:eastAsia="zh-CN" w:bidi="ar-SA"/>
      </w:rPr>
    </w:lvl>
    <w:lvl w:ilvl="4">
      <w:start w:val="1"/>
      <w:numFmt w:val="decimal"/>
      <w:lvlText w:val="%1.%2.%3.%4.%5"/>
      <w:lvlJc w:val="left"/>
      <w:pPr>
        <w:ind w:left="975" w:hanging="1157"/>
        <w:jc w:val="left"/>
      </w:pPr>
      <w:rPr>
        <w:rFonts w:ascii="黑体" w:eastAsia="黑体" w:hAnsi="黑体" w:cs="黑体" w:hint="default"/>
        <w:w w:val="99"/>
        <w:sz w:val="21"/>
        <w:szCs w:val="21"/>
        <w:lang w:val="en-US" w:eastAsia="zh-CN" w:bidi="ar-SA"/>
      </w:rPr>
    </w:lvl>
    <w:lvl w:ilvl="5">
      <w:start w:val="0"/>
      <w:numFmt w:val="bullet"/>
      <w:lvlText w:val="•"/>
      <w:lvlJc w:val="left"/>
      <w:pPr>
        <w:ind w:left="5562" w:hanging="1157"/>
      </w:pPr>
      <w:rPr>
        <w:rFonts w:hint="default"/>
        <w:lang w:val="en-US" w:eastAsia="zh-CN" w:bidi="ar-SA"/>
      </w:rPr>
    </w:lvl>
    <w:lvl w:ilvl="6">
      <w:start w:val="0"/>
      <w:numFmt w:val="bullet"/>
      <w:lvlText w:val="•"/>
      <w:lvlJc w:val="left"/>
      <w:pPr>
        <w:ind w:left="6479" w:hanging="1157"/>
      </w:pPr>
      <w:rPr>
        <w:rFonts w:hint="default"/>
        <w:lang w:val="en-US" w:eastAsia="zh-CN" w:bidi="ar-SA"/>
      </w:rPr>
    </w:lvl>
    <w:lvl w:ilvl="7">
      <w:start w:val="0"/>
      <w:numFmt w:val="bullet"/>
      <w:lvlText w:val="•"/>
      <w:lvlJc w:val="left"/>
      <w:pPr>
        <w:ind w:left="7395" w:hanging="1157"/>
      </w:pPr>
      <w:rPr>
        <w:rFonts w:hint="default"/>
        <w:lang w:val="en-US" w:eastAsia="zh-CN" w:bidi="ar-SA"/>
      </w:rPr>
    </w:lvl>
    <w:lvl w:ilvl="8">
      <w:start w:val="0"/>
      <w:numFmt w:val="bullet"/>
      <w:lvlText w:val="•"/>
      <w:lvlJc w:val="left"/>
      <w:pPr>
        <w:ind w:left="8312" w:hanging="1157"/>
      </w:pPr>
      <w:rPr>
        <w:rFonts w:hint="default"/>
        <w:lang w:val="en-US" w:eastAsia="zh-CN" w:bidi="ar-SA"/>
      </w:rPr>
    </w:lvl>
  </w:abstractNum>
  <w:abstractNum w:abstractNumId="42">
    <w:nsid w:val="77E1BDE7"/>
    <w:multiLevelType w:val="hybridMultilevel"/>
    <w:tmpl w:val="00000000"/>
    <w:lvl w:ilvl="0">
      <w:start w:val="3"/>
      <w:numFmt w:val="upperLetter"/>
      <w:lvlText w:val="%1"/>
      <w:lvlJc w:val="left"/>
      <w:pPr>
        <w:ind w:left="1500" w:hanging="526"/>
        <w:jc w:val="left"/>
      </w:pPr>
      <w:rPr>
        <w:rFonts w:hint="default"/>
        <w:lang w:val="en-US" w:eastAsia="zh-CN" w:bidi="ar-SA"/>
      </w:rPr>
    </w:lvl>
    <w:lvl w:ilvl="1">
      <w:start w:val="1"/>
      <w:numFmt w:val="decimal"/>
      <w:lvlText w:val="%1.%2"/>
      <w:lvlJc w:val="left"/>
      <w:pPr>
        <w:ind w:left="1500" w:hanging="526"/>
        <w:jc w:val="left"/>
      </w:pPr>
      <w:rPr>
        <w:rFonts w:ascii="黑体" w:eastAsia="黑体" w:hAnsi="黑体" w:cs="黑体" w:hint="default"/>
        <w:spacing w:val="0"/>
        <w:w w:val="99"/>
        <w:sz w:val="21"/>
        <w:szCs w:val="21"/>
        <w:lang w:val="en-US" w:eastAsia="zh-CN" w:bidi="ar-SA"/>
      </w:rPr>
    </w:lvl>
    <w:lvl w:ilvl="2">
      <w:start w:val="1"/>
      <w:numFmt w:val="lowerLetter"/>
      <w:lvlText w:val="%3)"/>
      <w:lvlJc w:val="left"/>
      <w:pPr>
        <w:ind w:left="1815" w:hanging="421"/>
        <w:jc w:val="left"/>
      </w:pPr>
      <w:rPr>
        <w:rFonts w:ascii="宋体" w:eastAsia="宋体" w:hAnsi="宋体" w:cs="宋体" w:hint="default"/>
        <w:w w:val="99"/>
        <w:sz w:val="21"/>
        <w:szCs w:val="21"/>
        <w:lang w:val="en-US" w:eastAsia="zh-CN" w:bidi="ar-SA"/>
      </w:rPr>
    </w:lvl>
    <w:lvl w:ilvl="3">
      <w:start w:val="0"/>
      <w:numFmt w:val="bullet"/>
      <w:lvlText w:val="•"/>
      <w:lvlJc w:val="left"/>
      <w:pPr>
        <w:ind w:left="3670" w:hanging="421"/>
      </w:pPr>
      <w:rPr>
        <w:rFonts w:hint="default"/>
        <w:lang w:val="en-US" w:eastAsia="zh-CN" w:bidi="ar-SA"/>
      </w:rPr>
    </w:lvl>
    <w:lvl w:ilvl="4">
      <w:start w:val="0"/>
      <w:numFmt w:val="bullet"/>
      <w:lvlText w:val="•"/>
      <w:lvlJc w:val="left"/>
      <w:pPr>
        <w:ind w:left="4595" w:hanging="421"/>
      </w:pPr>
      <w:rPr>
        <w:rFonts w:hint="default"/>
        <w:lang w:val="en-US" w:eastAsia="zh-CN" w:bidi="ar-SA"/>
      </w:rPr>
    </w:lvl>
    <w:lvl w:ilvl="5">
      <w:start w:val="0"/>
      <w:numFmt w:val="bullet"/>
      <w:lvlText w:val="•"/>
      <w:lvlJc w:val="left"/>
      <w:pPr>
        <w:ind w:left="5520" w:hanging="421"/>
      </w:pPr>
      <w:rPr>
        <w:rFonts w:hint="default"/>
        <w:lang w:val="en-US" w:eastAsia="zh-CN" w:bidi="ar-SA"/>
      </w:rPr>
    </w:lvl>
    <w:lvl w:ilvl="6">
      <w:start w:val="0"/>
      <w:numFmt w:val="bullet"/>
      <w:lvlText w:val="•"/>
      <w:lvlJc w:val="left"/>
      <w:pPr>
        <w:ind w:left="6445" w:hanging="421"/>
      </w:pPr>
      <w:rPr>
        <w:rFonts w:hint="default"/>
        <w:lang w:val="en-US" w:eastAsia="zh-CN" w:bidi="ar-SA"/>
      </w:rPr>
    </w:lvl>
    <w:lvl w:ilvl="7">
      <w:start w:val="0"/>
      <w:numFmt w:val="bullet"/>
      <w:lvlText w:val="•"/>
      <w:lvlJc w:val="left"/>
      <w:pPr>
        <w:ind w:left="7370" w:hanging="421"/>
      </w:pPr>
      <w:rPr>
        <w:rFonts w:hint="default"/>
        <w:lang w:val="en-US" w:eastAsia="zh-CN" w:bidi="ar-SA"/>
      </w:rPr>
    </w:lvl>
    <w:lvl w:ilvl="8">
      <w:start w:val="0"/>
      <w:numFmt w:val="bullet"/>
      <w:lvlText w:val="•"/>
      <w:lvlJc w:val="left"/>
      <w:pPr>
        <w:ind w:left="8295" w:hanging="421"/>
      </w:pPr>
      <w:rPr>
        <w:rFonts w:hint="default"/>
        <w:lang w:val="en-US" w:eastAsia="zh-CN" w:bidi="ar-SA"/>
      </w:rPr>
    </w:lvl>
  </w:abstractNum>
  <w:abstractNum w:abstractNumId="43">
    <w:nsid w:val="78750ADB"/>
    <w:multiLevelType w:val="hybridMultilevel"/>
    <w:tmpl w:val="00000000"/>
    <w:lvl w:ilvl="0">
      <w:start w:val="5"/>
      <w:numFmt w:val="decimal"/>
      <w:lvlText w:val="%1"/>
      <w:lvlJc w:val="left"/>
      <w:pPr>
        <w:ind w:left="975" w:hanging="946"/>
        <w:jc w:val="left"/>
      </w:pPr>
      <w:rPr>
        <w:rFonts w:hint="default"/>
        <w:lang w:val="en-US" w:eastAsia="zh-CN" w:bidi="ar-SA"/>
      </w:rPr>
    </w:lvl>
    <w:lvl w:ilvl="1">
      <w:start w:val="4"/>
      <w:numFmt w:val="decimal"/>
      <w:lvlText w:val="%1.%2"/>
      <w:lvlJc w:val="left"/>
      <w:pPr>
        <w:ind w:left="975" w:hanging="946"/>
        <w:jc w:val="left"/>
      </w:pPr>
      <w:rPr>
        <w:rFonts w:hint="default"/>
        <w:lang w:val="en-US" w:eastAsia="zh-CN" w:bidi="ar-SA"/>
      </w:rPr>
    </w:lvl>
    <w:lvl w:ilvl="2">
      <w:start w:val="2"/>
      <w:numFmt w:val="decimal"/>
      <w:lvlText w:val="%1.%2.%3"/>
      <w:lvlJc w:val="left"/>
      <w:pPr>
        <w:ind w:left="975" w:hanging="946"/>
        <w:jc w:val="left"/>
      </w:pPr>
      <w:rPr>
        <w:rFonts w:hint="default"/>
        <w:lang w:val="en-US" w:eastAsia="zh-CN" w:bidi="ar-SA"/>
      </w:rPr>
    </w:lvl>
    <w:lvl w:ilvl="3">
      <w:start w:val="1"/>
      <w:numFmt w:val="decimal"/>
      <w:lvlText w:val="%1.%2.%3.%4"/>
      <w:lvlJc w:val="left"/>
      <w:pPr>
        <w:ind w:left="975" w:hanging="946"/>
        <w:jc w:val="left"/>
      </w:pPr>
      <w:rPr>
        <w:rFonts w:ascii="黑体" w:eastAsia="黑体" w:hAnsi="黑体" w:cs="黑体" w:hint="default"/>
        <w:w w:val="99"/>
        <w:sz w:val="21"/>
        <w:szCs w:val="21"/>
        <w:lang w:val="en-US" w:eastAsia="zh-CN" w:bidi="ar-SA"/>
      </w:rPr>
    </w:lvl>
    <w:lvl w:ilvl="4">
      <w:start w:val="0"/>
      <w:numFmt w:val="bullet"/>
      <w:lvlText w:val="•"/>
      <w:lvlJc w:val="left"/>
      <w:pPr>
        <w:ind w:left="4646" w:hanging="946"/>
      </w:pPr>
      <w:rPr>
        <w:rFonts w:hint="default"/>
        <w:lang w:val="en-US" w:eastAsia="zh-CN" w:bidi="ar-SA"/>
      </w:rPr>
    </w:lvl>
    <w:lvl w:ilvl="5">
      <w:start w:val="0"/>
      <w:numFmt w:val="bullet"/>
      <w:lvlText w:val="•"/>
      <w:lvlJc w:val="left"/>
      <w:pPr>
        <w:ind w:left="5562" w:hanging="946"/>
      </w:pPr>
      <w:rPr>
        <w:rFonts w:hint="default"/>
        <w:lang w:val="en-US" w:eastAsia="zh-CN" w:bidi="ar-SA"/>
      </w:rPr>
    </w:lvl>
    <w:lvl w:ilvl="6">
      <w:start w:val="0"/>
      <w:numFmt w:val="bullet"/>
      <w:lvlText w:val="•"/>
      <w:lvlJc w:val="left"/>
      <w:pPr>
        <w:ind w:left="6479" w:hanging="946"/>
      </w:pPr>
      <w:rPr>
        <w:rFonts w:hint="default"/>
        <w:lang w:val="en-US" w:eastAsia="zh-CN" w:bidi="ar-SA"/>
      </w:rPr>
    </w:lvl>
    <w:lvl w:ilvl="7">
      <w:start w:val="0"/>
      <w:numFmt w:val="bullet"/>
      <w:lvlText w:val="•"/>
      <w:lvlJc w:val="left"/>
      <w:pPr>
        <w:ind w:left="7395" w:hanging="946"/>
      </w:pPr>
      <w:rPr>
        <w:rFonts w:hint="default"/>
        <w:lang w:val="en-US" w:eastAsia="zh-CN" w:bidi="ar-SA"/>
      </w:rPr>
    </w:lvl>
    <w:lvl w:ilvl="8">
      <w:start w:val="0"/>
      <w:numFmt w:val="bullet"/>
      <w:lvlText w:val="•"/>
      <w:lvlJc w:val="left"/>
      <w:pPr>
        <w:ind w:left="8312" w:hanging="946"/>
      </w:pPr>
      <w:rPr>
        <w:rFonts w:hint="default"/>
        <w:lang w:val="en-US" w:eastAsia="zh-CN" w:bidi="ar-SA"/>
      </w:rPr>
    </w:lvl>
  </w:abstractNum>
  <w:abstractNum w:abstractNumId="44">
    <w:nsid w:val="7CE7893E"/>
    <w:multiLevelType w:val="hybridMultilevel"/>
    <w:tmpl w:val="00000000"/>
    <w:lvl w:ilvl="0">
      <w:start w:val="3"/>
      <w:numFmt w:val="lowerLetter"/>
      <w:lvlText w:val="%1)"/>
      <w:lvlJc w:val="left"/>
      <w:pPr>
        <w:ind w:left="1815" w:hanging="421"/>
        <w:jc w:val="left"/>
      </w:pPr>
      <w:rPr>
        <w:rFonts w:ascii="宋体" w:eastAsia="宋体" w:hAnsi="宋体" w:cs="宋体" w:hint="default"/>
        <w:w w:val="99"/>
        <w:sz w:val="21"/>
        <w:szCs w:val="21"/>
        <w:lang w:val="en-US" w:eastAsia="zh-CN" w:bidi="ar-SA"/>
      </w:rPr>
    </w:lvl>
    <w:lvl w:ilvl="1">
      <w:start w:val="0"/>
      <w:numFmt w:val="bullet"/>
      <w:lvlText w:val="•"/>
      <w:lvlJc w:val="left"/>
      <w:pPr>
        <w:ind w:left="2652" w:hanging="421"/>
      </w:pPr>
      <w:rPr>
        <w:rFonts w:hint="default"/>
        <w:lang w:val="en-US" w:eastAsia="zh-CN" w:bidi="ar-SA"/>
      </w:rPr>
    </w:lvl>
    <w:lvl w:ilvl="2">
      <w:start w:val="0"/>
      <w:numFmt w:val="bullet"/>
      <w:lvlText w:val="•"/>
      <w:lvlJc w:val="left"/>
      <w:pPr>
        <w:ind w:left="3485" w:hanging="421"/>
      </w:pPr>
      <w:rPr>
        <w:rFonts w:hint="default"/>
        <w:lang w:val="en-US" w:eastAsia="zh-CN" w:bidi="ar-SA"/>
      </w:rPr>
    </w:lvl>
    <w:lvl w:ilvl="3">
      <w:start w:val="0"/>
      <w:numFmt w:val="bullet"/>
      <w:lvlText w:val="•"/>
      <w:lvlJc w:val="left"/>
      <w:pPr>
        <w:ind w:left="4317" w:hanging="421"/>
      </w:pPr>
      <w:rPr>
        <w:rFonts w:hint="default"/>
        <w:lang w:val="en-US" w:eastAsia="zh-CN" w:bidi="ar-SA"/>
      </w:rPr>
    </w:lvl>
    <w:lvl w:ilvl="4">
      <w:start w:val="0"/>
      <w:numFmt w:val="bullet"/>
      <w:lvlText w:val="•"/>
      <w:lvlJc w:val="left"/>
      <w:pPr>
        <w:ind w:left="5150" w:hanging="421"/>
      </w:pPr>
      <w:rPr>
        <w:rFonts w:hint="default"/>
        <w:lang w:val="en-US" w:eastAsia="zh-CN" w:bidi="ar-SA"/>
      </w:rPr>
    </w:lvl>
    <w:lvl w:ilvl="5">
      <w:start w:val="0"/>
      <w:numFmt w:val="bullet"/>
      <w:lvlText w:val="•"/>
      <w:lvlJc w:val="left"/>
      <w:pPr>
        <w:ind w:left="5982" w:hanging="421"/>
      </w:pPr>
      <w:rPr>
        <w:rFonts w:hint="default"/>
        <w:lang w:val="en-US" w:eastAsia="zh-CN" w:bidi="ar-SA"/>
      </w:rPr>
    </w:lvl>
    <w:lvl w:ilvl="6">
      <w:start w:val="0"/>
      <w:numFmt w:val="bullet"/>
      <w:lvlText w:val="•"/>
      <w:lvlJc w:val="left"/>
      <w:pPr>
        <w:ind w:left="6815" w:hanging="421"/>
      </w:pPr>
      <w:rPr>
        <w:rFonts w:hint="default"/>
        <w:lang w:val="en-US" w:eastAsia="zh-CN" w:bidi="ar-SA"/>
      </w:rPr>
    </w:lvl>
    <w:lvl w:ilvl="7">
      <w:start w:val="0"/>
      <w:numFmt w:val="bullet"/>
      <w:lvlText w:val="•"/>
      <w:lvlJc w:val="left"/>
      <w:pPr>
        <w:ind w:left="7647" w:hanging="421"/>
      </w:pPr>
      <w:rPr>
        <w:rFonts w:hint="default"/>
        <w:lang w:val="en-US" w:eastAsia="zh-CN" w:bidi="ar-SA"/>
      </w:rPr>
    </w:lvl>
    <w:lvl w:ilvl="8">
      <w:start w:val="0"/>
      <w:numFmt w:val="bullet"/>
      <w:lvlText w:val="•"/>
      <w:lvlJc w:val="left"/>
      <w:pPr>
        <w:ind w:left="8480" w:hanging="421"/>
      </w:pPr>
      <w:rPr>
        <w:rFonts w:hint="default"/>
        <w:lang w:val="en-US" w:eastAsia="zh-CN" w:bidi="ar-SA"/>
      </w:rPr>
    </w:lvl>
  </w:abstractNum>
  <w:num w:numId="1">
    <w:abstractNumId w:val="19"/>
  </w:num>
  <w:num w:numId="2">
    <w:abstractNumId w:val="42"/>
  </w:num>
  <w:num w:numId="3">
    <w:abstractNumId w:val="33"/>
  </w:num>
  <w:num w:numId="4">
    <w:abstractNumId w:val="36"/>
  </w:num>
  <w:num w:numId="5">
    <w:abstractNumId w:val="15"/>
  </w:num>
  <w:num w:numId="6">
    <w:abstractNumId w:val="16"/>
  </w:num>
  <w:num w:numId="7">
    <w:abstractNumId w:val="25"/>
  </w:num>
  <w:num w:numId="8">
    <w:abstractNumId w:val="31"/>
  </w:num>
  <w:num w:numId="9">
    <w:abstractNumId w:val="20"/>
  </w:num>
  <w:num w:numId="10">
    <w:abstractNumId w:val="3"/>
  </w:num>
  <w:num w:numId="11">
    <w:abstractNumId w:val="37"/>
  </w:num>
  <w:num w:numId="12">
    <w:abstractNumId w:val="14"/>
  </w:num>
  <w:num w:numId="13">
    <w:abstractNumId w:val="11"/>
  </w:num>
  <w:num w:numId="14">
    <w:abstractNumId w:val="43"/>
  </w:num>
  <w:num w:numId="15">
    <w:abstractNumId w:val="4"/>
  </w:num>
  <w:num w:numId="16">
    <w:abstractNumId w:val="28"/>
  </w:num>
  <w:num w:numId="17">
    <w:abstractNumId w:val="26"/>
  </w:num>
  <w:num w:numId="18">
    <w:abstractNumId w:val="2"/>
  </w:num>
  <w:num w:numId="19">
    <w:abstractNumId w:val="35"/>
  </w:num>
  <w:num w:numId="20">
    <w:abstractNumId w:val="23"/>
  </w:num>
  <w:num w:numId="21">
    <w:abstractNumId w:val="34"/>
  </w:num>
  <w:num w:numId="22">
    <w:abstractNumId w:val="30"/>
  </w:num>
  <w:num w:numId="23">
    <w:abstractNumId w:val="24"/>
  </w:num>
  <w:num w:numId="24">
    <w:abstractNumId w:val="32"/>
  </w:num>
  <w:num w:numId="25">
    <w:abstractNumId w:val="22"/>
  </w:num>
  <w:num w:numId="26">
    <w:abstractNumId w:val="17"/>
  </w:num>
  <w:num w:numId="27">
    <w:abstractNumId w:val="40"/>
  </w:num>
  <w:num w:numId="28">
    <w:abstractNumId w:val="0"/>
  </w:num>
  <w:num w:numId="29">
    <w:abstractNumId w:val="7"/>
  </w:num>
  <w:num w:numId="30">
    <w:abstractNumId w:val="13"/>
  </w:num>
  <w:num w:numId="31">
    <w:abstractNumId w:val="41"/>
  </w:num>
  <w:num w:numId="32">
    <w:abstractNumId w:val="1"/>
  </w:num>
  <w:num w:numId="33">
    <w:abstractNumId w:val="29"/>
  </w:num>
  <w:num w:numId="34">
    <w:abstractNumId w:val="12"/>
  </w:num>
  <w:num w:numId="35">
    <w:abstractNumId w:val="39"/>
  </w:num>
  <w:num w:numId="36">
    <w:abstractNumId w:val="38"/>
  </w:num>
  <w:num w:numId="37">
    <w:abstractNumId w:val="44"/>
  </w:num>
  <w:num w:numId="38">
    <w:abstractNumId w:val="5"/>
  </w:num>
  <w:num w:numId="39">
    <w:abstractNumId w:val="27"/>
  </w:num>
  <w:num w:numId="40">
    <w:abstractNumId w:val="21"/>
  </w:num>
  <w:num w:numId="41">
    <w:abstractNumId w:val="18"/>
  </w:num>
  <w:num w:numId="42">
    <w:abstractNumId w:val="10"/>
  </w:num>
  <w:num w:numId="43">
    <w:abstractNumId w:val="6"/>
  </w:num>
  <w:num w:numId="44">
    <w:abstractNumId w:val="9"/>
  </w:num>
  <w:num w:numId="4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401"/>
      <w:jc w:val="center"/>
      <w:outlineLvl w:val="0"/>
    </w:pPr>
    <w:rPr>
      <w:rFonts w:ascii="黑体" w:eastAsia="黑体" w:hAnsi="黑体" w:cs="黑体"/>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201"/>
      <w:ind w:left="214"/>
    </w:pPr>
    <w:rPr>
      <w:rFonts w:ascii="Times New Roman" w:eastAsia="Times New Roman" w:hAnsi="Times New Roman" w:cs="Times New Roman"/>
      <w:b/>
      <w:bCs/>
      <w:sz w:val="96"/>
      <w:szCs w:val="96"/>
      <w:lang w:val="en-US" w:eastAsia="zh-CN" w:bidi="ar-SA"/>
    </w:rPr>
  </w:style>
  <w:style w:type="paragraph" w:styleId="ListParagraph">
    <w:name w:val="List Paragraph"/>
    <w:basedOn w:val="Normal"/>
    <w:uiPriority w:val="1"/>
    <w:qFormat/>
    <w:pPr>
      <w:ind w:left="1815" w:hanging="421"/>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header" Target="header13.xml"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header" Target="header15.xml" /><Relationship Id="rId32" Type="http://schemas.openxmlformats.org/officeDocument/2006/relationships/footer" Target="footer14.xml" /><Relationship Id="rId33" Type="http://schemas.openxmlformats.org/officeDocument/2006/relationships/footer" Target="footer15.xml" /><Relationship Id="rId34" Type="http://schemas.openxmlformats.org/officeDocument/2006/relationships/image" Target="media/image1.png"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8.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header" Target="header21.xml" /><Relationship Id="rId45" Type="http://schemas.openxmlformats.org/officeDocument/2006/relationships/footer" Target="footer20.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header" Target="header25.xml" /><Relationship Id="rId53" Type="http://schemas.openxmlformats.org/officeDocument/2006/relationships/footer" Target="footer24.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header" Target="header27.xml" /><Relationship Id="rId57" Type="http://schemas.openxmlformats.org/officeDocument/2006/relationships/footer" Target="footer26.xml" /><Relationship Id="rId58" Type="http://schemas.openxmlformats.org/officeDocument/2006/relationships/footer" Target="footer27.xml" /><Relationship Id="rId59" Type="http://schemas.openxmlformats.org/officeDocument/2006/relationships/hyperlink" Target="https://d.book118.com/465024034202011101" TargetMode="External" /><Relationship Id="rId6" Type="http://schemas.openxmlformats.org/officeDocument/2006/relationships/header" Target="header2.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footer" Target="footer28.xml" /><Relationship Id="rId63" Type="http://schemas.openxmlformats.org/officeDocument/2006/relationships/footer" Target="footer29.xml" /><Relationship Id="rId64" Type="http://schemas.openxmlformats.org/officeDocument/2006/relationships/theme" Target="theme/theme1.xml" /><Relationship Id="rId65" Type="http://schemas.openxmlformats.org/officeDocument/2006/relationships/numbering" Target="numbering.xml" /><Relationship Id="rId66" Type="http://schemas.openxmlformats.org/officeDocument/2006/relationships/styles" Target="styles.xml" /><Relationship Id="rId7" Type="http://schemas.openxmlformats.org/officeDocument/2006/relationships/header" Target="header3.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建筑物白蚁防治技术规范</dc:title>
  <dc:creator>许俊翀1548926821913</dc:creator>
  <cp:revision>0</cp:revision>
  <dcterms:created xsi:type="dcterms:W3CDTF">2024-01-30T03:43:40Z</dcterms:created>
  <dcterms:modified xsi:type="dcterms:W3CDTF">2024-01-30T03:43:40Z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2024-01-12T00:00:00Z</vt:filetime>
  </property>
  <property fmtid="{D5CDD505-2E9C-101B-9397-08002B2CF9AE}" pid="3" name="Creator">
    <vt:lpwstr>福昕软件开发股份有限公司</vt:lpwstr>
  </property>
  <property fmtid="{D5CDD505-2E9C-101B-9397-08002B2CF9AE}" pid="4" name="LastSaved">
    <vt:filetime>2024-01-30T00:00:00Z</vt:filetime>
  </property>
</Properties>
</file>