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2015-2023年湖南生物机电职业技术学院高职单招（数学／语文／英语）历年参考题库带答案解析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柳永《八声甘州（对潇潇暮雨洒江天）》着力抒写的思想情绪是（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A.爱情失意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B.羁旅行役之苦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C.故国之思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D.伤春惜时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下面哪部作品的出版成为中国现代小说的开端（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A.《家》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B.《呐喊》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C.《春蚕》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D.《骆驼祥子》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下列成语出于庄子《秋水》的是（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A.贻笑大方、分崩离析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B.望洋兴叹、祸起萧墙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C.分崩离析、祸起萧墙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D.望洋兴叹、贻笑大方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下列诗句中属于远景静态描写的是（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A.操吴戈兮披犀甲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B.车错毂兮短兵接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C.旌蔽日兮敌若云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D.矢交坠兮士争先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以下诗句中，化用《诗经》诗句的为（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A.周公吐哺，天下归心。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B.对酒当歌，人生几何。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C.山不厌高，海不厌深。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D.呦呦鹿鸣，食野之苹。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“饮冰室主人”指的是（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A.康有为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B.梁启超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C.谭嗣同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D.黄遵宪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下列诗句中引发议论的是（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A.桑之未落，其叶沃若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B.于嗟鸠兮，无食桑葚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C.淇水汤汤，渐车帷裳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D.淇则有岸，隰则有泮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王昌龄的《从军行》是一首（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A.七律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B.七言绝句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C.七古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D.五绝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9.</w:t>
      </w:r>
      <w:r>
        <w:rPr>
          <w:rFonts w:ascii="黑体" w:eastAsia="黑体" w:hAnsi="黑体" w:cs="Times New Roman"/>
          <w:sz w:val="24"/>
          <w:lang w:val="en-US" w:eastAsia="ja-JP" w:bidi="ar-SA"/>
        </w:rPr>
        <w:t>“新月社”的代表诗人有（  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A.徐志摩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B.郁达夫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C.郭小川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D.艾青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8"/>
        <w:spacing w:after="200" w:line="276" w:lineRule="auto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闻一多最具有代表性的诗集是（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A.《真我集》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B.《红烛》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C.《死水》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D.《猛虎集》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《答司马谏议书》的总体行文风格是（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A.慷慨激昂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B.平易质朴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C.含蓄委婉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D.刚柔相济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与“古道西风瘦马”构成反衬关系的景象是（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A.枯藤老树昏鸦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B.夕阳西下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C.小桥流水人家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D.断肠人在天涯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短篇小说《断魂枪》所描写的时代背景是（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A.古代社会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B.近代中国（辛亥革命前后）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C.元代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D.戊戌变法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鲁迅用“史家之绝唱，无韵之《离骚》”赞美（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B.《春秋》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https://d.book118.com/465233211101011113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465233211101011113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