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1DA">
      <w:pPr>
        <w:pStyle w:val="Heading2"/>
        <w:spacing w:before="240" w:after="240" w:line="440" w:lineRule="exact"/>
        <w:jc w:val="center"/>
        <w:rPr>
          <w:rFonts w:hint="eastAsia"/>
        </w:rPr>
      </w:pPr>
      <w:r>
        <w:rPr>
          <w:rFonts w:hint="eastAsia"/>
        </w:rPr>
        <w:t>第一章  公司根本情况与开展过程〔</w:t>
      </w:r>
      <w:r>
        <w:rPr>
          <w:rFonts w:ascii="Times New Roman" w:hAnsi="Times New Roman"/>
        </w:rPr>
        <w:t>Introduction</w:t>
      </w:r>
      <w:r>
        <w:rPr>
          <w:rFonts w:ascii="Times New Roman" w:hAnsi="Times New Roman" w:hint="eastAsia"/>
        </w:rPr>
        <w:t>〕</w:t>
      </w:r>
    </w:p>
    <w:p w:rsidR="00D731DA">
      <w:pPr>
        <w:pStyle w:val="Heading2"/>
        <w:spacing w:before="240" w:after="240"/>
        <w:rPr>
          <w:color w:val="FF0000"/>
          <w:sz w:val="28"/>
        </w:rPr>
      </w:pPr>
      <w:r>
        <w:rPr>
          <w:rFonts w:hint="eastAsia"/>
          <w:sz w:val="28"/>
        </w:rPr>
        <w:t>一、开展过程</w:t>
      </w:r>
    </w:p>
    <w:p w:rsidR="00D731DA">
      <w:pPr>
        <w:spacing w:line="420" w:lineRule="exact"/>
        <w:ind w:firstLine="425"/>
        <w:rPr>
          <w:rFonts w:ascii="宋体"/>
          <w:color w:val="000000"/>
        </w:rPr>
      </w:pPr>
      <w:r>
        <w:rPr>
          <w:rFonts w:ascii="宋体" w:hint="eastAsia"/>
        </w:rPr>
        <w:t>天士力集团是由天士力集团公司及其参、控股的十一家公司组成的，以制药为主体，天然植物药研究、标准化种植、加工、生产相配套的高科技企业集团。集团公司由天津市金士力药物研究开发、浙江尖峰股份公司和天津市中央药业公司共同投资组建，是天津市方案单列和重点开展的企业集团。天士力集团公司注册资金：1.86亿元；截止2000年12月31日公司的总资产：3.64亿元，净资产：2.44亿元</w:t>
      </w:r>
      <w:r>
        <w:rPr>
          <w:rFonts w:ascii="宋体"/>
        </w:rPr>
        <w:t xml:space="preserve">. </w:t>
      </w:r>
      <w:r>
        <w:rPr>
          <w:rFonts w:ascii="宋体" w:hint="eastAsia"/>
          <w:color w:val="000000"/>
        </w:rPr>
        <w:t>公司2000年度的净利润：5783万元。</w:t>
      </w:r>
    </w:p>
    <w:p w:rsidR="00D731DA">
      <w:pPr>
        <w:spacing w:before="120" w:after="120" w:line="420" w:lineRule="exact"/>
        <w:ind w:firstLine="425"/>
        <w:rPr>
          <w:rFonts w:ascii="宋体" w:hint="eastAsia"/>
          <w:spacing w:val="-10"/>
        </w:rPr>
      </w:pPr>
      <w:r>
        <w:rPr>
          <w:rFonts w:ascii="宋体" w:hint="eastAsia"/>
          <w:spacing w:val="-12"/>
        </w:rPr>
        <w:t>天津天士力集团成立于</w:t>
      </w:r>
      <w:r>
        <w:rPr>
          <w:rFonts w:ascii="宋体" w:hint="eastAsia"/>
          <w:color w:val="000000"/>
          <w:spacing w:val="-16"/>
        </w:rPr>
        <w:t>2000年3月30 日</w:t>
      </w:r>
      <w:r>
        <w:rPr>
          <w:rFonts w:ascii="宋体" w:hint="eastAsia"/>
          <w:color w:val="000000"/>
          <w:spacing w:val="-12"/>
        </w:rPr>
        <w:t>，</w:t>
      </w:r>
      <w:r>
        <w:rPr>
          <w:rFonts w:ascii="宋体" w:hint="eastAsia"/>
          <w:spacing w:val="-12"/>
        </w:rPr>
        <w:t>集团公司的股权结</w:t>
      </w:r>
      <w:r>
        <w:rPr>
          <w:rFonts w:ascii="宋体" w:hint="eastAsia"/>
          <w:spacing w:val="-10"/>
        </w:rPr>
        <w:t>构见表1－1。</w:t>
      </w:r>
    </w:p>
    <w:p w:rsidR="00D731DA">
      <w:pPr>
        <w:spacing w:after="120" w:line="460" w:lineRule="exact"/>
        <w:ind w:firstLine="425"/>
        <w:rPr>
          <w:rFonts w:ascii="宋体" w:hint="eastAsia"/>
          <w:b/>
        </w:rPr>
      </w:pPr>
      <w:r>
        <w:rPr>
          <w:rFonts w:ascii="宋体" w:hint="eastAsia"/>
          <w:b/>
        </w:rPr>
        <w:t xml:space="preserve">  表1－1   股权结构</w:t>
      </w:r>
    </w:p>
    <w:tbl>
      <w:tblPr>
        <w:tblStyle w:val="TableNormal"/>
        <w:tblW w:w="0" w:type="auto"/>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35"/>
        <w:gridCol w:w="1827"/>
        <w:gridCol w:w="1613"/>
      </w:tblGrid>
      <w:tr>
        <w:tblPrEx>
          <w:tblW w:w="0" w:type="auto"/>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3835" w:type="dxa"/>
            <w:vAlign w:val="center"/>
          </w:tcPr>
          <w:p w:rsidR="00D731DA">
            <w:pPr>
              <w:spacing w:line="320" w:lineRule="exact"/>
              <w:ind w:firstLine="425"/>
              <w:jc w:val="center"/>
              <w:rPr>
                <w:rFonts w:ascii="宋体" w:hint="eastAsia"/>
                <w:sz w:val="21"/>
              </w:rPr>
            </w:pPr>
            <w:r>
              <w:rPr>
                <w:rFonts w:ascii="宋体" w:hint="eastAsia"/>
                <w:sz w:val="21"/>
              </w:rPr>
              <w:t>股  东</w:t>
            </w:r>
          </w:p>
        </w:tc>
        <w:tc>
          <w:tcPr>
            <w:tcW w:w="1827" w:type="dxa"/>
            <w:vAlign w:val="center"/>
          </w:tcPr>
          <w:p w:rsidR="00D731DA">
            <w:pPr>
              <w:spacing w:line="320" w:lineRule="exact"/>
              <w:jc w:val="center"/>
              <w:rPr>
                <w:rFonts w:ascii="宋体" w:hint="eastAsia"/>
                <w:sz w:val="21"/>
              </w:rPr>
            </w:pPr>
            <w:r>
              <w:rPr>
                <w:rFonts w:ascii="宋体" w:hint="eastAsia"/>
                <w:sz w:val="21"/>
              </w:rPr>
              <w:t>出资额(万元)</w:t>
            </w:r>
          </w:p>
        </w:tc>
        <w:tc>
          <w:tcPr>
            <w:tcW w:w="1613" w:type="dxa"/>
            <w:vAlign w:val="center"/>
          </w:tcPr>
          <w:p w:rsidR="00D731DA">
            <w:pPr>
              <w:spacing w:line="320" w:lineRule="exact"/>
              <w:jc w:val="center"/>
              <w:rPr>
                <w:rFonts w:ascii="宋体" w:hint="eastAsia"/>
                <w:sz w:val="21"/>
              </w:rPr>
            </w:pPr>
            <w:r>
              <w:rPr>
                <w:rFonts w:ascii="宋体" w:hint="eastAsia"/>
                <w:sz w:val="21"/>
              </w:rPr>
              <w:t>股权比例</w:t>
            </w:r>
            <w:r>
              <w:rPr>
                <w:rFonts w:ascii="宋体"/>
                <w:sz w:val="21"/>
              </w:rPr>
              <w:t>%</w:t>
            </w:r>
          </w:p>
        </w:tc>
      </w:tr>
      <w:tr>
        <w:tblPrEx>
          <w:tblW w:w="0" w:type="auto"/>
          <w:tblInd w:w="788" w:type="dxa"/>
          <w:tblLayout w:type="fixed"/>
          <w:tblLook w:val="0000"/>
        </w:tblPrEx>
        <w:tc>
          <w:tcPr>
            <w:tcW w:w="3835" w:type="dxa"/>
          </w:tcPr>
          <w:p w:rsidR="00D731DA">
            <w:pPr>
              <w:spacing w:line="320" w:lineRule="exact"/>
              <w:rPr>
                <w:rFonts w:ascii="宋体"/>
                <w:sz w:val="21"/>
              </w:rPr>
            </w:pPr>
            <w:r>
              <w:rPr>
                <w:rFonts w:ascii="宋体" w:hint="eastAsia"/>
                <w:sz w:val="21"/>
              </w:rPr>
              <w:t>天津金士力药物研究开发</w:t>
            </w:r>
          </w:p>
        </w:tc>
        <w:tc>
          <w:tcPr>
            <w:tcW w:w="1827" w:type="dxa"/>
          </w:tcPr>
          <w:p w:rsidR="00D731DA">
            <w:pPr>
              <w:spacing w:line="320" w:lineRule="exact"/>
              <w:ind w:right="752"/>
              <w:jc w:val="right"/>
              <w:rPr>
                <w:rFonts w:ascii="宋体" w:hint="eastAsia"/>
                <w:sz w:val="21"/>
              </w:rPr>
            </w:pPr>
            <w:r>
              <w:rPr>
                <w:rFonts w:ascii="宋体"/>
                <w:sz w:val="21"/>
              </w:rPr>
              <w:t>9320.</w:t>
            </w:r>
            <w:r>
              <w:rPr>
                <w:rFonts w:ascii="宋体" w:hint="eastAsia"/>
                <w:sz w:val="21"/>
              </w:rPr>
              <w:t>4</w:t>
            </w:r>
            <w:r>
              <w:rPr>
                <w:rFonts w:ascii="宋体"/>
                <w:sz w:val="21"/>
              </w:rPr>
              <w:t>6</w:t>
            </w:r>
          </w:p>
        </w:tc>
        <w:tc>
          <w:tcPr>
            <w:tcW w:w="1613" w:type="dxa"/>
          </w:tcPr>
          <w:p w:rsidR="00D731DA">
            <w:pPr>
              <w:spacing w:line="320" w:lineRule="exact"/>
              <w:ind w:right="741"/>
              <w:jc w:val="right"/>
              <w:rPr>
                <w:rFonts w:ascii="宋体"/>
                <w:sz w:val="21"/>
              </w:rPr>
            </w:pPr>
            <w:r>
              <w:rPr>
                <w:rFonts w:ascii="宋体" w:hint="eastAsia"/>
                <w:sz w:val="21"/>
              </w:rPr>
              <w:t>50.11</w:t>
            </w:r>
          </w:p>
        </w:tc>
      </w:tr>
      <w:tr>
        <w:tblPrEx>
          <w:tblW w:w="0" w:type="auto"/>
          <w:tblInd w:w="788" w:type="dxa"/>
          <w:tblLayout w:type="fixed"/>
          <w:tblLook w:val="0000"/>
        </w:tblPrEx>
        <w:trPr>
          <w:trHeight w:val="395"/>
        </w:trPr>
        <w:tc>
          <w:tcPr>
            <w:tcW w:w="3835" w:type="dxa"/>
          </w:tcPr>
          <w:p w:rsidR="00D731DA">
            <w:pPr>
              <w:spacing w:line="320" w:lineRule="exact"/>
              <w:rPr>
                <w:rFonts w:ascii="宋体"/>
                <w:sz w:val="21"/>
              </w:rPr>
            </w:pPr>
            <w:r>
              <w:rPr>
                <w:rFonts w:ascii="宋体" w:hint="eastAsia"/>
                <w:sz w:val="21"/>
              </w:rPr>
              <w:t>浙江尖峰集团股份</w:t>
            </w:r>
          </w:p>
        </w:tc>
        <w:tc>
          <w:tcPr>
            <w:tcW w:w="1827" w:type="dxa"/>
          </w:tcPr>
          <w:p w:rsidR="00D731DA">
            <w:pPr>
              <w:spacing w:line="320" w:lineRule="exact"/>
              <w:ind w:right="752"/>
              <w:jc w:val="right"/>
              <w:rPr>
                <w:rFonts w:ascii="宋体" w:hint="eastAsia"/>
                <w:sz w:val="21"/>
              </w:rPr>
            </w:pPr>
            <w:r>
              <w:rPr>
                <w:rFonts w:ascii="宋体"/>
                <w:sz w:val="21"/>
              </w:rPr>
              <w:t>5103</w:t>
            </w:r>
            <w:r>
              <w:rPr>
                <w:rFonts w:ascii="宋体" w:hint="eastAsia"/>
                <w:sz w:val="21"/>
              </w:rPr>
              <w:t>.84</w:t>
            </w:r>
          </w:p>
        </w:tc>
        <w:tc>
          <w:tcPr>
            <w:tcW w:w="1613" w:type="dxa"/>
          </w:tcPr>
          <w:p w:rsidR="00D731DA">
            <w:pPr>
              <w:spacing w:line="320" w:lineRule="exact"/>
              <w:ind w:right="741"/>
              <w:jc w:val="right"/>
              <w:rPr>
                <w:rFonts w:ascii="宋体"/>
                <w:sz w:val="21"/>
              </w:rPr>
            </w:pPr>
            <w:r>
              <w:rPr>
                <w:rFonts w:ascii="宋体" w:hint="eastAsia"/>
                <w:sz w:val="21"/>
              </w:rPr>
              <w:t>27.44</w:t>
            </w:r>
          </w:p>
        </w:tc>
      </w:tr>
      <w:tr>
        <w:tblPrEx>
          <w:tblW w:w="0" w:type="auto"/>
          <w:tblInd w:w="788" w:type="dxa"/>
          <w:tblLayout w:type="fixed"/>
          <w:tblLook w:val="0000"/>
        </w:tblPrEx>
        <w:tc>
          <w:tcPr>
            <w:tcW w:w="3835" w:type="dxa"/>
          </w:tcPr>
          <w:p w:rsidR="00D731DA">
            <w:pPr>
              <w:spacing w:line="320" w:lineRule="exact"/>
              <w:rPr>
                <w:rFonts w:ascii="宋体"/>
                <w:sz w:val="21"/>
              </w:rPr>
            </w:pPr>
            <w:r>
              <w:rPr>
                <w:rFonts w:ascii="宋体" w:hint="eastAsia"/>
                <w:sz w:val="21"/>
              </w:rPr>
              <w:t>天津市中央药业</w:t>
            </w:r>
          </w:p>
        </w:tc>
        <w:tc>
          <w:tcPr>
            <w:tcW w:w="1827" w:type="dxa"/>
          </w:tcPr>
          <w:p w:rsidR="00D731DA">
            <w:pPr>
              <w:spacing w:line="320" w:lineRule="exact"/>
              <w:ind w:right="752"/>
              <w:jc w:val="right"/>
              <w:rPr>
                <w:rFonts w:ascii="宋体" w:hint="eastAsia"/>
                <w:sz w:val="21"/>
              </w:rPr>
            </w:pPr>
            <w:r>
              <w:rPr>
                <w:rFonts w:ascii="宋体" w:hint="eastAsia"/>
                <w:sz w:val="21"/>
              </w:rPr>
              <w:t>4175.7</w:t>
            </w:r>
          </w:p>
        </w:tc>
        <w:tc>
          <w:tcPr>
            <w:tcW w:w="1613" w:type="dxa"/>
          </w:tcPr>
          <w:p w:rsidR="00D731DA">
            <w:pPr>
              <w:spacing w:line="320" w:lineRule="exact"/>
              <w:ind w:right="741"/>
              <w:jc w:val="right"/>
              <w:rPr>
                <w:rFonts w:ascii="宋体"/>
                <w:sz w:val="21"/>
              </w:rPr>
            </w:pPr>
            <w:r>
              <w:rPr>
                <w:rFonts w:ascii="宋体" w:hint="eastAsia"/>
                <w:sz w:val="21"/>
              </w:rPr>
              <w:t>22.45</w:t>
            </w:r>
          </w:p>
        </w:tc>
      </w:tr>
      <w:tr>
        <w:tblPrEx>
          <w:tblW w:w="0" w:type="auto"/>
          <w:tblInd w:w="788" w:type="dxa"/>
          <w:tblLayout w:type="fixed"/>
          <w:tblLook w:val="0000"/>
        </w:tblPrEx>
        <w:tc>
          <w:tcPr>
            <w:tcW w:w="3835" w:type="dxa"/>
          </w:tcPr>
          <w:p w:rsidR="00D731DA">
            <w:pPr>
              <w:spacing w:line="320" w:lineRule="exact"/>
              <w:rPr>
                <w:rFonts w:ascii="宋体" w:hint="eastAsia"/>
                <w:sz w:val="21"/>
              </w:rPr>
            </w:pPr>
            <w:r>
              <w:rPr>
                <w:rFonts w:ascii="宋体" w:hint="eastAsia"/>
                <w:sz w:val="21"/>
              </w:rPr>
              <w:t>总  计</w:t>
            </w:r>
          </w:p>
        </w:tc>
        <w:tc>
          <w:tcPr>
            <w:tcW w:w="1827" w:type="dxa"/>
          </w:tcPr>
          <w:p w:rsidR="00D731DA">
            <w:pPr>
              <w:spacing w:line="320" w:lineRule="exact"/>
              <w:ind w:right="752"/>
              <w:jc w:val="right"/>
              <w:rPr>
                <w:rFonts w:ascii="宋体" w:hint="eastAsia"/>
                <w:sz w:val="21"/>
              </w:rPr>
            </w:pPr>
            <w:r>
              <w:rPr>
                <w:rFonts w:ascii="宋体" w:hint="eastAsia"/>
                <w:sz w:val="21"/>
              </w:rPr>
              <w:t>18600</w:t>
            </w:r>
          </w:p>
        </w:tc>
        <w:tc>
          <w:tcPr>
            <w:tcW w:w="1613" w:type="dxa"/>
          </w:tcPr>
          <w:p w:rsidR="00D731DA">
            <w:pPr>
              <w:spacing w:line="320" w:lineRule="exact"/>
              <w:ind w:right="741"/>
              <w:jc w:val="right"/>
              <w:rPr>
                <w:rFonts w:ascii="宋体"/>
                <w:sz w:val="21"/>
              </w:rPr>
            </w:pPr>
            <w:r>
              <w:rPr>
                <w:rFonts w:ascii="宋体" w:hint="eastAsia"/>
                <w:sz w:val="21"/>
              </w:rPr>
              <w:t>100.00</w:t>
            </w:r>
          </w:p>
        </w:tc>
      </w:tr>
    </w:tbl>
    <w:p w:rsidR="00D731DA">
      <w:pPr>
        <w:spacing w:before="240" w:line="420" w:lineRule="exact"/>
        <w:ind w:firstLine="425"/>
        <w:rPr>
          <w:rFonts w:ascii="宋体" w:hint="eastAsia"/>
        </w:rPr>
      </w:pPr>
      <w:r>
        <w:rPr>
          <w:rFonts w:ascii="宋体" w:hint="eastAsia"/>
          <w:color w:val="000000"/>
        </w:rPr>
        <w:t>天津天士力集团下设天士力国贸分公司，以及拥有天津天士力制药股份70</w:t>
      </w:r>
      <w:r>
        <w:rPr>
          <w:rFonts w:ascii="宋体" w:hint="eastAsia"/>
        </w:rPr>
        <w:t>％</w:t>
      </w:r>
      <w:r>
        <w:rPr>
          <w:rFonts w:ascii="宋体" w:hint="eastAsia"/>
          <w:color w:val="000000"/>
        </w:rPr>
        <w:t>股权、天津天士力新资源药业公司</w:t>
      </w:r>
      <w:r>
        <w:rPr>
          <w:rFonts w:ascii="宋体"/>
          <w:color w:val="000000"/>
        </w:rPr>
        <w:t>55</w:t>
      </w:r>
      <w:r>
        <w:rPr>
          <w:rFonts w:ascii="宋体" w:hint="eastAsia"/>
        </w:rPr>
        <w:t>％</w:t>
      </w:r>
      <w:r>
        <w:rPr>
          <w:rFonts w:ascii="宋体" w:hint="eastAsia"/>
          <w:color w:val="000000"/>
        </w:rPr>
        <w:t>股权、天津天士力广告70％股权、天士力商洛植物药业</w:t>
      </w:r>
      <w:r>
        <w:rPr>
          <w:rFonts w:ascii="宋体"/>
        </w:rPr>
        <w:t>30</w:t>
      </w:r>
      <w:r>
        <w:rPr>
          <w:rFonts w:ascii="宋体" w:hint="eastAsia"/>
        </w:rPr>
        <w:t>％股权及天士力〔香港〕公司50％的股权。</w:t>
      </w:r>
    </w:p>
    <w:p w:rsidR="00D731DA">
      <w:pPr>
        <w:spacing w:line="420" w:lineRule="exact"/>
        <w:ind w:firstLine="425"/>
        <w:rPr>
          <w:rFonts w:ascii="宋体"/>
        </w:rPr>
      </w:pPr>
      <w:r>
        <w:rPr>
          <w:rFonts w:ascii="宋体" w:hint="eastAsia"/>
        </w:rPr>
        <w:t>天士力集团公司控股的天士力制药股份，占天士力集团公司销售收入的95％。注册资本14000万元，总资产约3.4亿元。1994年5月由北京军区后勤部第254医院与天津中央药业公司共同发起设立, 1997年引进浙江尖峰集团，1998年改组为天津天士力制药集团，1999年贯彻中央关于军队与经营性企业脱钩的政策，将军队股权移交给地方，2000年初，按照国家证监会上市的要求重组设立为股份公司，现正积极努力申请上市。</w:t>
      </w:r>
    </w:p>
    <w:p w:rsidR="00D731DA">
      <w:pPr>
        <w:spacing w:line="420" w:lineRule="exact"/>
        <w:ind w:firstLine="425"/>
        <w:rPr>
          <w:rFonts w:ascii="宋体" w:hint="eastAsia"/>
        </w:rPr>
      </w:pPr>
      <w:r>
        <w:rPr>
          <w:rFonts w:ascii="宋体" w:hint="eastAsia"/>
        </w:rPr>
        <w:t>自1994年成立至今，业绩高速增长，产值、销售额、利润连年翻番。</w:t>
      </w:r>
      <w:r>
        <w:rPr>
          <w:rFonts w:ascii="宋体"/>
        </w:rPr>
        <w:t>2000</w:t>
      </w:r>
      <w:r>
        <w:rPr>
          <w:rFonts w:ascii="宋体" w:hint="eastAsia"/>
        </w:rPr>
        <w:t>年销售收入超过5亿元，成为天津市药业三强之一。 公司的主导产品复方丹参滴丸于1997年通过美国</w:t>
      </w:r>
      <w:r>
        <w:rPr>
          <w:rFonts w:hint="eastAsia"/>
        </w:rPr>
        <w:t>FDA IND</w:t>
      </w:r>
      <w:r>
        <w:rPr>
          <w:rFonts w:ascii="宋体" w:hint="eastAsia"/>
        </w:rPr>
        <w:t>的审批，于1999年获国家科技进步三等奖，公司投资兴建的复方丹参滴丸系列中药现代化产业基地被国家计委列为国家高技术产业示范工程。</w:t>
      </w:r>
    </w:p>
    <w:p w:rsidR="00D731DA">
      <w:pPr>
        <w:pStyle w:val="Heading2"/>
        <w:spacing w:before="360" w:after="240" w:line="460" w:lineRule="exact"/>
        <w:rPr>
          <w:rFonts w:hint="eastAsia"/>
        </w:rPr>
      </w:pPr>
      <w:r>
        <w:rPr>
          <w:rFonts w:hint="eastAsia"/>
        </w:rPr>
        <w:t>二、组织机构</w:t>
      </w:r>
    </w:p>
    <w:p w:rsidR="00D731DA">
      <w:pPr>
        <w:spacing w:line="420" w:lineRule="exact"/>
        <w:rPr>
          <w:rFonts w:ascii="宋体" w:hint="eastAsia"/>
        </w:rPr>
        <w:sectPr>
          <w:pgSz w:w="11906" w:h="16838"/>
          <w:pgMar w:top="1162" w:right="1270" w:bottom="1162" w:left="1230" w:header="851" w:footer="992" w:gutter="0"/>
          <w:pgNumType w:start="103"/>
          <w:cols w:space="425"/>
          <w:docGrid w:type="lines" w:linePitch="326" w:charSpace="-4916"/>
        </w:sectPr>
      </w:pPr>
      <w:r>
        <w:rPr>
          <w:rFonts w:ascii="宋体"/>
          <w:noProof/>
        </w:rPr>
        <w:pict>
          <v:group id="_x0000_s1025" style="width:414.75pt;height:280.85pt;margin-top:6pt;margin-left:26.25pt;position:absolute;z-index:251658240" coordorigin="2322,5880" coordsize="8295,5617" o:allowincell="f">
            <v:shapetype id="_x0000_t202" coordsize="21600,21600" o:spt="202" path="m,l,21600r21600,l21600,xe">
              <v:stroke joinstyle="miter"/>
              <v:path gradientshapeok="t" o:connecttype="rect"/>
            </v:shapetype>
            <v:shape id="_x0000_s1026" type="#_x0000_t202" style="width:3360;height:468;left:4842;position:absolute;top:5880">
              <v:textbox>
                <w:txbxContent>
                  <w:p w:rsidR="00D731DA">
                    <w:pPr>
                      <w:jc w:val="center"/>
                      <w:rPr>
                        <w:rFonts w:hint="eastAsia"/>
                      </w:rPr>
                    </w:pPr>
                    <w:r>
                      <w:rPr>
                        <w:rFonts w:hint="eastAsia"/>
                      </w:rPr>
                      <w:t>天士力集团</w:t>
                    </w:r>
                  </w:p>
                </w:txbxContent>
              </v:textbox>
            </v:shape>
            <v:line id="_x0000_s1027" style="position:absolute" from="2742,10073" to="10302,10073"/>
            <v:line id="_x0000_s1028" style="position:absolute" from="10302,10382" to="10302,10679"/>
            <v:line id="_x0000_s1029" style="position:absolute" from="4577,6500" to="4577,8216"/>
            <v:shape id="_x0000_s1030" type="#_x0000_t202" style="width:525;height:1107;left:10092;position:absolute;top:10389">
              <v:textbox style="layout-flow:vertical-ideographic">
                <w:txbxContent>
                  <w:p w:rsidR="00D731DA">
                    <w:pPr>
                      <w:rPr>
                        <w:rFonts w:hint="eastAsia"/>
                        <w:sz w:val="15"/>
                      </w:rPr>
                    </w:pPr>
                    <w:r>
                      <w:rPr>
                        <w:rFonts w:hint="eastAsia"/>
                        <w:sz w:val="15"/>
                      </w:rPr>
                      <w:t>天士力中学</w:t>
                    </w:r>
                  </w:p>
                </w:txbxContent>
              </v:textbox>
            </v:shape>
            <v:shape id="_x0000_s1031" type="#_x0000_t202" style="width:525;height:1092;left:9462;position:absolute;top:10404">
              <v:textbox style="layout-flow:vertical-ideographic">
                <w:txbxContent>
                  <w:p w:rsidR="00D731DA">
                    <w:pPr>
                      <w:rPr>
                        <w:rFonts w:hint="eastAsia"/>
                        <w:spacing w:val="-14"/>
                        <w:sz w:val="15"/>
                      </w:rPr>
                    </w:pPr>
                    <w:r>
                      <w:rPr>
                        <w:rFonts w:hint="eastAsia"/>
                        <w:spacing w:val="-14"/>
                        <w:sz w:val="15"/>
                      </w:rPr>
                      <w:t>天士力律师事务所</w:t>
                    </w:r>
                  </w:p>
                </w:txbxContent>
              </v:textbox>
            </v:shape>
            <v:shape id="_x0000_s1032" type="#_x0000_t202" style="width:810;height:1092;left:8517;position:absolute;top:10404">
              <v:textbox style="layout-flow:vertical-ideographic">
                <w:txbxContent>
                  <w:p w:rsidR="00D731DA">
                    <w:pPr>
                      <w:pStyle w:val="BodyText3"/>
                      <w:rPr>
                        <w:rFonts w:hint="eastAsia"/>
                        <w:spacing w:val="-10"/>
                        <w:sz w:val="15"/>
                      </w:rPr>
                    </w:pPr>
                    <w:r>
                      <w:rPr>
                        <w:rFonts w:hint="eastAsia"/>
                        <w:spacing w:val="-10"/>
                        <w:sz w:val="15"/>
                      </w:rPr>
                      <w:t>天士力新晃植物药业</w:t>
                    </w:r>
                  </w:p>
                </w:txbxContent>
              </v:textbox>
            </v:shape>
            <v:shape id="_x0000_s1033" type="#_x0000_t202" style="width:840;height:1077;left:7572;position:absolute;top:10419">
              <v:textbox style="layout-flow:vertical-ideographic">
                <w:txbxContent>
                  <w:p w:rsidR="00D731DA">
                    <w:pPr>
                      <w:pStyle w:val="BodyText3"/>
                      <w:rPr>
                        <w:rFonts w:hint="eastAsia"/>
                        <w:spacing w:val="-4"/>
                        <w:sz w:val="15"/>
                      </w:rPr>
                    </w:pPr>
                    <w:r>
                      <w:rPr>
                        <w:rFonts w:hint="eastAsia"/>
                        <w:spacing w:val="-4"/>
                        <w:sz w:val="15"/>
                      </w:rPr>
                      <w:t>天士力商洛植物药业</w:t>
                    </w:r>
                  </w:p>
                </w:txbxContent>
              </v:textbox>
            </v:shape>
            <v:shape id="_x0000_s1034" type="#_x0000_t202" style="width:870;height:1077;left:6637;position:absolute;top:10400">
              <v:textbox style="layout-flow:vertical-ideographic">
                <w:txbxContent>
                  <w:p w:rsidR="00D731DA">
                    <w:pPr>
                      <w:pStyle w:val="BodyText3"/>
                      <w:rPr>
                        <w:rFonts w:hint="eastAsia"/>
                        <w:spacing w:val="-6"/>
                        <w:sz w:val="15"/>
                      </w:rPr>
                    </w:pPr>
                    <w:r>
                      <w:rPr>
                        <w:rFonts w:hint="eastAsia"/>
                        <w:spacing w:val="-6"/>
                        <w:sz w:val="13"/>
                      </w:rPr>
                      <w:t>天士力金不换三七种植</w:t>
                    </w:r>
                    <w:r>
                      <w:rPr>
                        <w:rFonts w:hint="eastAsia"/>
                        <w:spacing w:val="-6"/>
                        <w:sz w:val="15"/>
                      </w:rPr>
                      <w:t>公司</w:t>
                    </w:r>
                  </w:p>
                </w:txbxContent>
              </v:textbox>
            </v:shape>
            <v:shape id="_x0000_s1035" type="#_x0000_t202" style="width:880;height:1077;left:5642;position:absolute;top:10420">
              <v:textbox style="layout-flow:vertical-ideographic">
                <w:txbxContent>
                  <w:p w:rsidR="00D731DA">
                    <w:pPr>
                      <w:pStyle w:val="BodyText3"/>
                      <w:rPr>
                        <w:rFonts w:hint="eastAsia"/>
                        <w:sz w:val="15"/>
                      </w:rPr>
                    </w:pPr>
                    <w:r>
                      <w:rPr>
                        <w:rFonts w:hint="eastAsia"/>
                        <w:sz w:val="15"/>
                      </w:rPr>
                      <w:t>天士力广告</w:t>
                    </w:r>
                  </w:p>
                </w:txbxContent>
              </v:textbox>
            </v:shape>
            <v:shape id="_x0000_s1036" type="#_x0000_t202" style="width:705;height:1092;left:4827;position:absolute;top:10404">
              <v:textbox style="layout-flow:vertical-ideographic">
                <w:txbxContent>
                  <w:p w:rsidR="00D731DA">
                    <w:pPr>
                      <w:pStyle w:val="BodyText3"/>
                      <w:rPr>
                        <w:rFonts w:hint="eastAsia"/>
                        <w:sz w:val="15"/>
                      </w:rPr>
                    </w:pPr>
                    <w:r>
                      <w:rPr>
                        <w:rFonts w:hint="eastAsia"/>
                        <w:sz w:val="15"/>
                      </w:rPr>
                      <w:t>天士力国际贸易分公司</w:t>
                    </w:r>
                  </w:p>
                </w:txbxContent>
              </v:textbox>
            </v:shape>
            <v:shape id="_x0000_s1037" type="#_x0000_t202" style="width:735;height:1107;left:4002;position:absolute;top:10389">
              <v:textbox style="layout-flow:vertical-ideographic">
                <w:txbxContent>
                  <w:p w:rsidR="00D731DA">
                    <w:pPr>
                      <w:pStyle w:val="BodyText3"/>
                      <w:spacing w:line="220" w:lineRule="exact"/>
                      <w:rPr>
                        <w:rFonts w:hint="eastAsia"/>
                        <w:sz w:val="15"/>
                      </w:rPr>
                    </w:pPr>
                    <w:r>
                      <w:rPr>
                        <w:rFonts w:hint="eastAsia"/>
                        <w:sz w:val="15"/>
                      </w:rPr>
                      <w:t>天士力新资源药业</w:t>
                    </w:r>
                  </w:p>
                </w:txbxContent>
              </v:textbox>
            </v:shape>
            <v:shape id="_x0000_s1038" type="#_x0000_t202" style="width:735;height:1107;left:3162;position:absolute;top:10389">
              <v:textbox style="layout-flow:vertical-ideographic">
                <w:txbxContent>
                  <w:p w:rsidR="00D731DA">
                    <w:pPr>
                      <w:pStyle w:val="BodyText3"/>
                      <w:spacing w:line="220" w:lineRule="exact"/>
                      <w:rPr>
                        <w:rFonts w:hint="eastAsia"/>
                        <w:sz w:val="15"/>
                      </w:rPr>
                    </w:pPr>
                    <w:r>
                      <w:rPr>
                        <w:rFonts w:hint="eastAsia"/>
                        <w:sz w:val="15"/>
                      </w:rPr>
                      <w:t>天士力医药药业</w:t>
                    </w:r>
                  </w:p>
                </w:txbxContent>
              </v:textbox>
            </v:shape>
            <v:shape id="_x0000_s1039" type="#_x0000_t202" style="width:735;height:1107;left:2322;position:absolute;top:10389">
              <v:textbox style="layout-flow:vertical-ideographic">
                <w:txbxContent>
                  <w:p w:rsidR="00D731DA">
                    <w:pPr>
                      <w:pStyle w:val="BodyText3"/>
                      <w:spacing w:line="220" w:lineRule="exact"/>
                      <w:rPr>
                        <w:rFonts w:hint="eastAsia"/>
                        <w:sz w:val="15"/>
                      </w:rPr>
                    </w:pPr>
                    <w:r>
                      <w:rPr>
                        <w:rFonts w:hint="eastAsia"/>
                        <w:sz w:val="15"/>
                      </w:rPr>
                      <w:t>天士力制药股份</w:t>
                    </w:r>
                  </w:p>
                </w:txbxContent>
              </v:textbox>
            </v:shape>
            <v:line id="_x0000_s1040" style="position:absolute" from="2742,10092" to="2742,10404"/>
            <v:line id="_x0000_s1041" style="position:absolute" from="3522,10092" to="3522,10404"/>
            <v:line id="_x0000_s1042" style="position:absolute" from="4347,10092" to="4347,10404"/>
            <v:line id="_x0000_s1043" style="position:absolute" from="5202,10092" to="5202,10404"/>
            <v:line id="_x0000_s1044" style="position:absolute" from="6057,10092" to="6057,10404"/>
            <v:line id="_x0000_s1045" style="position:absolute" from="7047,10092" to="7047,10404"/>
            <v:line id="_x0000_s1046" style="position:absolute" from="7992,10092" to="7992,10404"/>
            <v:line id="_x0000_s1047" style="position:absolute" from="8937,10092" to="8937,10404"/>
            <v:line id="_x0000_s1048" style="position:absolute" from="9717,10092" to="9717,10404"/>
            <v:shape id="_x0000_s1049" type="#_x0000_t202" style="width:518;height:1092;left:2862;position:absolute;top:8844">
              <v:textbox style="layout-flow:vertical-ideographic">
                <w:txbxContent>
                  <w:p w:rsidR="00D731DA">
                    <w:pPr>
                      <w:jc w:val="center"/>
                      <w:rPr>
                        <w:rFonts w:hint="eastAsia"/>
                        <w:sz w:val="15"/>
                      </w:rPr>
                    </w:pPr>
                    <w:r>
                      <w:rPr>
                        <w:rFonts w:hint="eastAsia"/>
                        <w:sz w:val="15"/>
                      </w:rPr>
                      <w:t>人力资源部</w:t>
                    </w:r>
                  </w:p>
                </w:txbxContent>
              </v:textbox>
            </v:shape>
            <v:shape id="_x0000_s1050" type="#_x0000_t202" style="width:525;height:1092;left:3567;position:absolute;top:8844">
              <v:textbox style="layout-flow:vertical-ideographic">
                <w:txbxContent>
                  <w:p w:rsidR="00D731DA">
                    <w:pPr>
                      <w:jc w:val="center"/>
                      <w:rPr>
                        <w:rFonts w:hint="eastAsia"/>
                        <w:spacing w:val="20"/>
                        <w:sz w:val="15"/>
                      </w:rPr>
                    </w:pPr>
                    <w:r>
                      <w:rPr>
                        <w:rFonts w:hint="eastAsia"/>
                        <w:spacing w:val="20"/>
                        <w:sz w:val="15"/>
                      </w:rPr>
                      <w:t>政务部</w:t>
                    </w:r>
                  </w:p>
                </w:txbxContent>
              </v:textbox>
            </v:shape>
            <v:shape id="_x0000_s1051" type="#_x0000_t202" style="width:525;height:1092;left:4317;position:absolute;top:8844">
              <v:textbox style="layout-flow:vertical-ideographic">
                <w:txbxContent>
                  <w:p w:rsidR="00D731DA">
                    <w:pPr>
                      <w:jc w:val="center"/>
                      <w:rPr>
                        <w:rFonts w:hint="eastAsia"/>
                      </w:rPr>
                    </w:pPr>
                    <w:r>
                      <w:rPr>
                        <w:rFonts w:hint="eastAsia"/>
                        <w:sz w:val="15"/>
                      </w:rPr>
                      <w:t>审计监察部</w:t>
                    </w:r>
                  </w:p>
                </w:txbxContent>
              </v:textbox>
            </v:shape>
            <v:shape id="_x0000_s1052" type="#_x0000_t202" style="width:525;height:1092;left:5052;position:absolute;top:8844">
              <v:textbox style="layout-flow:vertical-ideographic">
                <w:txbxContent>
                  <w:p w:rsidR="00D731DA">
                    <w:pPr>
                      <w:jc w:val="center"/>
                      <w:rPr>
                        <w:rFonts w:hint="eastAsia"/>
                        <w:sz w:val="15"/>
                      </w:rPr>
                    </w:pPr>
                    <w:r>
                      <w:rPr>
                        <w:rFonts w:hint="eastAsia"/>
                        <w:sz w:val="15"/>
                      </w:rPr>
                      <w:t>投资开展部</w:t>
                    </w:r>
                  </w:p>
                </w:txbxContent>
              </v:textbox>
            </v:shape>
            <v:shape id="_x0000_s1053" type="#_x0000_t202" style="width:525;height:1092;left:5772;position:absolute;top:8844">
              <v:textbox style="layout-flow:vertical-ideographic">
                <w:txbxContent>
                  <w:p w:rsidR="00D731DA">
                    <w:pPr>
                      <w:jc w:val="center"/>
                      <w:rPr>
                        <w:rFonts w:hint="eastAsia"/>
                        <w:sz w:val="15"/>
                      </w:rPr>
                    </w:pPr>
                    <w:r>
                      <w:rPr>
                        <w:rFonts w:hint="eastAsia"/>
                        <w:sz w:val="15"/>
                      </w:rPr>
                      <w:t>行政管理部</w:t>
                    </w:r>
                  </w:p>
                </w:txbxContent>
              </v:textbox>
            </v:shape>
            <v:shape id="_x0000_s1054" type="#_x0000_t202" style="width:525;height:1092;left:6627;position:absolute;top:8844">
              <v:textbox style="layout-flow:vertical-ideographic">
                <w:txbxContent>
                  <w:p w:rsidR="00D731DA">
                    <w:pPr>
                      <w:jc w:val="center"/>
                      <w:rPr>
                        <w:rFonts w:hint="eastAsia"/>
                        <w:sz w:val="15"/>
                      </w:rPr>
                    </w:pPr>
                    <w:r>
                      <w:rPr>
                        <w:rFonts w:hint="eastAsia"/>
                        <w:sz w:val="15"/>
                      </w:rPr>
                      <w:t>信息中心</w:t>
                    </w:r>
                  </w:p>
                </w:txbxContent>
              </v:textbox>
            </v:shape>
            <v:shape id="_x0000_s1055" type="#_x0000_t202" style="width:525;height:1092;left:7257;position:absolute;top:8844">
              <v:textbox style="layout-flow:vertical-ideographic">
                <w:txbxContent>
                  <w:p w:rsidR="00D731DA">
                    <w:pPr>
                      <w:jc w:val="center"/>
                      <w:rPr>
                        <w:rFonts w:hint="eastAsia"/>
                        <w:spacing w:val="20"/>
                        <w:sz w:val="15"/>
                      </w:rPr>
                    </w:pPr>
                    <w:r>
                      <w:rPr>
                        <w:rFonts w:hint="eastAsia"/>
                        <w:spacing w:val="20"/>
                        <w:sz w:val="15"/>
                      </w:rPr>
                      <w:t>秘书处</w:t>
                    </w:r>
                  </w:p>
                </w:txbxContent>
              </v:textbox>
            </v:shape>
            <v:shape id="_x0000_s1056" type="#_x0000_t202" style="width:525;height:1092;left:7887;position:absolute;top:8844">
              <v:textbox style="layout-flow:vertical-ideographic">
                <w:txbxContent>
                  <w:p w:rsidR="00D731DA">
                    <w:pPr>
                      <w:jc w:val="center"/>
                      <w:rPr>
                        <w:rFonts w:hint="eastAsia"/>
                        <w:spacing w:val="20"/>
                        <w:sz w:val="15"/>
                      </w:rPr>
                    </w:pPr>
                    <w:r>
                      <w:rPr>
                        <w:rFonts w:hint="eastAsia"/>
                        <w:spacing w:val="20"/>
                        <w:sz w:val="15"/>
                      </w:rPr>
                      <w:t>工程部</w:t>
                    </w:r>
                  </w:p>
                </w:txbxContent>
              </v:textbox>
            </v:shape>
            <v:shape id="_x0000_s1057" type="#_x0000_t202" style="width:525;height:1092;left:8517;position:absolute;top:8844">
              <v:textbox style="layout-flow:vertical-ideographic">
                <w:txbxContent>
                  <w:p w:rsidR="00D731DA">
                    <w:pPr>
                      <w:jc w:val="center"/>
                      <w:rPr>
                        <w:rFonts w:hint="eastAsia"/>
                        <w:sz w:val="15"/>
                      </w:rPr>
                    </w:pPr>
                    <w:r>
                      <w:rPr>
                        <w:rFonts w:hint="eastAsia"/>
                        <w:sz w:val="15"/>
                      </w:rPr>
                      <w:t>供给中心</w:t>
                    </w:r>
                  </w:p>
                </w:txbxContent>
              </v:textbox>
            </v:shape>
            <v:shape id="_x0000_s1058" type="#_x0000_t202" style="width:525;height:1092;left:9147;position:absolute;top:8844">
              <v:textbox style="layout-flow:vertical-ideographic">
                <w:txbxContent>
                  <w:p w:rsidR="00D731DA">
                    <w:pPr>
                      <w:jc w:val="center"/>
                      <w:rPr>
                        <w:rFonts w:hint="eastAsia"/>
                        <w:sz w:val="15"/>
                      </w:rPr>
                    </w:pPr>
                    <w:r>
                      <w:rPr>
                        <w:rFonts w:hint="eastAsia"/>
                        <w:sz w:val="15"/>
                      </w:rPr>
                      <w:t>财务中心</w:t>
                    </w:r>
                  </w:p>
                </w:txbxContent>
              </v:textbox>
            </v:shape>
            <v:shape id="_x0000_s1059" type="#_x0000_t202" style="width:525;height:1092;left:9777;position:absolute;top:8844">
              <v:textbox style="layout-flow:vertical-ideographic">
                <w:txbxContent>
                  <w:p w:rsidR="00D731DA">
                    <w:pPr>
                      <w:jc w:val="center"/>
                      <w:rPr>
                        <w:rFonts w:hint="eastAsia"/>
                        <w:sz w:val="15"/>
                      </w:rPr>
                    </w:pPr>
                    <w:r>
                      <w:rPr>
                        <w:rFonts w:hint="eastAsia"/>
                        <w:sz w:val="15"/>
                      </w:rPr>
                      <w:t>质量中心</w:t>
                    </w:r>
                  </w:p>
                </w:txbxContent>
              </v:textbox>
            </v:shape>
            <v:shape id="_x0000_s1060" type="#_x0000_t202" style="width:1365;height:372;left:2772;position:absolute;top:6288">
              <v:textbox>
                <w:txbxContent>
                  <w:p w:rsidR="00D731DA">
                    <w:pPr>
                      <w:spacing w:line="220" w:lineRule="exact"/>
                      <w:rPr>
                        <w:rFonts w:hint="eastAsia"/>
                        <w:sz w:val="15"/>
                      </w:rPr>
                    </w:pPr>
                    <w:r>
                      <w:rPr>
                        <w:rFonts w:hint="eastAsia"/>
                        <w:sz w:val="15"/>
                      </w:rPr>
                      <w:t>企业战略研究所</w:t>
                    </w:r>
                  </w:p>
                </w:txbxContent>
              </v:textbox>
            </v:shape>
            <v:shape id="_x0000_s1061" type="#_x0000_t202" style="width:1365;height:367;left:2772;position:absolute;top:6771">
              <v:textbox>
                <w:txbxContent>
                  <w:p w:rsidR="00D731DA">
                    <w:pPr>
                      <w:spacing w:line="220" w:lineRule="exact"/>
                      <w:rPr>
                        <w:rFonts w:hint="eastAsia"/>
                        <w:sz w:val="15"/>
                      </w:rPr>
                    </w:pPr>
                    <w:r>
                      <w:rPr>
                        <w:rFonts w:hint="eastAsia"/>
                        <w:sz w:val="15"/>
                      </w:rPr>
                      <w:t>现代中药研究所</w:t>
                    </w:r>
                  </w:p>
                </w:txbxContent>
              </v:textbox>
            </v:shape>
            <v:shape id="_x0000_s1062" type="#_x0000_t202" style="width:1365;height:612;left:2772;position:absolute;top:7251">
              <v:textbox>
                <w:txbxContent>
                  <w:p w:rsidR="00D731DA">
                    <w:pPr>
                      <w:spacing w:line="200" w:lineRule="exact"/>
                      <w:rPr>
                        <w:rFonts w:hint="eastAsia"/>
                        <w:sz w:val="15"/>
                      </w:rPr>
                    </w:pPr>
                    <w:r>
                      <w:rPr>
                        <w:rFonts w:hint="eastAsia"/>
                        <w:spacing w:val="-16"/>
                        <w:sz w:val="15"/>
                      </w:rPr>
                      <w:t>生物技术、生物制品研究开发中</w:t>
                    </w:r>
                    <w:r>
                      <w:rPr>
                        <w:rFonts w:hint="eastAsia"/>
                        <w:sz w:val="15"/>
                      </w:rPr>
                      <w:t>心</w:t>
                    </w:r>
                  </w:p>
                </w:txbxContent>
              </v:textbox>
            </v:shape>
            <v:shape id="_x0000_s1063" type="#_x0000_t202" style="width:1365;height:396;left:2772;position:absolute;top:7980">
              <v:textbox>
                <w:txbxContent>
                  <w:p w:rsidR="00D731DA">
                    <w:pPr>
                      <w:spacing w:line="220" w:lineRule="exact"/>
                      <w:rPr>
                        <w:rFonts w:hint="eastAsia"/>
                        <w:sz w:val="15"/>
                      </w:rPr>
                    </w:pPr>
                    <w:r>
                      <w:rPr>
                        <w:rFonts w:hint="eastAsia"/>
                        <w:sz w:val="15"/>
                      </w:rPr>
                      <w:t>化学药物研究所</w:t>
                    </w:r>
                  </w:p>
                </w:txbxContent>
              </v:textbox>
            </v:shape>
            <v:line id="_x0000_s1064" style="position:absolute" from="3162,8532" to="9987,8532"/>
            <v:line id="_x0000_s1065" style="position:absolute" from="3140,8532" to="3140,8844"/>
            <v:line id="_x0000_s1066" style="position:absolute" from="3822,8532" to="3822,8844"/>
            <v:line id="_x0000_s1067" style="position:absolute" from="4557,8532" to="4557,8844"/>
            <v:line id="_x0000_s1068" style="position:absolute" from="5322,8547" to="5322,8859"/>
            <v:line id="_x0000_s1069" style="position:absolute" from="5997,8532" to="5997,8844"/>
            <v:line id="_x0000_s1070" style="position:absolute" from="6882,8532" to="6882,8844"/>
            <v:line id="_x0000_s1071" style="position:absolute" from="7527,8547" to="7527,8859"/>
            <v:line id="_x0000_s1072" style="position:absolute" from="8142,8547" to="8142,8859"/>
            <v:line id="_x0000_s1073" style="position:absolute" from="9987,8547" to="9987,8859"/>
            <v:line id="_x0000_s1074" style="position:absolute" from="9402,8547" to="9402,8859"/>
            <v:line id="_x0000_s1075" style="position:absolute" from="8757,8532" to="8757,8844"/>
            <v:shape id="_x0000_s1076" type="#_x0000_t202" style="width:540;height:1092;left:4957;position:absolute;top:6816">
              <v:textbox style="layout-flow:vertical-ideographic">
                <w:txbxContent>
                  <w:p w:rsidR="00D731DA">
                    <w:pPr>
                      <w:spacing w:line="160" w:lineRule="exact"/>
                      <w:jc w:val="center"/>
                      <w:rPr>
                        <w:rFonts w:hint="eastAsia"/>
                        <w:sz w:val="18"/>
                      </w:rPr>
                    </w:pPr>
                    <w:r>
                      <w:rPr>
                        <w:rFonts w:hint="eastAsia"/>
                        <w:sz w:val="18"/>
                      </w:rPr>
                      <w:t>研究院</w:t>
                    </w:r>
                  </w:p>
                </w:txbxContent>
              </v:textbox>
            </v:shape>
            <v:line id="_x0000_s1077" style="position:absolute" from="4137,8220" to="4557,8220"/>
            <v:line id="_x0000_s1078" style="flip:y;position:absolute" from="4557,7314" to="4952,7320"/>
            <v:shape id="_x0000_s1079" type="#_x0000_t202" style="width:945;height:408;left:6027;position:absolute;top:6642">
              <v:textbox>
                <w:txbxContent>
                  <w:p w:rsidR="00D731DA">
                    <w:pPr>
                      <w:spacing w:line="220" w:lineRule="exact"/>
                      <w:jc w:val="center"/>
                      <w:rPr>
                        <w:rFonts w:hint="eastAsia"/>
                        <w:sz w:val="18"/>
                      </w:rPr>
                    </w:pPr>
                    <w:r>
                      <w:rPr>
                        <w:rFonts w:hint="eastAsia"/>
                        <w:sz w:val="18"/>
                      </w:rPr>
                      <w:t>董事会</w:t>
                    </w:r>
                  </w:p>
                </w:txbxContent>
              </v:textbox>
            </v:shape>
            <v:shape id="_x0000_s1080" type="#_x0000_t202" style="width:840;height:381;left:6102;position:absolute;top:7596">
              <v:textbox>
                <w:txbxContent>
                  <w:p w:rsidR="00D731DA">
                    <w:pPr>
                      <w:spacing w:line="220" w:lineRule="exact"/>
                      <w:jc w:val="center"/>
                      <w:rPr>
                        <w:rFonts w:hint="eastAsia"/>
                        <w:sz w:val="18"/>
                      </w:rPr>
                    </w:pPr>
                    <w:r>
                      <w:rPr>
                        <w:rFonts w:hint="eastAsia"/>
                        <w:sz w:val="18"/>
                      </w:rPr>
                      <w:t>总裁</w:t>
                    </w:r>
                  </w:p>
                </w:txbxContent>
              </v:textbox>
            </v:shape>
            <v:line id="_x0000_s1081" style="position:absolute" from="6517,7977" to="6522,10092"/>
            <v:line id="_x0000_s1082" style="position:absolute" from="6517,6360" to="6517,6660"/>
            <v:line id="_x0000_s1083" style="position:absolute" from="10317,10080" to="10322,10389"/>
            <v:line id="_x0000_s1084" style="position:absolute" from="4137,6980" to="4577,6980"/>
            <v:line id="_x0000_s1085" style="position:absolute" from="4137,7580" to="4577,7580"/>
            <v:line id="_x0000_s1086" style="position:absolute" from="6517,7040" to="6517,7600"/>
            <v:line id="_x0000_s1087" style="flip:x;position:absolute" from="4162,6493" to="4592,6493"/>
            <v:line id="_x0000_s1088" style="position:absolute" from="5490,7305" to="6527,7308"/>
          </v:group>
        </w:pict>
      </w:r>
    </w:p>
    <w:p w:rsidR="00D731DA">
      <w:pPr>
        <w:spacing w:before="480" w:after="120" w:line="440" w:lineRule="exact"/>
        <w:ind w:left="425" w:firstLine="425"/>
        <w:rPr>
          <w:rFonts w:ascii="宋体"/>
          <w:b/>
        </w:rPr>
      </w:pPr>
      <w:r>
        <w:rPr>
          <w:rFonts w:ascii="宋体" w:hint="eastAsia"/>
          <w:b/>
        </w:rPr>
        <w:t>表1</w:t>
      </w:r>
      <w:r>
        <w:rPr>
          <w:rFonts w:ascii="宋体" w:hint="eastAsia"/>
          <w:b/>
        </w:rPr>
        <w:t>—</w:t>
      </w:r>
      <w:r>
        <w:rPr>
          <w:rFonts w:ascii="宋体" w:hint="eastAsia"/>
          <w:b/>
        </w:rPr>
        <w:t>2     天士力集团控股、参股公司概况</w:t>
      </w:r>
    </w:p>
    <w:tbl>
      <w:tblPr>
        <w:tblStyle w:val="TableNormal"/>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1176"/>
        <w:gridCol w:w="1568"/>
        <w:gridCol w:w="1526"/>
        <w:gridCol w:w="2967"/>
      </w:tblGrid>
      <w:tr>
        <w:tblPrEx>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95"/>
        </w:trPr>
        <w:tc>
          <w:tcPr>
            <w:tcW w:w="1260" w:type="dxa"/>
            <w:vAlign w:val="center"/>
          </w:tcPr>
          <w:p w:rsidR="00D731DA">
            <w:pPr>
              <w:spacing w:line="360" w:lineRule="exact"/>
              <w:ind w:firstLine="425"/>
              <w:jc w:val="center"/>
              <w:rPr>
                <w:rFonts w:ascii="宋体" w:hint="eastAsia"/>
                <w:sz w:val="21"/>
              </w:rPr>
            </w:pPr>
          </w:p>
        </w:tc>
        <w:tc>
          <w:tcPr>
            <w:tcW w:w="1176" w:type="dxa"/>
            <w:vAlign w:val="center"/>
          </w:tcPr>
          <w:p w:rsidR="00D731DA">
            <w:pPr>
              <w:spacing w:line="360" w:lineRule="exact"/>
              <w:jc w:val="center"/>
              <w:rPr>
                <w:rFonts w:ascii="宋体" w:hint="eastAsia"/>
                <w:b/>
                <w:sz w:val="21"/>
              </w:rPr>
            </w:pPr>
            <w:r>
              <w:rPr>
                <w:rFonts w:ascii="宋体" w:hint="eastAsia"/>
                <w:b/>
                <w:sz w:val="21"/>
              </w:rPr>
              <w:t>性质</w:t>
            </w:r>
          </w:p>
        </w:tc>
        <w:tc>
          <w:tcPr>
            <w:tcW w:w="1568" w:type="dxa"/>
            <w:vAlign w:val="center"/>
          </w:tcPr>
          <w:p w:rsidR="00D731DA">
            <w:pPr>
              <w:spacing w:line="360" w:lineRule="exact"/>
              <w:jc w:val="center"/>
              <w:rPr>
                <w:rFonts w:ascii="宋体" w:hint="eastAsia"/>
                <w:b/>
                <w:sz w:val="21"/>
              </w:rPr>
            </w:pPr>
            <w:r>
              <w:rPr>
                <w:rFonts w:ascii="宋体" w:hint="eastAsia"/>
                <w:b/>
                <w:sz w:val="21"/>
              </w:rPr>
              <w:t>主要业务</w:t>
            </w:r>
          </w:p>
        </w:tc>
        <w:tc>
          <w:tcPr>
            <w:tcW w:w="1526" w:type="dxa"/>
            <w:vAlign w:val="center"/>
          </w:tcPr>
          <w:p w:rsidR="00D731DA">
            <w:pPr>
              <w:spacing w:line="360" w:lineRule="exact"/>
              <w:jc w:val="center"/>
              <w:rPr>
                <w:rFonts w:ascii="宋体" w:hint="eastAsia"/>
                <w:b/>
                <w:sz w:val="21"/>
              </w:rPr>
            </w:pPr>
            <w:r>
              <w:rPr>
                <w:rFonts w:ascii="宋体" w:hint="eastAsia"/>
                <w:b/>
                <w:sz w:val="21"/>
              </w:rPr>
              <w:t>生产产品</w:t>
            </w:r>
          </w:p>
        </w:tc>
        <w:tc>
          <w:tcPr>
            <w:tcW w:w="2967" w:type="dxa"/>
            <w:vAlign w:val="center"/>
          </w:tcPr>
          <w:p w:rsidR="00D731DA">
            <w:pPr>
              <w:spacing w:line="360" w:lineRule="exact"/>
              <w:jc w:val="center"/>
              <w:rPr>
                <w:rFonts w:ascii="宋体" w:hint="eastAsia"/>
                <w:b/>
                <w:sz w:val="21"/>
              </w:rPr>
            </w:pPr>
            <w:r>
              <w:rPr>
                <w:rFonts w:ascii="宋体" w:hint="eastAsia"/>
                <w:b/>
                <w:sz w:val="21"/>
              </w:rPr>
              <w:t>产品功能</w:t>
            </w:r>
          </w:p>
        </w:tc>
      </w:tr>
      <w:tr>
        <w:tblPrEx>
          <w:tblW w:w="0" w:type="auto"/>
          <w:tblInd w:w="122" w:type="dxa"/>
          <w:tblLayout w:type="fixed"/>
          <w:tblLook w:val="0000"/>
        </w:tblPrEx>
        <w:trPr>
          <w:trHeight w:val="600"/>
        </w:trPr>
        <w:tc>
          <w:tcPr>
            <w:tcW w:w="1260" w:type="dxa"/>
            <w:vAlign w:val="center"/>
          </w:tcPr>
          <w:p w:rsidR="00D731DA">
            <w:pPr>
              <w:spacing w:line="360" w:lineRule="exact"/>
              <w:rPr>
                <w:rFonts w:ascii="宋体" w:hint="eastAsia"/>
                <w:b/>
                <w:sz w:val="21"/>
              </w:rPr>
            </w:pPr>
            <w:r>
              <w:rPr>
                <w:rFonts w:ascii="宋体" w:hint="eastAsia"/>
                <w:b/>
                <w:sz w:val="21"/>
              </w:rPr>
              <w:t>天士力制药股份公司</w:t>
            </w:r>
          </w:p>
        </w:tc>
        <w:tc>
          <w:tcPr>
            <w:tcW w:w="1176" w:type="dxa"/>
            <w:vAlign w:val="center"/>
          </w:tcPr>
          <w:p w:rsidR="00D731DA">
            <w:pPr>
              <w:spacing w:line="360" w:lineRule="exact"/>
              <w:rPr>
                <w:rFonts w:ascii="宋体" w:hint="eastAsia"/>
                <w:sz w:val="21"/>
              </w:rPr>
            </w:pPr>
            <w:r>
              <w:rPr>
                <w:rFonts w:ascii="宋体" w:hint="eastAsia"/>
                <w:sz w:val="21"/>
              </w:rPr>
              <w:t>拟上市</w:t>
            </w:r>
          </w:p>
        </w:tc>
        <w:tc>
          <w:tcPr>
            <w:tcW w:w="1568" w:type="dxa"/>
            <w:vAlign w:val="center"/>
          </w:tcPr>
          <w:p w:rsidR="00D731DA">
            <w:pPr>
              <w:spacing w:line="360" w:lineRule="exact"/>
              <w:rPr>
                <w:rFonts w:ascii="宋体" w:hint="eastAsia"/>
                <w:sz w:val="21"/>
              </w:rPr>
            </w:pPr>
            <w:r>
              <w:rPr>
                <w:rFonts w:ascii="宋体" w:hint="eastAsia"/>
                <w:sz w:val="21"/>
              </w:rPr>
              <w:t>生产、销售中西药品</w:t>
            </w:r>
          </w:p>
        </w:tc>
        <w:tc>
          <w:tcPr>
            <w:tcW w:w="1526" w:type="dxa"/>
            <w:vAlign w:val="center"/>
          </w:tcPr>
          <w:p w:rsidR="00D731DA">
            <w:pPr>
              <w:spacing w:line="360" w:lineRule="exact"/>
              <w:rPr>
                <w:rFonts w:ascii="宋体" w:hint="eastAsia"/>
                <w:sz w:val="21"/>
              </w:rPr>
            </w:pPr>
            <w:r>
              <w:rPr>
                <w:rFonts w:ascii="宋体" w:hint="eastAsia"/>
                <w:sz w:val="21"/>
              </w:rPr>
              <w:t>复方丹参滴丸、养血清脑颗粒</w:t>
            </w:r>
          </w:p>
        </w:tc>
        <w:tc>
          <w:tcPr>
            <w:tcW w:w="2967" w:type="dxa"/>
          </w:tcPr>
          <w:p w:rsidR="00D731DA">
            <w:pPr>
              <w:spacing w:line="360" w:lineRule="exact"/>
              <w:rPr>
                <w:rFonts w:ascii="宋体" w:hint="eastAsia"/>
                <w:sz w:val="21"/>
              </w:rPr>
            </w:pPr>
            <w:r>
              <w:rPr>
                <w:rFonts w:ascii="宋体" w:hint="eastAsia"/>
                <w:sz w:val="21"/>
              </w:rPr>
              <w:t>复方丹参滴丸预防、治疗心脑血管疾病；养血清脑颗粒治疗血管、神经性头晕、头痛</w:t>
            </w:r>
          </w:p>
        </w:tc>
      </w:tr>
      <w:tr>
        <w:tblPrEx>
          <w:tblW w:w="0" w:type="auto"/>
          <w:tblInd w:w="122" w:type="dxa"/>
          <w:tblLayout w:type="fixed"/>
          <w:tblLook w:val="0000"/>
        </w:tblPrEx>
        <w:trPr>
          <w:trHeight w:val="600"/>
        </w:trPr>
        <w:tc>
          <w:tcPr>
            <w:tcW w:w="1260" w:type="dxa"/>
            <w:vAlign w:val="center"/>
          </w:tcPr>
          <w:p w:rsidR="00D731DA">
            <w:pPr>
              <w:spacing w:line="360" w:lineRule="exact"/>
              <w:rPr>
                <w:rFonts w:ascii="宋体" w:hint="eastAsia"/>
                <w:b/>
                <w:sz w:val="21"/>
              </w:rPr>
            </w:pPr>
            <w:r>
              <w:rPr>
                <w:rFonts w:ascii="宋体" w:hint="eastAsia"/>
                <w:b/>
                <w:sz w:val="21"/>
              </w:rPr>
              <w:t>天士力新资源药业</w:t>
            </w:r>
          </w:p>
        </w:tc>
        <w:tc>
          <w:tcPr>
            <w:tcW w:w="1176" w:type="dxa"/>
            <w:vAlign w:val="center"/>
          </w:tcPr>
          <w:p w:rsidR="00D731DA">
            <w:pPr>
              <w:spacing w:line="360" w:lineRule="exact"/>
              <w:rPr>
                <w:rFonts w:ascii="宋体" w:hint="eastAsia"/>
                <w:sz w:val="21"/>
              </w:rPr>
            </w:pPr>
            <w:r>
              <w:rPr>
                <w:rFonts w:ascii="宋体" w:hint="eastAsia"/>
                <w:sz w:val="21"/>
              </w:rPr>
              <w:t>控股子公司</w:t>
            </w:r>
          </w:p>
        </w:tc>
        <w:tc>
          <w:tcPr>
            <w:tcW w:w="1568" w:type="dxa"/>
          </w:tcPr>
          <w:p w:rsidR="00D731DA">
            <w:pPr>
              <w:spacing w:line="360" w:lineRule="exact"/>
              <w:rPr>
                <w:rFonts w:ascii="宋体" w:hint="eastAsia"/>
                <w:sz w:val="21"/>
              </w:rPr>
            </w:pPr>
            <w:r>
              <w:rPr>
                <w:rFonts w:ascii="宋体" w:hint="eastAsia"/>
                <w:sz w:val="21"/>
              </w:rPr>
              <w:t>中西药品、保健品、加工销售</w:t>
            </w:r>
          </w:p>
        </w:tc>
        <w:tc>
          <w:tcPr>
            <w:tcW w:w="1526" w:type="dxa"/>
          </w:tcPr>
          <w:p w:rsidR="00D731DA">
            <w:pPr>
              <w:spacing w:line="360" w:lineRule="exact"/>
              <w:rPr>
                <w:rFonts w:ascii="宋体" w:hint="eastAsia"/>
                <w:sz w:val="21"/>
              </w:rPr>
            </w:pPr>
            <w:r>
              <w:rPr>
                <w:rFonts w:ascii="宋体" w:hint="eastAsia"/>
                <w:sz w:val="21"/>
              </w:rPr>
              <w:t>天士茶〔保健品〕、普爱宁、柴胡滴丸</w:t>
            </w:r>
          </w:p>
        </w:tc>
        <w:tc>
          <w:tcPr>
            <w:tcW w:w="2967" w:type="dxa"/>
          </w:tcPr>
          <w:p w:rsidR="00D731DA">
            <w:pPr>
              <w:spacing w:line="360" w:lineRule="exact"/>
              <w:rPr>
                <w:rFonts w:ascii="宋体" w:hint="eastAsia"/>
                <w:sz w:val="21"/>
              </w:rPr>
            </w:pPr>
            <w:r>
              <w:rPr>
                <w:rFonts w:ascii="宋体" w:hint="eastAsia"/>
                <w:sz w:val="21"/>
              </w:rPr>
              <w:t>天士茶预防治疗心血管疾病；普爱宁治疗瘙痒等皮肤病；柴胡滴丸治疗感冒及并发病症</w:t>
            </w:r>
          </w:p>
        </w:tc>
      </w:tr>
      <w:tr>
        <w:tblPrEx>
          <w:tblW w:w="0" w:type="auto"/>
          <w:tblInd w:w="122" w:type="dxa"/>
          <w:tblLayout w:type="fixed"/>
          <w:tblLook w:val="0000"/>
        </w:tblPrEx>
        <w:trPr>
          <w:cantSplit/>
          <w:trHeight w:val="842"/>
        </w:trPr>
        <w:tc>
          <w:tcPr>
            <w:tcW w:w="1260" w:type="dxa"/>
            <w:vAlign w:val="center"/>
          </w:tcPr>
          <w:p w:rsidR="00D731DA">
            <w:pPr>
              <w:spacing w:line="360" w:lineRule="exact"/>
              <w:rPr>
                <w:rFonts w:ascii="宋体" w:hint="eastAsia"/>
                <w:b/>
                <w:sz w:val="21"/>
              </w:rPr>
            </w:pPr>
            <w:r>
              <w:rPr>
                <w:rFonts w:ascii="宋体" w:hint="eastAsia"/>
                <w:b/>
                <w:sz w:val="21"/>
              </w:rPr>
              <w:t>天士力商洛药源基地</w:t>
            </w:r>
          </w:p>
        </w:tc>
        <w:tc>
          <w:tcPr>
            <w:tcW w:w="1176" w:type="dxa"/>
            <w:vAlign w:val="center"/>
          </w:tcPr>
          <w:p w:rsidR="00D731DA">
            <w:pPr>
              <w:spacing w:line="360" w:lineRule="exact"/>
              <w:rPr>
                <w:rFonts w:ascii="宋体" w:hint="eastAsia"/>
                <w:sz w:val="21"/>
              </w:rPr>
            </w:pPr>
            <w:r>
              <w:rPr>
                <w:rFonts w:ascii="宋体" w:hint="eastAsia"/>
                <w:sz w:val="21"/>
              </w:rPr>
              <w:t>参股公司</w:t>
            </w:r>
          </w:p>
        </w:tc>
        <w:tc>
          <w:tcPr>
            <w:tcW w:w="1568" w:type="dxa"/>
          </w:tcPr>
          <w:p w:rsidR="00D731DA">
            <w:pPr>
              <w:spacing w:line="360" w:lineRule="exact"/>
              <w:rPr>
                <w:rFonts w:ascii="宋体" w:hint="eastAsia"/>
                <w:sz w:val="21"/>
              </w:rPr>
            </w:pPr>
            <w:r>
              <w:rPr>
                <w:rFonts w:ascii="宋体" w:hint="eastAsia"/>
                <w:sz w:val="21"/>
              </w:rPr>
              <w:t>种植加工丹参、柴胡等中药材</w:t>
            </w:r>
          </w:p>
        </w:tc>
        <w:tc>
          <w:tcPr>
            <w:tcW w:w="4493" w:type="dxa"/>
            <w:gridSpan w:val="2"/>
            <w:vAlign w:val="center"/>
          </w:tcPr>
          <w:p w:rsidR="00D731DA">
            <w:pPr>
              <w:spacing w:line="360" w:lineRule="exact"/>
              <w:rPr>
                <w:rFonts w:ascii="宋体" w:hint="eastAsia"/>
                <w:sz w:val="21"/>
              </w:rPr>
            </w:pPr>
            <w:r>
              <w:rPr>
                <w:rFonts w:ascii="宋体" w:hint="eastAsia"/>
                <w:sz w:val="21"/>
              </w:rPr>
              <w:t>丹参原药材</w:t>
            </w:r>
            <w:r>
              <w:rPr>
                <w:rFonts w:ascii="宋体" w:hint="eastAsia"/>
                <w:sz w:val="21"/>
              </w:rPr>
              <w:t>——</w:t>
            </w:r>
            <w:r>
              <w:rPr>
                <w:rFonts w:ascii="宋体" w:hint="eastAsia"/>
                <w:sz w:val="21"/>
              </w:rPr>
              <w:t>复方丹参滴丸的主要原料</w:t>
            </w:r>
          </w:p>
        </w:tc>
      </w:tr>
      <w:tr>
        <w:tblPrEx>
          <w:tblW w:w="0" w:type="auto"/>
          <w:tblInd w:w="122" w:type="dxa"/>
          <w:tblLayout w:type="fixed"/>
          <w:tblLook w:val="0000"/>
        </w:tblPrEx>
        <w:trPr>
          <w:cantSplit/>
          <w:trHeight w:val="600"/>
        </w:trPr>
        <w:tc>
          <w:tcPr>
            <w:tcW w:w="1260" w:type="dxa"/>
            <w:vAlign w:val="center"/>
          </w:tcPr>
          <w:p w:rsidR="00D731DA">
            <w:pPr>
              <w:spacing w:line="360" w:lineRule="exact"/>
              <w:rPr>
                <w:rFonts w:ascii="宋体" w:hint="eastAsia"/>
                <w:b/>
                <w:sz w:val="21"/>
              </w:rPr>
            </w:pPr>
            <w:r>
              <w:rPr>
                <w:rFonts w:ascii="宋体" w:hint="eastAsia"/>
                <w:b/>
                <w:sz w:val="21"/>
              </w:rPr>
              <w:t>天士力国贸分公司</w:t>
            </w:r>
          </w:p>
        </w:tc>
        <w:tc>
          <w:tcPr>
            <w:tcW w:w="1176" w:type="dxa"/>
            <w:vAlign w:val="center"/>
          </w:tcPr>
          <w:p w:rsidR="00D731DA">
            <w:pPr>
              <w:spacing w:line="360" w:lineRule="exact"/>
              <w:rPr>
                <w:rFonts w:ascii="宋体" w:hint="eastAsia"/>
                <w:sz w:val="21"/>
              </w:rPr>
            </w:pPr>
            <w:r>
              <w:rPr>
                <w:rFonts w:ascii="宋体" w:hint="eastAsia"/>
                <w:sz w:val="21"/>
              </w:rPr>
              <w:t>分公司</w:t>
            </w:r>
          </w:p>
        </w:tc>
        <w:tc>
          <w:tcPr>
            <w:tcW w:w="1568" w:type="dxa"/>
          </w:tcPr>
          <w:p w:rsidR="00D731DA">
            <w:pPr>
              <w:spacing w:line="360" w:lineRule="exact"/>
              <w:rPr>
                <w:rFonts w:ascii="宋体" w:hint="eastAsia"/>
                <w:sz w:val="21"/>
              </w:rPr>
            </w:pPr>
            <w:r>
              <w:rPr>
                <w:rFonts w:ascii="宋体" w:hint="eastAsia"/>
                <w:sz w:val="21"/>
              </w:rPr>
              <w:t>自营、代理产品进出口业务</w:t>
            </w:r>
          </w:p>
        </w:tc>
        <w:tc>
          <w:tcPr>
            <w:tcW w:w="4493" w:type="dxa"/>
            <w:gridSpan w:val="2"/>
            <w:vAlign w:val="center"/>
          </w:tcPr>
          <w:p w:rsidR="00D731DA">
            <w:pPr>
              <w:spacing w:line="360" w:lineRule="exact"/>
              <w:rPr>
                <w:rFonts w:ascii="宋体" w:hint="eastAsia"/>
                <w:sz w:val="21"/>
              </w:rPr>
            </w:pPr>
            <w:r>
              <w:rPr>
                <w:rFonts w:ascii="宋体" w:hint="eastAsia"/>
                <w:sz w:val="21"/>
              </w:rPr>
              <w:t>代理天士力制药股份公司进出口业务</w:t>
            </w:r>
          </w:p>
        </w:tc>
      </w:tr>
      <w:tr>
        <w:tblPrEx>
          <w:tblW w:w="0" w:type="auto"/>
          <w:tblInd w:w="122" w:type="dxa"/>
          <w:tblLayout w:type="fixed"/>
          <w:tblLook w:val="0000"/>
        </w:tblPrEx>
        <w:trPr>
          <w:cantSplit/>
          <w:trHeight w:val="541"/>
        </w:trPr>
        <w:tc>
          <w:tcPr>
            <w:tcW w:w="1260" w:type="dxa"/>
            <w:vAlign w:val="center"/>
          </w:tcPr>
          <w:p w:rsidR="00D731DA">
            <w:pPr>
              <w:spacing w:line="360" w:lineRule="exact"/>
              <w:rPr>
                <w:rFonts w:ascii="宋体" w:hint="eastAsia"/>
                <w:b/>
                <w:sz w:val="21"/>
              </w:rPr>
            </w:pPr>
            <w:r>
              <w:rPr>
                <w:rFonts w:ascii="宋体" w:hint="eastAsia"/>
                <w:b/>
                <w:sz w:val="21"/>
              </w:rPr>
              <w:t>天士力广告公司</w:t>
            </w:r>
          </w:p>
        </w:tc>
        <w:tc>
          <w:tcPr>
            <w:tcW w:w="1176" w:type="dxa"/>
            <w:vAlign w:val="center"/>
          </w:tcPr>
          <w:p w:rsidR="00D731DA">
            <w:pPr>
              <w:spacing w:line="360" w:lineRule="exact"/>
              <w:rPr>
                <w:rFonts w:ascii="宋体" w:hint="eastAsia"/>
                <w:sz w:val="21"/>
              </w:rPr>
            </w:pPr>
            <w:r>
              <w:rPr>
                <w:rFonts w:ascii="宋体" w:hint="eastAsia"/>
                <w:sz w:val="21"/>
              </w:rPr>
              <w:t>控股子公司</w:t>
            </w:r>
          </w:p>
        </w:tc>
        <w:tc>
          <w:tcPr>
            <w:tcW w:w="1568" w:type="dxa"/>
          </w:tcPr>
          <w:p w:rsidR="00D731DA">
            <w:pPr>
              <w:spacing w:line="360" w:lineRule="exact"/>
              <w:rPr>
                <w:rFonts w:ascii="宋体" w:hint="eastAsia"/>
                <w:sz w:val="21"/>
              </w:rPr>
            </w:pPr>
            <w:r>
              <w:rPr>
                <w:rFonts w:ascii="宋体" w:hint="eastAsia"/>
                <w:sz w:val="21"/>
              </w:rPr>
              <w:t>设计、代理广告，信息咨询</w:t>
            </w:r>
          </w:p>
        </w:tc>
        <w:tc>
          <w:tcPr>
            <w:tcW w:w="4493" w:type="dxa"/>
            <w:gridSpan w:val="2"/>
            <w:vAlign w:val="center"/>
          </w:tcPr>
          <w:p w:rsidR="00D731DA">
            <w:pPr>
              <w:spacing w:line="360" w:lineRule="exact"/>
              <w:rPr>
                <w:rFonts w:ascii="宋体" w:hint="eastAsia"/>
                <w:sz w:val="21"/>
              </w:rPr>
            </w:pPr>
            <w:r>
              <w:rPr>
                <w:rFonts w:ascii="宋体" w:hint="eastAsia"/>
                <w:sz w:val="21"/>
              </w:rPr>
              <w:t>代理天士力制药股份广告</w:t>
            </w:r>
          </w:p>
        </w:tc>
      </w:tr>
    </w:tbl>
    <w:p w:rsidR="00D731DA">
      <w:pPr>
        <w:pStyle w:val="Heading2"/>
        <w:spacing w:before="240" w:after="240" w:line="440" w:lineRule="exact"/>
        <w:rPr>
          <w:rFonts w:ascii="Times New Roman" w:hAnsi="Times New Roman" w:hint="eastAsia"/>
        </w:rPr>
      </w:pPr>
      <w:r>
        <w:rPr>
          <w:rFonts w:hint="eastAsia"/>
        </w:rPr>
        <w:t>第二章  企业开展内部条件分析〔</w:t>
      </w:r>
      <w:r>
        <w:rPr>
          <w:rFonts w:ascii="Times New Roman" w:hAnsi="Times New Roman"/>
        </w:rPr>
        <w:t>Resources &amp; Capability</w:t>
      </w:r>
      <w:r>
        <w:rPr>
          <w:rFonts w:ascii="Times New Roman" w:hAnsi="Times New Roman" w:hint="eastAsia"/>
        </w:rPr>
        <w:t>〕</w:t>
      </w:r>
    </w:p>
    <w:p w:rsidR="00D731DA">
      <w:pPr>
        <w:pStyle w:val="Heading2"/>
        <w:spacing w:before="240" w:after="120" w:line="460" w:lineRule="exact"/>
        <w:rPr>
          <w:rFonts w:hint="eastAsia"/>
          <w:sz w:val="28"/>
        </w:rPr>
      </w:pPr>
      <w:r>
        <w:rPr>
          <w:rFonts w:hint="eastAsia"/>
          <w:sz w:val="28"/>
        </w:rPr>
        <w:t>一、运行机制</w:t>
      </w:r>
    </w:p>
    <w:p w:rsidR="00D731DA">
      <w:pPr>
        <w:spacing w:line="460" w:lineRule="exact"/>
        <w:ind w:firstLine="425"/>
        <w:rPr>
          <w:rFonts w:ascii="宋体"/>
        </w:rPr>
      </w:pPr>
      <w:r>
        <w:rPr>
          <w:rFonts w:ascii="宋体" w:hint="eastAsia"/>
        </w:rPr>
        <w:t>天士力集团公司注重以产权制度为核心的管理制度和体制变革。经过6年渐进式的实践，建立起了一整套适合企业快速开展的现代企业制度和管理模式。公司股东大会、董事会、监事会、经理层按《公司法》的要求运作标准，责权清楚并在产权改革中，</w:t>
      </w:r>
    </w:p>
    <w:p w:rsidR="00D731DA">
      <w:pPr>
        <w:spacing w:line="460" w:lineRule="exact"/>
        <w:ind w:firstLine="425"/>
        <w:rPr>
          <w:rFonts w:ascii="宋体" w:hint="eastAsia"/>
        </w:rPr>
      </w:pPr>
      <w:r>
        <w:rPr>
          <w:rFonts w:ascii="宋体" w:hint="eastAsia"/>
        </w:rPr>
        <w:t>确立了开放式的员工参与体系，把企业开展和员工个人利益在产权制度上紧密结合，为企业的持续开展创造条件。</w:t>
      </w:r>
    </w:p>
    <w:p w:rsidR="00D731DA">
      <w:pPr>
        <w:spacing w:line="460" w:lineRule="exact"/>
        <w:ind w:firstLine="425"/>
        <w:rPr>
          <w:rFonts w:ascii="宋体"/>
        </w:rPr>
      </w:pPr>
      <w:r>
        <w:rPr>
          <w:rFonts w:ascii="宋体" w:hint="eastAsia"/>
        </w:rPr>
        <w:t>企业完善了包括财务管理体系、市场管理体系、科研管理体系、人力资源管理体系、</w:t>
      </w:r>
      <w:r>
        <w:rPr>
          <w:rFonts w:hint="eastAsia"/>
        </w:rPr>
        <w:t>GMP</w:t>
      </w:r>
      <w:r>
        <w:rPr>
          <w:rFonts w:ascii="宋体" w:hint="eastAsia"/>
        </w:rPr>
        <w:t>体系等根底工作，确立了科学的工作流程，明确了各部门职权范围，制定了具体详细的岗位责任制。</w:t>
      </w:r>
    </w:p>
    <w:p w:rsidR="00D731DA">
      <w:pPr>
        <w:spacing w:line="460" w:lineRule="exact"/>
        <w:ind w:firstLine="425"/>
        <w:rPr>
          <w:rFonts w:ascii="宋体" w:hint="eastAsia"/>
        </w:rPr>
      </w:pPr>
      <w:r>
        <w:rPr>
          <w:rFonts w:ascii="宋体" w:hint="eastAsia"/>
        </w:rPr>
        <w:t>公司注重鼓励与奖励机制的建设，建立了分配上的高度调控权和按劳取酬的鼓励机制。按照个人业绩，特别是对企业开展至关重要的创新性劳动成果进行工资、奖金分配，拉开分配档次，并重奖有突出奉献的科技人员。这一分配机制使人才在经济上和心理上都得到了应有的回报，激发了全体员工对创造性劳动的不懈追求。</w:t>
      </w:r>
    </w:p>
    <w:p w:rsidR="00D731DA">
      <w:pPr>
        <w:pStyle w:val="Heading2"/>
        <w:spacing w:before="240" w:after="240" w:line="460" w:lineRule="exact"/>
        <w:rPr>
          <w:rFonts w:ascii="宋体"/>
          <w:sz w:val="28"/>
        </w:rPr>
      </w:pPr>
      <w:r>
        <w:rPr>
          <w:rFonts w:hint="eastAsia"/>
          <w:sz w:val="28"/>
        </w:rPr>
        <w:t>二、领导和管理层</w:t>
      </w:r>
    </w:p>
    <w:p w:rsidR="00D731DA">
      <w:pPr>
        <w:spacing w:line="460" w:lineRule="exact"/>
        <w:ind w:firstLine="360"/>
        <w:rPr>
          <w:rFonts w:ascii="宋体"/>
        </w:rPr>
        <w:sectPr>
          <w:type w:val="nextPage"/>
          <w:pgSz w:w="11906" w:h="16838"/>
          <w:pgMar w:top="1162" w:right="1270" w:bottom="1162" w:left="1230" w:header="851" w:footer="992" w:gutter="0"/>
          <w:pgNumType w:start="104"/>
          <w:cols w:space="425"/>
          <w:titlePg w:val="0"/>
          <w:docGrid w:type="lines" w:linePitch="326" w:charSpace="-4916"/>
        </w:sectPr>
      </w:pPr>
    </w:p>
    <w:p w:rsidR="00D731DA">
      <w:pPr>
        <w:spacing w:line="460" w:lineRule="exact"/>
        <w:ind w:firstLine="360"/>
        <w:rPr>
          <w:rFonts w:ascii="宋体"/>
        </w:rPr>
      </w:pPr>
      <w:r>
        <w:rPr>
          <w:rFonts w:ascii="宋体" w:hint="eastAsia"/>
        </w:rPr>
        <w:t>总裁闫希军先生是天士力集团的创始人，长期从事药品的研发、生产、营销、管理工作，经过军队的培养和锤炼，具有军人的素质和现代企业家的思维，在企业中具有很高的威望，是天士力集团的领导核心。集团公司的领导和高管层平均年龄36岁</w:t>
      </w:r>
      <w:r>
        <w:rPr>
          <w:rFonts w:ascii="宋体"/>
        </w:rPr>
        <w:t xml:space="preserve">, </w:t>
      </w:r>
      <w:r>
        <w:rPr>
          <w:rFonts w:ascii="宋体" w:hint="eastAsia"/>
        </w:rPr>
        <w:t>全部具有高级技术职称〔或硕士以上学位〕，年富力强，充满活力。公司成立了专家议事委员会，聘请国内外著名医药专家、经济管理专家担任企业的经济管理参谋和技术开展参谋。形成了技术专家、管理专家、经营专家和财务专家相结合的专家型管理团队，高管人员分别来自药物研发、制剂、金融、财会等专业，有丰富的管理企业，制定、实施战略方案的经验，由于人员来自不同文化、不同领域，使天士力集团的领导层拥有一个多文化，多知识学科，年轻化的，充满进取、创新意识的合作团队，形成了技术专家、管理专家、财务专家相结合的专家型人才管理团队，是天士力集团近几年快速开展，带着企业不断现代化、国际化的核心力量。</w:t>
      </w:r>
    </w:p>
    <w:p w:rsidR="00D731DA">
      <w:pPr>
        <w:pStyle w:val="Heading2"/>
        <w:spacing w:before="240" w:after="240" w:line="440" w:lineRule="exact"/>
        <w:rPr>
          <w:rFonts w:hint="eastAsia"/>
          <w:sz w:val="28"/>
        </w:rPr>
      </w:pPr>
      <w:r>
        <w:rPr>
          <w:rFonts w:hint="eastAsia"/>
          <w:sz w:val="28"/>
        </w:rPr>
        <w:t>三、人力资源</w:t>
      </w:r>
    </w:p>
    <w:p w:rsidR="00D731DA">
      <w:pPr>
        <w:spacing w:line="460" w:lineRule="exact"/>
        <w:ind w:firstLine="425"/>
        <w:rPr>
          <w:rFonts w:ascii="宋体"/>
        </w:rPr>
      </w:pPr>
      <w:r>
        <w:rPr>
          <w:rFonts w:ascii="宋体" w:hint="eastAsia"/>
        </w:rPr>
        <w:t>公司内部聚集了一大批有潜力、有志向、专业化的科研</w:t>
      </w:r>
      <w:r>
        <w:rPr>
          <w:rFonts w:ascii="宋体"/>
        </w:rPr>
        <w:t>,</w:t>
      </w:r>
      <w:r>
        <w:rPr>
          <w:rFonts w:ascii="宋体" w:hint="eastAsia"/>
        </w:rPr>
        <w:t>管理队伍。集团现有员工1773人，其中博士10人，硕士40人。本科学历520人，大专生450人，集团公司决策层平均年龄41岁，中层管理层平均年龄36人，员工平均年龄28岁。经过7年的人才队伍建设，已逐步形成宝塔型的人才结构。每年公司都从全国各重点高校中招聘大学生和研究生</w:t>
      </w:r>
      <w:r>
        <w:rPr>
          <w:rFonts w:ascii="宋体"/>
        </w:rPr>
        <w:t>50</w:t>
      </w:r>
      <w:r>
        <w:rPr>
          <w:rFonts w:ascii="宋体" w:hint="eastAsia"/>
        </w:rPr>
        <w:t>-60人，经过军训和培训及时补充到各个岗位，既满足了各部门的用人需要，又为今后的开展储藏了力量。现大学本科以上学历占到全员的60%以上，专业人才占全体员工的80%以上。</w:t>
      </w:r>
    </w:p>
    <w:p w:rsidR="00D731DA">
      <w:pPr>
        <w:pStyle w:val="Heading2"/>
        <w:spacing w:before="240" w:after="240" w:line="460" w:lineRule="exact"/>
        <w:rPr>
          <w:rFonts w:hint="eastAsia"/>
          <w:sz w:val="28"/>
        </w:rPr>
      </w:pPr>
      <w:r>
        <w:rPr>
          <w:rFonts w:hint="eastAsia"/>
          <w:sz w:val="28"/>
        </w:rPr>
        <w:t>四、企业文化</w:t>
      </w:r>
    </w:p>
    <w:p w:rsidR="00D731DA">
      <w:pPr>
        <w:pStyle w:val="BodyTextIndent2"/>
        <w:spacing w:line="460" w:lineRule="exact"/>
        <w:ind w:firstLine="425"/>
        <w:rPr>
          <w:rFonts w:ascii="宋体" w:hint="eastAsia"/>
          <w:sz w:val="24"/>
        </w:rPr>
        <w:sectPr>
          <w:type w:val="nextPage"/>
          <w:pgSz w:w="11906" w:h="16838"/>
          <w:pgMar w:top="1162" w:right="1270" w:bottom="1162" w:left="1230" w:header="851" w:footer="992" w:gutter="0"/>
          <w:pgNumType w:start="105"/>
          <w:cols w:space="425"/>
          <w:titlePg w:val="0"/>
          <w:docGrid w:type="lines" w:linePitch="326" w:charSpace="-4916"/>
        </w:sectPr>
      </w:pPr>
      <w:r w:rsidRPr="00723F64">
        <w:rPr>
          <w:rFonts w:ascii="宋体" w:hint="eastAsia"/>
          <w:color w:val="0000FF"/>
          <w:sz w:val="24"/>
        </w:rPr>
        <w:t xml:space="preserve">公司参军队中脱胎出来，秉承了军队优秀的 </w:t>
      </w:r>
      <w:r w:rsidRPr="00723F64">
        <w:rPr>
          <w:rFonts w:ascii="宋体" w:hint="eastAsia"/>
          <w:color w:val="0000FF"/>
          <w:sz w:val="24"/>
        </w:rPr>
        <w:t>“</w:t>
      </w:r>
      <w:r w:rsidRPr="00723F64">
        <w:rPr>
          <w:rFonts w:ascii="宋体" w:hint="eastAsia"/>
          <w:color w:val="0000FF"/>
          <w:sz w:val="24"/>
        </w:rPr>
        <w:t>决策快捷，行动快速〞的工作作风。通过不断的引进各类不同文化背景的人才，带来了新的观念和行为模式，使天士力集团公司形成了以</w:t>
      </w:r>
      <w:r w:rsidRPr="00723F64">
        <w:rPr>
          <w:rFonts w:ascii="宋体" w:hint="eastAsia"/>
          <w:color w:val="0000FF"/>
          <w:sz w:val="24"/>
        </w:rPr>
        <w:t>“</w:t>
      </w:r>
      <w:r w:rsidRPr="00723F64">
        <w:rPr>
          <w:rFonts w:ascii="宋体" w:hint="eastAsia"/>
          <w:color w:val="0000FF"/>
          <w:sz w:val="24"/>
        </w:rPr>
        <w:t>通〞和</w:t>
      </w:r>
      <w:r w:rsidRPr="00723F64">
        <w:rPr>
          <w:rFonts w:ascii="宋体" w:hint="eastAsia"/>
          <w:color w:val="0000FF"/>
          <w:sz w:val="24"/>
        </w:rPr>
        <w:t>“</w:t>
      </w:r>
      <w:r w:rsidRPr="00723F64">
        <w:rPr>
          <w:rFonts w:ascii="宋体" w:hint="eastAsia"/>
          <w:color w:val="0000FF"/>
          <w:sz w:val="24"/>
        </w:rPr>
        <w:t>合〞为内涵的、包容多元的价值观，强调</w:t>
      </w:r>
      <w:r w:rsidRPr="00723F64">
        <w:rPr>
          <w:rFonts w:ascii="宋体" w:hint="eastAsia"/>
          <w:color w:val="0000FF"/>
          <w:sz w:val="24"/>
        </w:rPr>
        <w:t>“</w:t>
      </w:r>
      <w:r w:rsidRPr="00723F64">
        <w:rPr>
          <w:rFonts w:ascii="宋体" w:hint="eastAsia"/>
          <w:color w:val="0000FF"/>
          <w:sz w:val="24"/>
        </w:rPr>
        <w:t>以人为本，天人合一，变</w:t>
      </w:r>
      <w:r w:rsidRPr="00723F64">
        <w:rPr>
          <w:rFonts w:hint="eastAsia"/>
          <w:color w:val="0000FF"/>
          <w:sz w:val="24"/>
        </w:rPr>
        <w:t>〔</w:t>
      </w:r>
      <w:r w:rsidRPr="00723F64">
        <w:rPr>
          <w:color w:val="0000FF"/>
          <w:sz w:val="24"/>
        </w:rPr>
        <w:t>Change/Innovation</w:t>
      </w:r>
      <w:r w:rsidRPr="00723F64">
        <w:rPr>
          <w:rFonts w:hint="eastAsia"/>
          <w:color w:val="0000FF"/>
          <w:sz w:val="24"/>
        </w:rPr>
        <w:t>〕</w:t>
      </w:r>
      <w:r w:rsidRPr="00723F64">
        <w:rPr>
          <w:rFonts w:ascii="宋体" w:hint="eastAsia"/>
          <w:color w:val="0000FF"/>
          <w:sz w:val="24"/>
        </w:rPr>
        <w:t>那么通，通那么合</w:t>
      </w:r>
      <w:r w:rsidRPr="00723F64">
        <w:rPr>
          <w:color w:val="0000FF"/>
          <w:sz w:val="24"/>
        </w:rPr>
        <w:t>(Communication/Integration)</w:t>
      </w:r>
      <w:r w:rsidRPr="00723F64">
        <w:rPr>
          <w:rFonts w:ascii="宋体" w:hint="eastAsia"/>
          <w:color w:val="0000FF"/>
          <w:sz w:val="24"/>
        </w:rPr>
        <w:t>〞，表达了尊重人才、灵活机动的经营观。</w:t>
      </w:r>
      <w:r>
        <w:rPr>
          <w:rFonts w:ascii="宋体" w:hint="eastAsia"/>
          <w:sz w:val="24"/>
        </w:rPr>
        <w:t>公司认为：没有成熟的行业，只有守旧的管理人员，要在工作中做出优异成绩的最正确途径是参与创新。同时，企业以祖国传统中医药文化为大背景，不断地探索和营建具有创新精神的企业文化的个性和特质，把企业的价值观渗透到每一位员工的日常工作中去，使全公司员工具有一种复兴中医药的历史责任感和使命感，形成了内涵独具的企业文化。</w:t>
      </w:r>
    </w:p>
    <w:p w:rsidR="00D731DA">
      <w:pPr>
        <w:pStyle w:val="Heading2"/>
        <w:spacing w:before="240" w:after="240" w:line="440" w:lineRule="exact"/>
        <w:rPr>
          <w:rFonts w:hint="eastAsia"/>
          <w:sz w:val="28"/>
        </w:rPr>
      </w:pPr>
      <w:r>
        <w:rPr>
          <w:rFonts w:hint="eastAsia"/>
          <w:sz w:val="28"/>
        </w:rPr>
        <w:t>五、管理与技术</w:t>
      </w:r>
    </w:p>
    <w:p w:rsidR="00D731DA">
      <w:pPr>
        <w:pStyle w:val="BodyTextIndent2"/>
        <w:spacing w:line="460" w:lineRule="exact"/>
        <w:ind w:firstLine="425"/>
        <w:rPr>
          <w:rFonts w:ascii="宋体" w:hint="eastAsia"/>
          <w:sz w:val="24"/>
        </w:rPr>
      </w:pPr>
      <w:r>
        <w:rPr>
          <w:rFonts w:ascii="宋体" w:hint="eastAsia"/>
          <w:sz w:val="24"/>
        </w:rPr>
        <w:t>公司与各主要供给商和客户建立了良好的、长期的战略伙伴关系，公司拥有独立的原材料采购渠道，可以保证公司原料供给稳定、充足，产品销售持续增长。内部管理通过</w:t>
      </w:r>
      <w:r>
        <w:rPr>
          <w:sz w:val="24"/>
        </w:rPr>
        <w:t>GMP</w:t>
      </w:r>
      <w:r>
        <w:rPr>
          <w:rFonts w:hint="eastAsia"/>
          <w:sz w:val="24"/>
        </w:rPr>
        <w:t>、</w:t>
      </w:r>
      <w:r>
        <w:rPr>
          <w:sz w:val="24"/>
        </w:rPr>
        <w:t>ISO9002</w:t>
      </w:r>
      <w:r>
        <w:rPr>
          <w:rFonts w:ascii="宋体" w:hint="eastAsia"/>
          <w:sz w:val="24"/>
        </w:rPr>
        <w:t>工程的实施，优化工艺流程、本钱控制和库存，在不断降低本钱的同时，已形成了稳定的、全过程的质量保证体系。公司目前具有多年的生产制剂技术，积累了丰富的经验，不断采用了当今最新的提取、别离和制剂技术，同时投入向</w:t>
      </w:r>
      <w:r>
        <w:rPr>
          <w:sz w:val="24"/>
        </w:rPr>
        <w:t>R&amp;D</w:t>
      </w:r>
      <w:r>
        <w:rPr>
          <w:rFonts w:ascii="宋体" w:hint="eastAsia"/>
          <w:sz w:val="24"/>
        </w:rPr>
        <w:t>倾斜，直接增强了公司对新产品的研发能力。</w:t>
      </w:r>
    </w:p>
    <w:p w:rsidR="00D731DA">
      <w:pPr>
        <w:pStyle w:val="BodyTextIndent2"/>
        <w:spacing w:line="460" w:lineRule="exact"/>
        <w:ind w:firstLine="425"/>
        <w:rPr>
          <w:rFonts w:ascii="宋体" w:hint="eastAsia"/>
          <w:sz w:val="24"/>
        </w:rPr>
      </w:pPr>
      <w:r>
        <w:rPr>
          <w:sz w:val="24"/>
        </w:rPr>
        <w:t>ERP</w:t>
      </w:r>
      <w:r>
        <w:rPr>
          <w:rFonts w:ascii="宋体" w:hint="eastAsia"/>
          <w:sz w:val="24"/>
        </w:rPr>
        <w:t>工程以及</w:t>
      </w:r>
      <w:r>
        <w:rPr>
          <w:sz w:val="24"/>
        </w:rPr>
        <w:t>CIMS</w:t>
      </w:r>
      <w:r>
        <w:rPr>
          <w:rFonts w:ascii="宋体" w:hint="eastAsia"/>
          <w:sz w:val="24"/>
        </w:rPr>
        <w:t>工程的实施和文件化、流程化的管理体系，使公司目前形成了通过计算机和网络进行数据的传递、收集、分析、决策的管理信息系统。公司目前的内部网络和电子商务平台能够使客户、供给商、投资者及内部的员工之间保持直接的沟通，拉近了企业和社会的距离，获得了有利的信息支持，使企业在融入经济的国际化、全球化过程中掌握主动权。</w:t>
      </w:r>
    </w:p>
    <w:p w:rsidR="00D731DA">
      <w:pPr>
        <w:pStyle w:val="Heading2"/>
        <w:spacing w:before="240" w:after="120"/>
        <w:jc w:val="center"/>
        <w:rPr>
          <w:rFonts w:hint="eastAsia"/>
        </w:rPr>
      </w:pPr>
      <w:r>
        <w:rPr>
          <w:rFonts w:hint="eastAsia"/>
        </w:rPr>
        <w:t>第三章 环境分析和竞争分析</w:t>
      </w:r>
      <w:r>
        <w:rPr>
          <w:rFonts w:ascii="Times New Roman" w:hAnsi="Times New Roman" w:hint="eastAsia"/>
          <w:sz w:val="30"/>
        </w:rPr>
        <w:t>〔</w:t>
      </w:r>
      <w:r>
        <w:rPr>
          <w:rFonts w:ascii="Times New Roman" w:hAnsi="Times New Roman"/>
          <w:sz w:val="30"/>
        </w:rPr>
        <w:t xml:space="preserve">Environment &amp; </w:t>
      </w:r>
      <w:r>
        <w:rPr>
          <w:rFonts w:ascii="Times New Roman" w:hAnsi="Times New Roman" w:hint="eastAsia"/>
          <w:sz w:val="30"/>
        </w:rPr>
        <w:t>C</w:t>
      </w:r>
      <w:r>
        <w:rPr>
          <w:rFonts w:ascii="Times New Roman" w:hAnsi="Times New Roman"/>
          <w:sz w:val="30"/>
        </w:rPr>
        <w:t>ompetition</w:t>
      </w:r>
      <w:r>
        <w:rPr>
          <w:rFonts w:ascii="Times New Roman" w:hAnsi="Times New Roman" w:hint="eastAsia"/>
          <w:sz w:val="30"/>
        </w:rPr>
        <w:t>〕</w:t>
      </w:r>
    </w:p>
    <w:p w:rsidR="00D731DA">
      <w:pPr>
        <w:pStyle w:val="Heading2"/>
        <w:spacing w:before="480" w:after="240" w:line="440" w:lineRule="exact"/>
        <w:rPr>
          <w:rFonts w:hint="eastAsia"/>
          <w:sz w:val="28"/>
        </w:rPr>
      </w:pPr>
      <w:r>
        <w:rPr>
          <w:rFonts w:hint="eastAsia"/>
          <w:sz w:val="28"/>
        </w:rPr>
        <w:t>一、环境分析</w:t>
      </w:r>
      <w:r>
        <w:rPr>
          <w:rFonts w:ascii="Times New Roman" w:hAnsi="Times New Roman" w:hint="eastAsia"/>
          <w:sz w:val="28"/>
        </w:rPr>
        <w:t>〔</w:t>
      </w:r>
      <w:r>
        <w:rPr>
          <w:rFonts w:ascii="Times New Roman" w:hAnsi="Times New Roman"/>
          <w:sz w:val="28"/>
        </w:rPr>
        <w:t>PEST Analysis</w:t>
      </w:r>
      <w:r>
        <w:rPr>
          <w:rFonts w:ascii="Times New Roman" w:hAnsi="Times New Roman" w:hint="eastAsia"/>
          <w:sz w:val="28"/>
        </w:rPr>
        <w:t>〕</w:t>
      </w:r>
    </w:p>
    <w:p w:rsidR="00D731DA">
      <w:pPr>
        <w:spacing w:before="120" w:after="120" w:line="440" w:lineRule="exact"/>
        <w:ind w:firstLine="425"/>
        <w:rPr>
          <w:rFonts w:ascii="楷体_GB2312" w:eastAsia="楷体_GB2312" w:hint="eastAsia"/>
          <w:b/>
          <w:sz w:val="28"/>
        </w:rPr>
      </w:pPr>
      <w:r>
        <w:rPr>
          <w:rFonts w:ascii="楷体_GB2312" w:eastAsia="楷体_GB2312" w:hint="eastAsia"/>
          <w:b/>
          <w:color w:val="FF0000"/>
          <w:sz w:val="28"/>
        </w:rPr>
        <w:t>〔一〕经济、人口和技术分析</w:t>
      </w:r>
    </w:p>
    <w:p w:rsidR="00D731DA">
      <w:pPr>
        <w:spacing w:line="440" w:lineRule="exact"/>
        <w:ind w:firstLine="425"/>
        <w:rPr>
          <w:rFonts w:ascii="宋体"/>
          <w:b/>
        </w:rPr>
      </w:pPr>
      <w:r>
        <w:rPr>
          <w:rFonts w:ascii="宋体" w:hint="eastAsia"/>
          <w:b/>
        </w:rPr>
        <w:t>1、经济因素</w:t>
      </w:r>
    </w:p>
    <w:p w:rsidR="00D731DA">
      <w:pPr>
        <w:spacing w:line="440" w:lineRule="exact"/>
        <w:ind w:firstLine="425"/>
        <w:rPr>
          <w:rFonts w:ascii="宋体"/>
        </w:rPr>
      </w:pPr>
      <w:r>
        <w:rPr>
          <w:rFonts w:ascii="宋体" w:hint="eastAsia"/>
        </w:rPr>
        <w:t>中国作为中医药全球最大的市场仍是中国中医药企业最坚实的成长根底。经济的持续稳定增长意味着人民生活水平的提高，因此对医疗健康方面的需求也将稳步增长。许多分析都认为，中国的医药市场价值将在2023年到达1200亿美元而超过美国成为全球的第一大市场。这意味着中医药产业面临的宏观经济环境是良好的。</w:t>
      </w:r>
    </w:p>
    <w:p w:rsidR="00D731DA">
      <w:pPr>
        <w:spacing w:line="440" w:lineRule="exact"/>
        <w:ind w:firstLine="420"/>
        <w:rPr>
          <w:rFonts w:ascii="宋体"/>
          <w:b/>
        </w:rPr>
      </w:pPr>
      <w:r>
        <w:rPr>
          <w:rFonts w:ascii="宋体"/>
          <w:b/>
        </w:rPr>
        <w:t>2</w:t>
      </w:r>
      <w:r>
        <w:rPr>
          <w:rFonts w:ascii="宋体" w:hint="eastAsia"/>
          <w:b/>
        </w:rPr>
        <w:t>、社会、文化、人口因素</w:t>
      </w:r>
    </w:p>
    <w:p w:rsidR="00D731DA">
      <w:pPr>
        <w:spacing w:line="440" w:lineRule="exact"/>
        <w:ind w:firstLine="420"/>
        <w:rPr>
          <w:rFonts w:ascii="宋体" w:hint="eastAsia"/>
        </w:rPr>
      </w:pPr>
      <w:r>
        <w:rPr>
          <w:rFonts w:ascii="宋体" w:hint="eastAsia"/>
        </w:rPr>
        <w:t>全球人口的日益老龄化，特别是一些兴旺国家已进入老年社会，这意味着医疗保健的开支也越来越高。与此同时，兴旺国家也不得不试图降低在医疗上的开支。中药因为其价格相对廉价，天然成分多，副作用少，正在逐渐被兴旺国家的消费者和政府所接受。同时，中医药强调通过调节增强身体机能，预防疾病的理念也开始备受推崇，一些基于中医药上的滋补保健品在兴旺国家大受欢送。无论在国内还是在国际市场上，中医药产业都有良好的市场扩张时机。</w:t>
      </w:r>
    </w:p>
    <w:p w:rsidR="00D731DA">
      <w:pPr>
        <w:spacing w:line="440" w:lineRule="exact"/>
        <w:ind w:firstLine="420"/>
        <w:rPr>
          <w:rFonts w:ascii="宋体"/>
          <w:b/>
        </w:rPr>
        <w:sectPr>
          <w:type w:val="nextPage"/>
          <w:pgSz w:w="11906" w:h="16838"/>
          <w:pgMar w:top="1162" w:right="1270" w:bottom="1162" w:left="1230" w:header="851" w:footer="992" w:gutter="0"/>
          <w:pgNumType w:start="106"/>
          <w:cols w:space="425"/>
          <w:titlePg w:val="0"/>
          <w:docGrid w:type="lines" w:linePitch="326" w:charSpace="-4916"/>
        </w:sectPr>
      </w:pPr>
      <w:r>
        <w:rPr>
          <w:rFonts w:ascii="宋体" w:hint="eastAsia"/>
          <w:b/>
        </w:rPr>
        <w:t>3、技术因素</w:t>
      </w:r>
    </w:p>
    <w:p w:rsidR="00D731DA">
      <w:pPr>
        <w:spacing w:line="440" w:lineRule="exact"/>
        <w:ind w:firstLine="420"/>
        <w:rPr>
          <w:rFonts w:ascii="宋体" w:hint="eastAsia"/>
        </w:rPr>
      </w:pPr>
      <w:r>
        <w:rPr>
          <w:rFonts w:ascii="宋体" w:hint="eastAsia"/>
        </w:rPr>
        <w:t>众多的医药企业还停留在工业化甚至前工业化时代，更多的是依靠廉价的劳动力、原材料和低水平的管理来运作，而不是以知识作为创造财富的核心能力。科学技术的突飞猛进给中国中医药产业〔包括整个医药业〕带来的更多的是挑战。高技术，特别是生物技术</w:t>
      </w:r>
      <w:r>
        <w:rPr>
          <w:rFonts w:ascii="宋体"/>
        </w:rPr>
        <w:t>,</w:t>
      </w:r>
      <w:r>
        <w:rPr>
          <w:rFonts w:ascii="宋体" w:hint="eastAsia"/>
        </w:rPr>
        <w:t>组合化学、高速药物筛选已经在制药业得到广泛应用。随着人类基因组的测序完成，以基因信息为根底的药物开发研究将变得更加可行。</w:t>
      </w:r>
    </w:p>
    <w:p w:rsidR="00D731DA">
      <w:pPr>
        <w:spacing w:before="120" w:after="120" w:line="440" w:lineRule="exact"/>
        <w:ind w:firstLine="420"/>
        <w:rPr>
          <w:rFonts w:ascii="楷体_GB2312" w:eastAsia="楷体_GB2312"/>
          <w:b/>
          <w:color w:val="000000"/>
          <w:sz w:val="28"/>
        </w:rPr>
      </w:pPr>
      <w:r>
        <w:rPr>
          <w:rFonts w:ascii="楷体_GB2312" w:eastAsia="楷体_GB2312" w:hint="eastAsia"/>
          <w:b/>
          <w:color w:val="000000"/>
          <w:sz w:val="28"/>
        </w:rPr>
        <w:t>〔二〕医药行业体制分析</w:t>
      </w:r>
    </w:p>
    <w:p w:rsidR="00D731DA">
      <w:pPr>
        <w:spacing w:line="440" w:lineRule="exact"/>
        <w:ind w:firstLine="420"/>
        <w:rPr>
          <w:rFonts w:ascii="宋体"/>
          <w:b/>
        </w:rPr>
      </w:pPr>
      <w:r>
        <w:rPr>
          <w:rFonts w:ascii="宋体" w:hint="eastAsia"/>
          <w:b/>
        </w:rPr>
        <w:t>1、国家药品监督管理局的组建标志着我国药品监督体制进入标准化、法制化轨道</w:t>
      </w:r>
    </w:p>
    <w:p w:rsidR="00D731DA">
      <w:pPr>
        <w:spacing w:line="440" w:lineRule="exact"/>
        <w:ind w:firstLine="420"/>
        <w:rPr>
          <w:rFonts w:ascii="宋体"/>
        </w:rPr>
      </w:pPr>
      <w:r>
        <w:rPr>
          <w:rFonts w:ascii="宋体" w:hint="eastAsia"/>
        </w:rPr>
        <w:t>国家药品监督管理局是在原国家医药管理局生产流通监管职能、卫生部原药政局的药政职能药检职能、中医药管理局中药生产、流通监管职能的根底上组建起来的新机构，为国务院直属机构，承当着我国药品监督管理行政执法职能，负责对全国药品的研究、生产、流通、使用全过程实行监督管理。</w:t>
      </w:r>
    </w:p>
    <w:p w:rsidR="00D731DA">
      <w:pPr>
        <w:spacing w:line="440" w:lineRule="exact"/>
        <w:ind w:firstLine="420"/>
        <w:rPr>
          <w:rFonts w:ascii="宋体" w:hint="eastAsia"/>
          <w:b/>
        </w:rPr>
      </w:pPr>
      <w:r>
        <w:rPr>
          <w:rFonts w:ascii="宋体" w:hint="eastAsia"/>
          <w:b/>
        </w:rPr>
        <w:t>2、新的《中华人民共和国药品管理法》获得通过，为医药行业的长期持续开展奠定根底，药品分类体制改革、国内医疗保险体制改革及药品价格改革对医药产业产生重大影响</w:t>
      </w:r>
    </w:p>
    <w:p w:rsidR="00D731DA">
      <w:pPr>
        <w:spacing w:line="440" w:lineRule="exact"/>
        <w:ind w:firstLine="420"/>
        <w:rPr>
          <w:rFonts w:ascii="宋体"/>
        </w:rPr>
      </w:pPr>
      <w:r>
        <w:rPr>
          <w:rFonts w:ascii="宋体" w:hint="eastAsia"/>
        </w:rPr>
        <w:t>新的《中华人民共和国药品管理法》于</w:t>
      </w:r>
      <w:r>
        <w:rPr>
          <w:rFonts w:ascii="宋体"/>
        </w:rPr>
        <w:t>2001</w:t>
      </w:r>
      <w:r>
        <w:rPr>
          <w:rFonts w:ascii="宋体" w:hint="eastAsia"/>
        </w:rPr>
        <w:t>年</w:t>
      </w:r>
      <w:r>
        <w:rPr>
          <w:rFonts w:ascii="宋体"/>
        </w:rPr>
        <w:t>2</w:t>
      </w:r>
      <w:r>
        <w:rPr>
          <w:rFonts w:ascii="宋体" w:hint="eastAsia"/>
        </w:rPr>
        <w:t>月</w:t>
      </w:r>
      <w:r>
        <w:rPr>
          <w:rFonts w:ascii="宋体"/>
        </w:rPr>
        <w:t>28</w:t>
      </w:r>
      <w:r>
        <w:rPr>
          <w:rFonts w:ascii="宋体" w:hint="eastAsia"/>
        </w:rPr>
        <w:t>日正式通过并将于今年</w:t>
      </w:r>
      <w:r>
        <w:rPr>
          <w:rFonts w:ascii="宋体"/>
        </w:rPr>
        <w:t>12</w:t>
      </w:r>
      <w:r>
        <w:rPr>
          <w:rFonts w:ascii="宋体" w:hint="eastAsia"/>
        </w:rPr>
        <w:t>月</w:t>
      </w:r>
      <w:r>
        <w:rPr>
          <w:rFonts w:ascii="宋体"/>
        </w:rPr>
        <w:t>1</w:t>
      </w:r>
      <w:r>
        <w:rPr>
          <w:rFonts w:ascii="宋体" w:hint="eastAsia"/>
        </w:rPr>
        <w:t>日正式实施。新修订的药品管理法在确保药品合格平安、制裁假药劣药、标准药品价格和广告等与医药行业标准化开展、与人民生活最密切相关的方面作出了明确规定，从而从根本上突破了阻碍医药生产力开展的体制性障碍，医药行业的长期持续稳定开展得到保证。</w:t>
      </w:r>
    </w:p>
    <w:p w:rsidR="00D731DA">
      <w:pPr>
        <w:spacing w:line="440" w:lineRule="exact"/>
        <w:ind w:firstLine="420"/>
        <w:rPr>
          <w:rFonts w:ascii="宋体"/>
          <w:b/>
        </w:rPr>
      </w:pPr>
      <w:r>
        <w:rPr>
          <w:rFonts w:ascii="宋体" w:hint="eastAsia"/>
          <w:b/>
        </w:rPr>
        <w:t>3、以</w:t>
      </w:r>
      <w:r>
        <w:rPr>
          <w:b/>
        </w:rPr>
        <w:t>GMP</w:t>
      </w:r>
      <w:r>
        <w:rPr>
          <w:rFonts w:ascii="宋体" w:hint="eastAsia"/>
          <w:b/>
        </w:rPr>
        <w:t>为代表的系列标准和标准的推广实施，使药品从研发到市场的全过程有了强有力的质量保障体系，对标准医药企业的开展，提高药品品质产生巨大的影响。</w:t>
      </w:r>
    </w:p>
    <w:p w:rsidR="00D731DA">
      <w:pPr>
        <w:spacing w:line="440" w:lineRule="exact"/>
        <w:ind w:firstLine="420"/>
        <w:rPr>
          <w:rFonts w:ascii="宋体" w:hint="eastAsia"/>
        </w:rPr>
      </w:pPr>
      <w:r>
        <w:rPr>
          <w:rFonts w:ascii="宋体" w:hint="eastAsia"/>
        </w:rPr>
        <w:t>其中</w:t>
      </w:r>
      <w:r>
        <w:t>GLP</w:t>
      </w:r>
      <w:r>
        <w:rPr>
          <w:rFonts w:ascii="宋体" w:hint="eastAsia"/>
        </w:rPr>
        <w:t>〔药品实验管理标准〕、</w:t>
      </w:r>
      <w:r>
        <w:t>GCP</w:t>
      </w:r>
      <w:r>
        <w:rPr>
          <w:rFonts w:ascii="宋体" w:hint="eastAsia"/>
        </w:rPr>
        <w:t>〔药品临床管理标准〕为药品在研发阶段的系列活动确立了标准和准那么，</w:t>
      </w:r>
      <w:r>
        <w:t>GAP</w:t>
      </w:r>
      <w:r>
        <w:rPr>
          <w:rFonts w:ascii="宋体" w:hint="eastAsia"/>
        </w:rPr>
        <w:t>〔药材种植管理标准〕、</w:t>
      </w:r>
      <w:r>
        <w:t>GMP</w:t>
      </w:r>
      <w:r>
        <w:rPr>
          <w:rFonts w:ascii="宋体" w:hint="eastAsia"/>
        </w:rPr>
        <w:t>〔药品生产制造管理标准〕和</w:t>
      </w:r>
      <w:r>
        <w:t>GSP</w:t>
      </w:r>
      <w:r>
        <w:rPr>
          <w:rFonts w:ascii="宋体" w:hint="eastAsia"/>
        </w:rPr>
        <w:t>〔药品流通管理标准〕对药品从原材料开始经过生产制造到进入市场流通的全过程进行质量和管理控制，有效地保障了药品质量的稳定和不断提高，促使我国的药品行业的标准逐步与国际接轨，是我国药品逐步被国际市场认可和接受的体制根底。</w:t>
      </w:r>
    </w:p>
    <w:p w:rsidR="00D731DA">
      <w:pPr>
        <w:spacing w:before="120" w:after="120" w:line="440" w:lineRule="exact"/>
        <w:ind w:firstLine="420"/>
        <w:rPr>
          <w:rFonts w:ascii="楷体_GB2312" w:eastAsia="楷体_GB2312"/>
          <w:b/>
          <w:color w:val="FF0000"/>
          <w:sz w:val="28"/>
        </w:rPr>
      </w:pPr>
      <w:r>
        <w:rPr>
          <w:rFonts w:ascii="楷体_GB2312" w:eastAsia="楷体_GB2312" w:hint="eastAsia"/>
          <w:b/>
          <w:sz w:val="28"/>
        </w:rPr>
        <w:t>〔三〕行业分析</w:t>
      </w:r>
    </w:p>
    <w:p w:rsidR="00D731DA">
      <w:pPr>
        <w:spacing w:line="440" w:lineRule="exact"/>
        <w:ind w:firstLine="425"/>
        <w:outlineLvl w:val="0"/>
        <w:rPr>
          <w:rFonts w:ascii="宋体"/>
          <w:b/>
          <w:color w:val="000000"/>
        </w:rPr>
      </w:pPr>
      <w:r>
        <w:rPr>
          <w:rFonts w:ascii="宋体" w:hint="eastAsia"/>
          <w:b/>
          <w:color w:val="000000"/>
        </w:rPr>
        <w:t>1、医药产业总体开展快速增长</w:t>
      </w:r>
    </w:p>
    <w:p w:rsidR="00D731DA" w:rsidRPr="00723F64">
      <w:pPr>
        <w:spacing w:line="440" w:lineRule="exact"/>
        <w:ind w:firstLine="425"/>
        <w:rPr>
          <w:rFonts w:ascii="宋体" w:hint="eastAsia"/>
          <w:color w:val="0000FF"/>
        </w:rPr>
        <w:sectPr>
          <w:type w:val="nextPage"/>
          <w:pgSz w:w="11906" w:h="16838"/>
          <w:pgMar w:top="1162" w:right="1270" w:bottom="1162" w:left="1230" w:header="851" w:footer="992" w:gutter="0"/>
          <w:pgNumType w:start="107"/>
          <w:cols w:space="425"/>
          <w:titlePg w:val="0"/>
          <w:docGrid w:type="lines" w:linePitch="326" w:charSpace="-4916"/>
        </w:sectPr>
      </w:pPr>
      <w:r w:rsidRPr="00723F64">
        <w:rPr>
          <w:rFonts w:ascii="宋体" w:hint="eastAsia"/>
          <w:color w:val="0000FF"/>
        </w:rPr>
        <w:t>从全球范围看，医药产业增长速度快于整体世界经济增长速度</w:t>
      </w:r>
      <w:r w:rsidRPr="00723F64">
        <w:rPr>
          <w:rFonts w:ascii="宋体"/>
          <w:color w:val="0000FF"/>
        </w:rPr>
        <w:t xml:space="preserve">. </w:t>
      </w:r>
      <w:r w:rsidRPr="00723F64">
        <w:rPr>
          <w:rFonts w:ascii="宋体" w:hint="eastAsia"/>
          <w:color w:val="0000FF"/>
        </w:rPr>
        <w:t>近四十年来世界制药工业一直以较高速度持续稳定地增长。1950-1980年三十年间，世界药品的总产值从290亿美</w:t>
      </w:r>
      <w:r w:rsidRPr="00723F64">
        <w:rPr>
          <w:rFonts w:ascii="宋体" w:hint="eastAsia"/>
          <w:color w:val="0000FF"/>
          <w:spacing w:val="-2"/>
        </w:rPr>
        <w:t>元上升到730亿美元，增长了5.9倍。九十年代保持了8-10％的开展速度，我国</w:t>
      </w:r>
      <w:r w:rsidRPr="00723F64">
        <w:rPr>
          <w:rFonts w:ascii="宋体" w:hint="eastAsia"/>
          <w:color w:val="0000FF"/>
          <w:spacing w:val="-2"/>
        </w:rPr>
        <w:t>“</w:t>
      </w:r>
      <w:r w:rsidRPr="00723F64">
        <w:rPr>
          <w:rFonts w:ascii="宋体" w:hint="eastAsia"/>
          <w:color w:val="0000FF"/>
          <w:spacing w:val="-2"/>
        </w:rPr>
        <w:t>八五〞</w:t>
      </w:r>
      <w:r w:rsidRPr="00723F64">
        <w:rPr>
          <w:rFonts w:ascii="宋体" w:hint="eastAsia"/>
          <w:color w:val="0000FF"/>
        </w:rPr>
        <w:t>期</w:t>
      </w:r>
      <w:r w:rsidRPr="00723F64">
        <w:rPr>
          <w:rFonts w:ascii="宋体" w:hint="eastAsia"/>
          <w:color w:val="0000FF"/>
          <w:spacing w:val="-4"/>
        </w:rPr>
        <w:t>间，全国药品销售额以年12.9％的速度增长，</w:t>
      </w:r>
      <w:r w:rsidRPr="00723F64">
        <w:rPr>
          <w:rFonts w:ascii="宋体" w:hint="eastAsia"/>
          <w:color w:val="0000FF"/>
          <w:spacing w:val="-4"/>
        </w:rPr>
        <w:t>“</w:t>
      </w:r>
      <w:r w:rsidRPr="00723F64">
        <w:rPr>
          <w:rFonts w:ascii="宋体" w:hint="eastAsia"/>
          <w:color w:val="0000FF"/>
          <w:spacing w:val="-4"/>
        </w:rPr>
        <w:t>九五〞期间，我国药品市场方案增长速度12</w:t>
      </w:r>
      <w:r w:rsidRPr="00723F64">
        <w:rPr>
          <w:rFonts w:ascii="宋体" w:hint="eastAsia"/>
          <w:color w:val="0000FF"/>
        </w:rPr>
        <w:t>％，实际上1999药品销售增长幅度14.5％，高于世界医药市场的增长速度。</w:t>
      </w:r>
    </w:p>
    <w:p w:rsidR="00D731DA">
      <w:pPr>
        <w:spacing w:line="440" w:lineRule="exact"/>
        <w:ind w:firstLine="425"/>
        <w:rPr>
          <w:rFonts w:ascii="宋体" w:hint="eastAsia"/>
          <w:b/>
        </w:rPr>
      </w:pPr>
      <w:r>
        <w:rPr>
          <w:rFonts w:ascii="宋体" w:hint="eastAsia"/>
          <w:b/>
        </w:rPr>
        <w:t>2、</w:t>
      </w:r>
      <w:r>
        <w:rPr>
          <w:rFonts w:ascii="宋体" w:hint="eastAsia"/>
          <w:b/>
          <w:color w:val="000000"/>
        </w:rPr>
        <w:t>中药产业</w:t>
      </w:r>
      <w:r>
        <w:rPr>
          <w:rFonts w:ascii="宋体" w:hint="eastAsia"/>
          <w:b/>
        </w:rPr>
        <w:t>开展潜力巨大</w:t>
      </w:r>
    </w:p>
    <w:p w:rsidR="00D731DA">
      <w:pPr>
        <w:spacing w:line="440" w:lineRule="exact"/>
        <w:ind w:firstLine="425"/>
        <w:rPr>
          <w:rFonts w:ascii="宋体" w:hint="eastAsia"/>
        </w:rPr>
      </w:pPr>
      <w:r>
        <w:rPr>
          <w:rFonts w:ascii="宋体" w:hint="eastAsia"/>
          <w:spacing w:val="-10"/>
        </w:rPr>
        <w:t>中药既是传统药，又是现代药，中药产业既是传统产业，又是新型产业。</w:t>
      </w:r>
      <w:r>
        <w:rPr>
          <w:rFonts w:ascii="宋体" w:hint="eastAsia"/>
        </w:rPr>
        <w:t>目前整个中药产业的产值约700个亿，其中中成药、保健品约500个亿，中药材约150个亿，中药饮片约50</w:t>
      </w:r>
      <w:r>
        <w:rPr>
          <w:rFonts w:ascii="宋体"/>
        </w:rPr>
        <w:t>—</w:t>
      </w:r>
      <w:r>
        <w:rPr>
          <w:rFonts w:ascii="宋体" w:hint="eastAsia"/>
        </w:rPr>
        <w:t xml:space="preserve">60个亿。中药现代化是一个整体的概念，中药现代化不仅仅是中成药的现代化，也应该包括中药饮片、中药材的现代化。中药产业可简单分为 </w:t>
      </w:r>
      <w:r>
        <w:rPr>
          <w:rFonts w:ascii="宋体" w:hint="eastAsia"/>
          <w:b/>
        </w:rPr>
        <w:t xml:space="preserve">中药材 </w:t>
      </w:r>
      <w:r>
        <w:rPr>
          <w:rFonts w:ascii="宋体" w:hint="eastAsia"/>
        </w:rPr>
        <w:t xml:space="preserve">与 </w:t>
      </w:r>
      <w:r>
        <w:rPr>
          <w:rFonts w:ascii="宋体" w:hint="eastAsia"/>
          <w:b/>
        </w:rPr>
        <w:t xml:space="preserve">中成药 </w:t>
      </w:r>
      <w:r>
        <w:rPr>
          <w:rFonts w:ascii="宋体" w:hint="eastAsia"/>
        </w:rPr>
        <w:t>两大产业，两者相互依存，不可别离。</w:t>
      </w:r>
    </w:p>
    <w:p w:rsidR="00D731DA">
      <w:pPr>
        <w:spacing w:line="440" w:lineRule="exact"/>
        <w:ind w:firstLine="425"/>
        <w:rPr>
          <w:rFonts w:ascii="宋体" w:hint="eastAsia"/>
          <w:b/>
        </w:rPr>
      </w:pPr>
      <w:r>
        <w:rPr>
          <w:rFonts w:ascii="宋体" w:hint="eastAsia"/>
          <w:b/>
        </w:rPr>
        <w:t>〔1〕中药材</w:t>
      </w:r>
    </w:p>
    <w:p w:rsidR="00D731DA">
      <w:pPr>
        <w:spacing w:line="440" w:lineRule="exact"/>
        <w:ind w:firstLine="425"/>
        <w:rPr>
          <w:rFonts w:ascii="宋体"/>
        </w:rPr>
      </w:pPr>
      <w:r>
        <w:rPr>
          <w:rFonts w:ascii="宋体" w:hint="eastAsia"/>
        </w:rPr>
        <w:t>我国的药用资源总数达12807种；经营药材1200多种〔其它为民族药4000和民间药7000多种〕，而实际常用的药材为600种，只占药用资源总数的</w:t>
      </w:r>
      <w:r>
        <w:rPr>
          <w:rFonts w:ascii="宋体"/>
        </w:rPr>
        <w:t>5%</w:t>
      </w:r>
      <w:r>
        <w:rPr>
          <w:rFonts w:ascii="宋体" w:hint="eastAsia"/>
        </w:rPr>
        <w:t>，</w:t>
      </w:r>
      <w:r>
        <w:rPr>
          <w:rFonts w:ascii="宋体" w:hint="eastAsia"/>
          <w:spacing w:val="4"/>
        </w:rPr>
        <w:t>其中：现可以大量栽培200种，品种数占常用药材的30％，年产量30万吨，产量占40－50％；</w:t>
      </w:r>
      <w:r>
        <w:rPr>
          <w:rFonts w:ascii="宋体" w:hint="eastAsia"/>
          <w:spacing w:val="-8"/>
        </w:rPr>
        <w:t>其余400种为野生，品种数占常用药材的70％，年产量40万吨，产量占40－50％。</w:t>
      </w:r>
    </w:p>
    <w:p w:rsidR="00D731DA">
      <w:pPr>
        <w:spacing w:line="440" w:lineRule="exact"/>
        <w:ind w:left="45" w:firstLine="425"/>
        <w:rPr>
          <w:rFonts w:ascii="宋体" w:hint="eastAsia"/>
          <w:b/>
        </w:rPr>
      </w:pPr>
      <w:r>
        <w:rPr>
          <w:rFonts w:ascii="宋体" w:hint="eastAsia"/>
          <w:b/>
        </w:rPr>
        <w:t>〔2〕中成药</w:t>
      </w:r>
    </w:p>
    <w:p w:rsidR="00D731DA">
      <w:pPr>
        <w:spacing w:line="440" w:lineRule="exact"/>
        <w:ind w:left="45" w:firstLine="425"/>
        <w:rPr>
          <w:rFonts w:ascii="宋体"/>
        </w:rPr>
      </w:pPr>
      <w:r>
        <w:rPr>
          <w:rFonts w:ascii="宋体" w:hint="eastAsia"/>
        </w:rPr>
        <w:t>从80年代改革开放以后，中成药产业有了从未有过的开展机遇，得到了突飞猛进的开展。目前中成药的前五十强占整个中成药企业固定资产50%，但销售占全国销售的70%，利润90个亿。中成药产业的变化给整个中药产业的变化带来了深刻的影响。</w:t>
      </w:r>
    </w:p>
    <w:p w:rsidR="00D731DA">
      <w:pPr>
        <w:spacing w:line="440" w:lineRule="exact"/>
        <w:ind w:firstLine="425"/>
        <w:rPr>
          <w:rFonts w:ascii="宋体"/>
        </w:rPr>
      </w:pPr>
      <w:r>
        <w:rPr>
          <w:rFonts w:ascii="宋体" w:hint="eastAsia"/>
        </w:rPr>
        <w:t>现在的中药产业已转变为以中成药为主体的产业。全国中成药制药及保健品企业约有5000家，其中中成药厂1000家，有中成药生产的西药厂1000多家，中药保健品厂3000多家。</w:t>
      </w:r>
    </w:p>
    <w:p w:rsidR="00D731DA">
      <w:pPr>
        <w:spacing w:line="440" w:lineRule="exact"/>
        <w:ind w:firstLine="425"/>
        <w:rPr>
          <w:rFonts w:ascii="宋体" w:hint="eastAsia"/>
        </w:rPr>
      </w:pPr>
      <w:r>
        <w:rPr>
          <w:rFonts w:ascii="宋体"/>
        </w:rPr>
        <w:t>2000</w:t>
      </w:r>
      <w:r>
        <w:rPr>
          <w:rFonts w:ascii="宋体" w:hint="eastAsia"/>
        </w:rPr>
        <w:t>年药品销售收入达1750亿元，其中出口额约320亿元，国内药品销售额约1</w:t>
      </w:r>
      <w:r>
        <w:rPr>
          <w:rFonts w:ascii="宋体"/>
        </w:rPr>
        <w:t>430</w:t>
      </w:r>
      <w:r>
        <w:rPr>
          <w:rFonts w:ascii="宋体" w:hint="eastAsia"/>
        </w:rPr>
        <w:t>亿元，中成药销售额3</w:t>
      </w:r>
      <w:r>
        <w:rPr>
          <w:rFonts w:ascii="宋体"/>
        </w:rPr>
        <w:t>55</w:t>
      </w:r>
      <w:r>
        <w:rPr>
          <w:rFonts w:ascii="宋体" w:hint="eastAsia"/>
        </w:rPr>
        <w:t>亿元，占药品销售总量的2</w:t>
      </w:r>
      <w:r>
        <w:rPr>
          <w:rFonts w:ascii="宋体"/>
        </w:rPr>
        <w:t>5</w:t>
      </w:r>
      <w:r>
        <w:rPr>
          <w:rFonts w:ascii="宋体" w:hint="eastAsia"/>
        </w:rPr>
        <w:t>％，西药销售额</w:t>
      </w:r>
      <w:r>
        <w:rPr>
          <w:rFonts w:ascii="宋体"/>
        </w:rPr>
        <w:t>1075</w:t>
      </w:r>
      <w:r>
        <w:rPr>
          <w:rFonts w:ascii="宋体" w:hint="eastAsia"/>
        </w:rPr>
        <w:t>亿，占7</w:t>
      </w:r>
      <w:r>
        <w:rPr>
          <w:rFonts w:ascii="宋体"/>
        </w:rPr>
        <w:t>5</w:t>
      </w:r>
      <w:r>
        <w:rPr>
          <w:rFonts w:ascii="宋体" w:hint="eastAsia"/>
        </w:rPr>
        <w:t>％，中成药约占整个国内药品消费市场的1/4，说明中成药的开展速度尽管很快，但是由于大量的外资和合资的西药厂进入中国市场，使中成药的开展相对滞后于西药的开展，因此目前的中成药的市场空间还很大，还有巨大的开展潜力。</w:t>
      </w:r>
    </w:p>
    <w:p w:rsidR="00D731DA">
      <w:pPr>
        <w:adjustRightInd w:val="0"/>
        <w:snapToGrid w:val="0"/>
        <w:spacing w:line="440" w:lineRule="exact"/>
        <w:ind w:firstLine="425"/>
        <w:rPr>
          <w:rFonts w:ascii="宋体" w:hint="eastAsia"/>
          <w:b/>
        </w:rPr>
      </w:pPr>
      <w:r>
        <w:rPr>
          <w:rFonts w:ascii="宋体" w:hint="eastAsia"/>
          <w:b/>
        </w:rPr>
        <w:t>3、政府各部门高度重视关心中药产业的开展</w:t>
      </w:r>
    </w:p>
    <w:p w:rsidR="00D731DA">
      <w:pPr>
        <w:adjustRightInd w:val="0"/>
        <w:snapToGrid w:val="0"/>
        <w:spacing w:line="440" w:lineRule="exact"/>
        <w:ind w:firstLine="425"/>
        <w:rPr>
          <w:rFonts w:ascii="宋体"/>
        </w:rPr>
        <w:sectPr>
          <w:type w:val="nextPage"/>
          <w:pgSz w:w="11906" w:h="16838"/>
          <w:pgMar w:top="1162" w:right="1270" w:bottom="1162" w:left="1230" w:header="851" w:footer="992" w:gutter="0"/>
          <w:pgNumType w:start="108"/>
          <w:cols w:space="425"/>
          <w:titlePg w:val="0"/>
          <w:docGrid w:type="lines" w:linePitch="326" w:charSpace="-4916"/>
        </w:sectPr>
      </w:pPr>
      <w:r>
        <w:rPr>
          <w:rFonts w:ascii="宋体" w:hint="eastAsia"/>
        </w:rPr>
        <w:t>“</w:t>
      </w:r>
      <w:r>
        <w:rPr>
          <w:rFonts w:ascii="宋体" w:hint="eastAsia"/>
        </w:rPr>
        <w:t>十五〞期间，中医药得到了一个前所未有的开展的大好时机，政府部门高度重视中医药开展，营造了一个非常好的产业开展环境，很多地方政府已把中医药产业作为新的经济增长点。国家计委将在国家高新技术产业化专项中把现代中药作为一个专项；国家经贸委在</w:t>
      </w:r>
      <w:r>
        <w:rPr>
          <w:rFonts w:ascii="宋体" w:hint="eastAsia"/>
        </w:rPr>
        <w:t>“</w:t>
      </w:r>
      <w:r>
        <w:rPr>
          <w:rFonts w:ascii="宋体" w:hint="eastAsia"/>
        </w:rPr>
        <w:t>十五〞期间确立了中成药为开展重点； 科技部在</w:t>
      </w:r>
      <w:r>
        <w:rPr>
          <w:rFonts w:ascii="宋体" w:hint="eastAsia"/>
        </w:rPr>
        <w:t>“</w:t>
      </w:r>
      <w:r>
        <w:rPr>
          <w:rFonts w:ascii="宋体" w:hint="eastAsia"/>
        </w:rPr>
        <w:t>攻关〞的整体开展中，把中药列为重点研究领域；国家药监局已形成了</w:t>
      </w:r>
      <w:r>
        <w:rPr>
          <w:rFonts w:hint="eastAsia"/>
        </w:rPr>
        <w:t>GAP</w:t>
      </w:r>
      <w:r>
        <w:rPr>
          <w:rFonts w:ascii="宋体" w:hint="eastAsia"/>
        </w:rPr>
        <w:t>中药种植基地、药材发证号、指纹图谱的开展思路；国家外经贸委正在起草我国有关中药出口方面的战略；国家知识产权局正在做</w:t>
      </w:r>
      <w:r>
        <w:rPr>
          <w:rFonts w:ascii="宋体" w:hint="eastAsia"/>
        </w:rPr>
        <w:t>“</w:t>
      </w:r>
      <w:r>
        <w:rPr>
          <w:rFonts w:ascii="宋体" w:hint="eastAsia"/>
        </w:rPr>
        <w:t>增强中药的新优势〞的知识产权保护研究；很多地方政府把中药产业作为支柱产业，尤其是西部开发省份。</w:t>
      </w:r>
    </w:p>
    <w:p w:rsidR="00D731DA">
      <w:pPr>
        <w:pStyle w:val="Heading2"/>
        <w:spacing w:before="240" w:after="120" w:line="440" w:lineRule="exact"/>
        <w:rPr>
          <w:rFonts w:hint="eastAsia"/>
          <w:sz w:val="28"/>
        </w:rPr>
      </w:pPr>
      <w:r>
        <w:rPr>
          <w:rFonts w:hint="eastAsia"/>
          <w:sz w:val="28"/>
        </w:rPr>
        <w:t>二、竞争分析〔</w:t>
      </w:r>
      <w:r>
        <w:rPr>
          <w:rFonts w:ascii="Times New Roman" w:hAnsi="Times New Roman"/>
          <w:sz w:val="28"/>
        </w:rPr>
        <w:t>Competition Analysis</w:t>
      </w:r>
      <w:r>
        <w:rPr>
          <w:rFonts w:ascii="Times New Roman" w:hAnsi="Times New Roman" w:hint="eastAsia"/>
          <w:sz w:val="28"/>
        </w:rPr>
        <w:t>〕</w:t>
      </w:r>
    </w:p>
    <w:p w:rsidR="00D731DA">
      <w:pPr>
        <w:pStyle w:val="Date"/>
        <w:spacing w:before="120" w:after="120" w:line="440" w:lineRule="exact"/>
        <w:ind w:left="0" w:firstLine="425"/>
        <w:rPr>
          <w:rFonts w:ascii="楷体_GB2312" w:eastAsia="楷体_GB2312"/>
          <w:color w:val="FF0000"/>
          <w:sz w:val="28"/>
        </w:rPr>
      </w:pPr>
      <w:r>
        <w:rPr>
          <w:rFonts w:ascii="楷体_GB2312" w:eastAsia="楷体_GB2312" w:hint="eastAsia"/>
          <w:color w:val="FF0000"/>
          <w:sz w:val="28"/>
        </w:rPr>
        <w:t>〔一〕企业竞争</w:t>
      </w:r>
    </w:p>
    <w:p w:rsidR="00D731DA">
      <w:pPr>
        <w:spacing w:line="440" w:lineRule="exact"/>
        <w:ind w:firstLine="425"/>
        <w:rPr>
          <w:rFonts w:ascii="宋体" w:hint="eastAsia"/>
        </w:rPr>
      </w:pPr>
      <w:r>
        <w:rPr>
          <w:rFonts w:ascii="宋体" w:hint="eastAsia"/>
        </w:rPr>
        <w:t>世界上著名的医药企业都是在竞争中开展起来的，没有竞争就没有目前世界上大的医药集团的形成。但是，世界医药市场的格局一直是比拟分散的，即使是最大的医药集团</w:t>
      </w:r>
      <w:r>
        <w:rPr>
          <w:rFonts w:hint="eastAsia"/>
        </w:rPr>
        <w:t>GSK</w:t>
      </w:r>
      <w:r>
        <w:rPr>
          <w:rFonts w:ascii="宋体" w:hint="eastAsia"/>
        </w:rPr>
        <w:t>〔葛兰素史克〕也不过控制了7.3％的份额，这种客观现实促使世界制药企业掀起了</w:t>
      </w:r>
      <w:r w:rsidRPr="00723F64">
        <w:rPr>
          <w:rFonts w:ascii="宋体" w:hint="eastAsia"/>
          <w:color w:val="0000FF"/>
        </w:rPr>
        <w:t>新一轮的购并热潮</w:t>
      </w:r>
      <w:r>
        <w:rPr>
          <w:rFonts w:ascii="宋体" w:hint="eastAsia"/>
        </w:rPr>
        <w:t>，如葛兰素购并史克后，正酝酿与美国家庭用品公司合并，成为超大型的跨国制药集团，使年销售额到达500亿美元，控制全球10％的市场份额。这些大公司的合并，提高了竞争力，增加了全球渗透的实力，也缩短了新药进入市场的时间。近年来，跨国公司加强了对中国的市场渗透与控制，以合资合作形式进入中国市场，通过技术扩散扩大市场占有率。目前世界医药排名前20位的制药公司大都在中国投资建厂，合资制药公司达1700家，合资企业进口药品的销售额已占国内医药市场50％的份额。</w:t>
      </w:r>
    </w:p>
    <w:p w:rsidR="00D731DA">
      <w:pPr>
        <w:spacing w:line="440" w:lineRule="exact"/>
        <w:ind w:firstLine="425"/>
        <w:rPr>
          <w:rFonts w:ascii="宋体"/>
        </w:rPr>
      </w:pPr>
      <w:r>
        <w:rPr>
          <w:rFonts w:ascii="宋体" w:hint="eastAsia"/>
        </w:rPr>
        <w:t>中国有5000多家中医药企业，企业间竞争的剧烈。随着医药产业重组推进，企业的数量会减少，但竞争并不会因此而减弱，因为到那时，企业间的竞争将是在更加有竞争实力的企业之间展开。因为中药行业的平均利润率相对其它产业是较高的，因此将有更多的企业进入该行业。而随着中药价值被跨国公司所意识到，他们也将进入这一市场〔比方</w:t>
      </w:r>
      <w:r>
        <w:rPr>
          <w:rFonts w:hint="eastAsia"/>
        </w:rPr>
        <w:t>Novartis</w:t>
      </w:r>
      <w:r>
        <w:rPr>
          <w:rFonts w:ascii="宋体" w:hint="eastAsia"/>
        </w:rPr>
        <w:t>已经在上海设立了以开发中药为主的</w:t>
      </w:r>
      <w:r>
        <w:rPr>
          <w:rFonts w:hint="eastAsia"/>
        </w:rPr>
        <w:t>R&amp;D</w:t>
      </w:r>
      <w:r>
        <w:rPr>
          <w:rFonts w:ascii="宋体" w:hint="eastAsia"/>
        </w:rPr>
        <w:t>中心〕，行业的竞争将进一步加剧，对高质量的原料争夺也将更加剧烈。</w:t>
      </w:r>
    </w:p>
    <w:p w:rsidR="00D731DA">
      <w:pPr>
        <w:spacing w:line="440" w:lineRule="exact"/>
        <w:ind w:firstLine="425"/>
        <w:rPr>
          <w:rFonts w:ascii="宋体"/>
        </w:rPr>
      </w:pPr>
      <w:r>
        <w:rPr>
          <w:rFonts w:ascii="宋体" w:hint="eastAsia"/>
        </w:rPr>
        <w:t>中药药品在整个中国医药销售的比例多年来一直在下降，目前稳定在整个医药销售总额的25％左右。这一方面是因为中医药本身的质量一直存在不稳定的问题，另一方面也是因为西药作为许多常见疾病的替代药品已经为广阔消费者所接受。参加</w:t>
      </w:r>
      <w:r>
        <w:rPr>
          <w:rFonts w:hint="eastAsia"/>
        </w:rPr>
        <w:t>WTO</w:t>
      </w:r>
      <w:r>
        <w:rPr>
          <w:rFonts w:ascii="宋体" w:hint="eastAsia"/>
        </w:rPr>
        <w:t>后，一是降低关税，2003年前，药品平均关税由现在的10％下降为5％左右；二是开放药品流通领域，进口药品的价格逐渐下降，西药的竞争力将进一步提高。加上绝大多数领先的跨国医药公司早已进入中国市场，而且在不停的本地化，降低本钱和价格。顾客可以挑选的余地将进一步扩大，一些中药传统的重要市场也将进一步受到冲击。</w:t>
      </w:r>
    </w:p>
    <w:p w:rsidR="00D731DA">
      <w:pPr>
        <w:spacing w:before="120" w:after="120" w:line="440" w:lineRule="exact"/>
        <w:ind w:firstLine="425"/>
        <w:rPr>
          <w:rFonts w:eastAsia="楷体_GB2312"/>
          <w:b/>
          <w:color w:val="0000FF"/>
          <w:sz w:val="28"/>
        </w:rPr>
      </w:pPr>
      <w:r>
        <w:rPr>
          <w:rFonts w:eastAsia="楷体_GB2312" w:hint="eastAsia"/>
          <w:b/>
          <w:sz w:val="28"/>
        </w:rPr>
        <w:t>〔二〕和跨国公司的差异分析</w:t>
      </w:r>
    </w:p>
    <w:p w:rsidR="00D731DA">
      <w:pPr>
        <w:spacing w:line="440" w:lineRule="exact"/>
        <w:ind w:firstLine="425"/>
        <w:rPr>
          <w:rFonts w:ascii="宋体" w:hint="eastAsia"/>
        </w:rPr>
      </w:pPr>
      <w:r>
        <w:rPr>
          <w:rFonts w:ascii="宋体" w:hint="eastAsia"/>
        </w:rPr>
        <w:t>公司自成立之日起就确立了中药国际化、中药现代化的企业开展方向，立志于使我国的中医中药走出国门，弘扬祖国传统文化。在企业数年的国际市场探索过程中，公司不断地学习跨国制药公司的经验教训，同时也在不断地加强和跨国公司的比拟研究，根本形成了系统的比拟分析理论，明确了企业开展方向。下面拟通过表1</w:t>
      </w:r>
      <w:r>
        <w:rPr>
          <w:rFonts w:ascii="宋体" w:hint="eastAsia"/>
          <w:b/>
        </w:rPr>
        <w:t>-</w:t>
      </w:r>
      <w:r>
        <w:rPr>
          <w:rFonts w:ascii="宋体" w:hint="eastAsia"/>
        </w:rPr>
        <w:t>1和表1</w:t>
      </w:r>
      <w:r>
        <w:rPr>
          <w:rFonts w:ascii="宋体" w:hint="eastAsia"/>
          <w:b/>
        </w:rPr>
        <w:t>-</w:t>
      </w:r>
      <w:r>
        <w:rPr>
          <w:rFonts w:ascii="宋体" w:hint="eastAsia"/>
        </w:rPr>
        <w:t>2的比拟，探讨公司和跨国公司的差异。</w:t>
      </w:r>
    </w:p>
    <w:p w:rsidR="00D731DA">
      <w:pPr>
        <w:spacing w:before="240" w:after="240" w:line="440" w:lineRule="exact"/>
        <w:ind w:left="425" w:firstLine="425"/>
        <w:outlineLvl w:val="0"/>
        <w:rPr>
          <w:rFonts w:ascii="宋体"/>
          <w:b/>
        </w:rPr>
        <w:sectPr>
          <w:type w:val="nextPage"/>
          <w:pgSz w:w="11906" w:h="16838"/>
          <w:pgMar w:top="1162" w:right="1270" w:bottom="1162" w:left="1230" w:header="851" w:footer="992" w:gutter="0"/>
          <w:pgNumType w:start="109"/>
          <w:cols w:space="425"/>
          <w:titlePg w:val="0"/>
          <w:docGrid w:type="lines" w:linePitch="326" w:charSpace="-4916"/>
        </w:sectPr>
      </w:pPr>
      <w:r>
        <w:rPr>
          <w:rFonts w:ascii="宋体" w:hint="eastAsia"/>
          <w:b/>
        </w:rPr>
        <w:t>表3－1  公司和跨国公司宏观差异分析</w:t>
      </w:r>
    </w:p>
    <w:tbl>
      <w:tblPr>
        <w:tblStyle w:val="TableNormal"/>
        <w:tblW w:w="0" w:type="auto"/>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2156"/>
        <w:gridCol w:w="2281"/>
        <w:gridCol w:w="1568"/>
      </w:tblGrid>
      <w:tr>
        <w:tblPrEx>
          <w:tblW w:w="0" w:type="auto"/>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1701" w:type="dxa"/>
            <w:vMerge w:val="restart"/>
          </w:tcPr>
          <w:p w:rsidR="00D731DA">
            <w:pPr>
              <w:spacing w:line="440" w:lineRule="exact"/>
              <w:ind w:firstLine="425"/>
              <w:rPr>
                <w:rFonts w:ascii="宋体" w:hint="eastAsia"/>
                <w:sz w:val="21"/>
              </w:rPr>
            </w:pPr>
          </w:p>
        </w:tc>
        <w:tc>
          <w:tcPr>
            <w:tcW w:w="4437" w:type="dxa"/>
            <w:gridSpan w:val="2"/>
          </w:tcPr>
          <w:p w:rsidR="00D731DA">
            <w:pPr>
              <w:spacing w:line="440" w:lineRule="exact"/>
              <w:ind w:firstLine="425"/>
              <w:jc w:val="center"/>
              <w:rPr>
                <w:rFonts w:ascii="宋体" w:hint="eastAsia"/>
                <w:sz w:val="21"/>
              </w:rPr>
            </w:pPr>
            <w:r>
              <w:rPr>
                <w:rFonts w:ascii="宋体" w:hint="eastAsia"/>
                <w:sz w:val="21"/>
              </w:rPr>
              <w:t>企业特征</w:t>
            </w:r>
          </w:p>
        </w:tc>
        <w:tc>
          <w:tcPr>
            <w:tcW w:w="1568" w:type="dxa"/>
            <w:vMerge w:val="restart"/>
            <w:vAlign w:val="center"/>
          </w:tcPr>
          <w:p w:rsidR="00D731DA">
            <w:pPr>
              <w:spacing w:line="440" w:lineRule="exact"/>
              <w:jc w:val="center"/>
              <w:rPr>
                <w:rFonts w:ascii="宋体" w:hint="eastAsia"/>
                <w:sz w:val="21"/>
              </w:rPr>
            </w:pPr>
            <w:r>
              <w:rPr>
                <w:rFonts w:ascii="宋体" w:hint="eastAsia"/>
                <w:sz w:val="21"/>
              </w:rPr>
              <w:t>差异</w:t>
            </w:r>
          </w:p>
        </w:tc>
      </w:tr>
      <w:tr>
        <w:tblPrEx>
          <w:tblW w:w="0" w:type="auto"/>
          <w:tblInd w:w="423" w:type="dxa"/>
          <w:tblLayout w:type="fixed"/>
          <w:tblLook w:val="0000"/>
        </w:tblPrEx>
        <w:trPr>
          <w:cantSplit/>
        </w:trPr>
        <w:tc>
          <w:tcPr>
            <w:tcW w:w="1701" w:type="dxa"/>
            <w:vMerge/>
          </w:tcPr>
          <w:p w:rsidR="00D731DA">
            <w:pPr>
              <w:spacing w:line="440" w:lineRule="exact"/>
              <w:ind w:firstLine="425"/>
              <w:rPr>
                <w:rFonts w:ascii="宋体" w:hint="eastAsia"/>
                <w:sz w:val="21"/>
              </w:rPr>
            </w:pPr>
          </w:p>
        </w:tc>
        <w:tc>
          <w:tcPr>
            <w:tcW w:w="2156" w:type="dxa"/>
          </w:tcPr>
          <w:p w:rsidR="00D731DA">
            <w:pPr>
              <w:spacing w:line="440" w:lineRule="exact"/>
              <w:jc w:val="center"/>
              <w:rPr>
                <w:rFonts w:ascii="宋体" w:hint="eastAsia"/>
                <w:sz w:val="21"/>
              </w:rPr>
            </w:pPr>
            <w:r>
              <w:rPr>
                <w:rFonts w:ascii="宋体" w:hint="eastAsia"/>
                <w:sz w:val="21"/>
              </w:rPr>
              <w:t>天士力</w:t>
            </w:r>
          </w:p>
        </w:tc>
        <w:tc>
          <w:tcPr>
            <w:tcW w:w="2281" w:type="dxa"/>
          </w:tcPr>
          <w:p w:rsidR="00D731DA">
            <w:pPr>
              <w:spacing w:line="440" w:lineRule="exact"/>
              <w:jc w:val="center"/>
              <w:rPr>
                <w:rFonts w:ascii="宋体" w:hint="eastAsia"/>
                <w:sz w:val="21"/>
              </w:rPr>
            </w:pPr>
            <w:r>
              <w:rPr>
                <w:rFonts w:ascii="宋体" w:hint="eastAsia"/>
                <w:sz w:val="21"/>
              </w:rPr>
              <w:t>跨国公司</w:t>
            </w:r>
          </w:p>
        </w:tc>
        <w:tc>
          <w:tcPr>
            <w:tcW w:w="1568" w:type="dxa"/>
            <w:vMerge/>
          </w:tcPr>
          <w:p w:rsidR="00D731DA">
            <w:pPr>
              <w:spacing w:line="440" w:lineRule="exact"/>
              <w:ind w:firstLine="425"/>
              <w:jc w:val="center"/>
              <w:rPr>
                <w:rFonts w:ascii="宋体" w:hint="eastAsia"/>
                <w:sz w:val="21"/>
              </w:rPr>
            </w:pPr>
          </w:p>
        </w:tc>
      </w:tr>
      <w:tr>
        <w:tblPrEx>
          <w:tblW w:w="0" w:type="auto"/>
          <w:tblInd w:w="423" w:type="dxa"/>
          <w:tblLayout w:type="fixed"/>
          <w:tblLook w:val="0000"/>
        </w:tblPrEx>
        <w:trPr>
          <w:cantSplit/>
        </w:trPr>
        <w:tc>
          <w:tcPr>
            <w:tcW w:w="1701" w:type="dxa"/>
          </w:tcPr>
          <w:p w:rsidR="00D731DA">
            <w:pPr>
              <w:spacing w:line="440" w:lineRule="exact"/>
              <w:rPr>
                <w:rFonts w:ascii="宋体" w:hint="eastAsia"/>
                <w:sz w:val="21"/>
              </w:rPr>
            </w:pPr>
            <w:r>
              <w:rPr>
                <w:rFonts w:ascii="宋体" w:hint="eastAsia"/>
                <w:sz w:val="21"/>
              </w:rPr>
              <w:t>企业开展战略</w:t>
            </w:r>
          </w:p>
        </w:tc>
        <w:tc>
          <w:tcPr>
            <w:tcW w:w="2156" w:type="dxa"/>
          </w:tcPr>
          <w:p w:rsidR="00D731DA">
            <w:pPr>
              <w:spacing w:line="440" w:lineRule="exact"/>
              <w:jc w:val="center"/>
              <w:rPr>
                <w:rFonts w:ascii="宋体" w:hint="eastAsia"/>
                <w:sz w:val="21"/>
              </w:rPr>
            </w:pPr>
            <w:r>
              <w:rPr>
                <w:rFonts w:ascii="宋体" w:hint="eastAsia"/>
                <w:sz w:val="21"/>
              </w:rPr>
              <w:t>制药产业为核心</w:t>
            </w:r>
          </w:p>
        </w:tc>
        <w:tc>
          <w:tcPr>
            <w:tcW w:w="2281" w:type="dxa"/>
          </w:tcPr>
          <w:p w:rsidR="00D731DA">
            <w:pPr>
              <w:spacing w:line="440" w:lineRule="exact"/>
              <w:jc w:val="center"/>
              <w:rPr>
                <w:rFonts w:ascii="宋体" w:hint="eastAsia"/>
                <w:sz w:val="21"/>
              </w:rPr>
            </w:pPr>
            <w:r>
              <w:rPr>
                <w:rFonts w:ascii="宋体" w:hint="eastAsia"/>
                <w:sz w:val="21"/>
              </w:rPr>
              <w:t>制药产业为核心</w:t>
            </w:r>
          </w:p>
        </w:tc>
        <w:tc>
          <w:tcPr>
            <w:tcW w:w="1568" w:type="dxa"/>
          </w:tcPr>
          <w:p w:rsidR="00D731DA">
            <w:pPr>
              <w:spacing w:line="440" w:lineRule="exact"/>
              <w:jc w:val="center"/>
              <w:rPr>
                <w:rFonts w:ascii="宋体" w:hint="eastAsia"/>
                <w:sz w:val="21"/>
              </w:rPr>
            </w:pPr>
            <w:r>
              <w:rPr>
                <w:rFonts w:ascii="宋体" w:hint="eastAsia"/>
                <w:sz w:val="21"/>
              </w:rPr>
              <w:t>一致</w:t>
            </w:r>
          </w:p>
        </w:tc>
      </w:tr>
      <w:tr>
        <w:tblPrEx>
          <w:tblW w:w="0" w:type="auto"/>
          <w:tblInd w:w="423" w:type="dxa"/>
          <w:tblLayout w:type="fixed"/>
          <w:tblLook w:val="0000"/>
        </w:tblPrEx>
        <w:trPr>
          <w:cantSplit/>
        </w:trPr>
        <w:tc>
          <w:tcPr>
            <w:tcW w:w="1701" w:type="dxa"/>
          </w:tcPr>
          <w:p w:rsidR="00D731DA">
            <w:pPr>
              <w:spacing w:line="440" w:lineRule="exact"/>
              <w:rPr>
                <w:rFonts w:ascii="宋体" w:hint="eastAsia"/>
                <w:sz w:val="21"/>
              </w:rPr>
            </w:pPr>
            <w:r>
              <w:rPr>
                <w:rFonts w:ascii="宋体" w:hint="eastAsia"/>
                <w:sz w:val="21"/>
              </w:rPr>
              <w:t>资源配置能力</w:t>
            </w:r>
          </w:p>
        </w:tc>
        <w:tc>
          <w:tcPr>
            <w:tcW w:w="2156" w:type="dxa"/>
          </w:tcPr>
          <w:p w:rsidR="00D731DA">
            <w:pPr>
              <w:spacing w:line="440" w:lineRule="exact"/>
              <w:jc w:val="center"/>
              <w:rPr>
                <w:rFonts w:ascii="宋体" w:hint="eastAsia"/>
                <w:sz w:val="21"/>
              </w:rPr>
            </w:pPr>
            <w:r>
              <w:rPr>
                <w:rFonts w:ascii="宋体" w:hint="eastAsia"/>
                <w:sz w:val="21"/>
              </w:rPr>
              <w:t>国内自行开展</w:t>
            </w:r>
          </w:p>
        </w:tc>
        <w:tc>
          <w:tcPr>
            <w:tcW w:w="2281" w:type="dxa"/>
          </w:tcPr>
          <w:p w:rsidR="00D731DA">
            <w:pPr>
              <w:spacing w:line="440" w:lineRule="exact"/>
              <w:jc w:val="center"/>
              <w:rPr>
                <w:rFonts w:ascii="宋体" w:hint="eastAsia"/>
                <w:sz w:val="21"/>
              </w:rPr>
            </w:pPr>
            <w:r>
              <w:rPr>
                <w:rFonts w:ascii="宋体" w:hint="eastAsia"/>
                <w:sz w:val="21"/>
              </w:rPr>
              <w:t>全球化配置</w:t>
            </w:r>
          </w:p>
        </w:tc>
        <w:tc>
          <w:tcPr>
            <w:tcW w:w="1568" w:type="dxa"/>
          </w:tcPr>
          <w:p w:rsidR="00D731DA">
            <w:pPr>
              <w:spacing w:line="440" w:lineRule="exact"/>
              <w:jc w:val="center"/>
              <w:rPr>
                <w:rFonts w:ascii="宋体" w:hint="eastAsia"/>
                <w:sz w:val="21"/>
              </w:rPr>
            </w:pPr>
            <w:r>
              <w:rPr>
                <w:rFonts w:ascii="宋体" w:hint="eastAsia"/>
                <w:sz w:val="21"/>
              </w:rPr>
              <w:t>弱</w:t>
            </w:r>
          </w:p>
        </w:tc>
      </w:tr>
      <w:tr>
        <w:tblPrEx>
          <w:tblW w:w="0" w:type="auto"/>
          <w:tblInd w:w="423" w:type="dxa"/>
          <w:tblLayout w:type="fixed"/>
          <w:tblLook w:val="0000"/>
        </w:tblPrEx>
        <w:trPr>
          <w:cantSplit/>
        </w:trPr>
        <w:tc>
          <w:tcPr>
            <w:tcW w:w="1701" w:type="dxa"/>
          </w:tcPr>
          <w:p w:rsidR="00D731DA">
            <w:pPr>
              <w:spacing w:line="440" w:lineRule="exact"/>
              <w:rPr>
                <w:rFonts w:ascii="宋体" w:hint="eastAsia"/>
                <w:sz w:val="21"/>
              </w:rPr>
            </w:pPr>
            <w:r>
              <w:rPr>
                <w:rFonts w:ascii="宋体" w:hint="eastAsia"/>
                <w:sz w:val="21"/>
              </w:rPr>
              <w:t>融资能力</w:t>
            </w:r>
          </w:p>
        </w:tc>
        <w:tc>
          <w:tcPr>
            <w:tcW w:w="2156" w:type="dxa"/>
          </w:tcPr>
          <w:p w:rsidR="00D731DA">
            <w:pPr>
              <w:spacing w:line="440" w:lineRule="exact"/>
              <w:jc w:val="center"/>
              <w:rPr>
                <w:rFonts w:ascii="宋体" w:hint="eastAsia"/>
                <w:sz w:val="21"/>
              </w:rPr>
            </w:pPr>
            <w:r>
              <w:rPr>
                <w:rFonts w:ascii="宋体" w:hint="eastAsia"/>
                <w:sz w:val="21"/>
              </w:rPr>
              <w:t>渠道有限</w:t>
            </w:r>
          </w:p>
        </w:tc>
        <w:tc>
          <w:tcPr>
            <w:tcW w:w="2281" w:type="dxa"/>
          </w:tcPr>
          <w:p w:rsidR="00D731DA">
            <w:pPr>
              <w:spacing w:line="440" w:lineRule="exact"/>
              <w:jc w:val="center"/>
              <w:rPr>
                <w:rFonts w:ascii="宋体" w:hint="eastAsia"/>
                <w:sz w:val="21"/>
              </w:rPr>
            </w:pPr>
            <w:r>
              <w:rPr>
                <w:rFonts w:ascii="宋体" w:hint="eastAsia"/>
                <w:sz w:val="21"/>
              </w:rPr>
              <w:t>全球化融资</w:t>
            </w:r>
          </w:p>
        </w:tc>
        <w:tc>
          <w:tcPr>
            <w:tcW w:w="1568" w:type="dxa"/>
          </w:tcPr>
          <w:p w:rsidR="00D731DA">
            <w:pPr>
              <w:spacing w:line="440" w:lineRule="exact"/>
              <w:jc w:val="center"/>
              <w:rPr>
                <w:rFonts w:ascii="宋体" w:hint="eastAsia"/>
                <w:sz w:val="21"/>
              </w:rPr>
            </w:pPr>
            <w:r>
              <w:rPr>
                <w:rFonts w:ascii="宋体" w:hint="eastAsia"/>
                <w:sz w:val="21"/>
              </w:rPr>
              <w:t>弱</w:t>
            </w:r>
          </w:p>
        </w:tc>
      </w:tr>
      <w:tr>
        <w:tblPrEx>
          <w:tblW w:w="0" w:type="auto"/>
          <w:tblInd w:w="423" w:type="dxa"/>
          <w:tblLayout w:type="fixed"/>
          <w:tblLook w:val="0000"/>
        </w:tblPrEx>
        <w:trPr>
          <w:cantSplit/>
        </w:trPr>
        <w:tc>
          <w:tcPr>
            <w:tcW w:w="1701" w:type="dxa"/>
          </w:tcPr>
          <w:p w:rsidR="00D731DA">
            <w:pPr>
              <w:spacing w:line="440" w:lineRule="exact"/>
              <w:rPr>
                <w:rFonts w:ascii="宋体" w:hint="eastAsia"/>
                <w:sz w:val="21"/>
              </w:rPr>
            </w:pPr>
            <w:r>
              <w:rPr>
                <w:rFonts w:ascii="宋体" w:hint="eastAsia"/>
                <w:sz w:val="21"/>
              </w:rPr>
              <w:t>产权制度</w:t>
            </w:r>
          </w:p>
        </w:tc>
        <w:tc>
          <w:tcPr>
            <w:tcW w:w="2156" w:type="dxa"/>
          </w:tcPr>
          <w:p w:rsidR="00D731DA">
            <w:pPr>
              <w:spacing w:line="440" w:lineRule="exact"/>
              <w:jc w:val="center"/>
              <w:rPr>
                <w:rFonts w:ascii="宋体" w:hint="eastAsia"/>
                <w:sz w:val="21"/>
              </w:rPr>
            </w:pPr>
            <w:r>
              <w:rPr>
                <w:rFonts w:ascii="宋体" w:hint="eastAsia"/>
                <w:sz w:val="21"/>
              </w:rPr>
              <w:t>职工参与</w:t>
            </w:r>
          </w:p>
        </w:tc>
        <w:tc>
          <w:tcPr>
            <w:tcW w:w="2281" w:type="dxa"/>
          </w:tcPr>
          <w:p w:rsidR="00D731DA">
            <w:pPr>
              <w:spacing w:line="440" w:lineRule="exact"/>
              <w:jc w:val="center"/>
              <w:rPr>
                <w:rFonts w:ascii="宋体" w:hint="eastAsia"/>
                <w:sz w:val="21"/>
              </w:rPr>
            </w:pPr>
            <w:r>
              <w:rPr>
                <w:rFonts w:ascii="宋体" w:hint="eastAsia"/>
                <w:sz w:val="21"/>
              </w:rPr>
              <w:t>股东利益至上</w:t>
            </w:r>
          </w:p>
        </w:tc>
        <w:tc>
          <w:tcPr>
            <w:tcW w:w="1568" w:type="dxa"/>
          </w:tcPr>
          <w:p w:rsidR="00D731DA">
            <w:pPr>
              <w:spacing w:line="440" w:lineRule="exact"/>
              <w:jc w:val="center"/>
              <w:rPr>
                <w:rFonts w:ascii="宋体" w:hint="eastAsia"/>
                <w:sz w:val="21"/>
              </w:rPr>
            </w:pPr>
            <w:r>
              <w:rPr>
                <w:rFonts w:ascii="宋体" w:hint="eastAsia"/>
                <w:sz w:val="21"/>
              </w:rPr>
              <w:t>强</w:t>
            </w:r>
          </w:p>
        </w:tc>
      </w:tr>
      <w:tr>
        <w:tblPrEx>
          <w:tblW w:w="0" w:type="auto"/>
          <w:tblInd w:w="423" w:type="dxa"/>
          <w:tblLayout w:type="fixed"/>
          <w:tblLook w:val="0000"/>
        </w:tblPrEx>
        <w:trPr>
          <w:cantSplit/>
        </w:trPr>
        <w:tc>
          <w:tcPr>
            <w:tcW w:w="1701" w:type="dxa"/>
          </w:tcPr>
          <w:p w:rsidR="00D731DA">
            <w:pPr>
              <w:spacing w:line="440" w:lineRule="exact"/>
              <w:rPr>
                <w:rFonts w:ascii="宋体" w:hint="eastAsia"/>
                <w:sz w:val="21"/>
              </w:rPr>
            </w:pPr>
            <w:r>
              <w:rPr>
                <w:rFonts w:ascii="宋体" w:hint="eastAsia"/>
                <w:sz w:val="21"/>
              </w:rPr>
              <w:t>企业规模</w:t>
            </w:r>
          </w:p>
        </w:tc>
        <w:tc>
          <w:tcPr>
            <w:tcW w:w="2156" w:type="dxa"/>
          </w:tcPr>
          <w:p w:rsidR="00D731DA">
            <w:pPr>
              <w:spacing w:line="440" w:lineRule="exact"/>
              <w:jc w:val="center"/>
              <w:rPr>
                <w:rFonts w:ascii="宋体" w:hint="eastAsia"/>
                <w:sz w:val="21"/>
              </w:rPr>
            </w:pPr>
            <w:r>
              <w:rPr>
                <w:rFonts w:ascii="宋体" w:hint="eastAsia"/>
                <w:sz w:val="21"/>
              </w:rPr>
              <w:t>国内大型中药企业</w:t>
            </w:r>
          </w:p>
        </w:tc>
        <w:tc>
          <w:tcPr>
            <w:tcW w:w="2281" w:type="dxa"/>
          </w:tcPr>
          <w:p w:rsidR="00D731DA">
            <w:pPr>
              <w:spacing w:line="440" w:lineRule="exact"/>
              <w:jc w:val="center"/>
              <w:rPr>
                <w:rFonts w:ascii="宋体" w:hint="eastAsia"/>
                <w:sz w:val="21"/>
              </w:rPr>
            </w:pPr>
            <w:r>
              <w:rPr>
                <w:rFonts w:ascii="宋体" w:hint="eastAsia"/>
                <w:sz w:val="21"/>
              </w:rPr>
              <w:t>国际大型</w:t>
            </w:r>
          </w:p>
        </w:tc>
        <w:tc>
          <w:tcPr>
            <w:tcW w:w="1568" w:type="dxa"/>
          </w:tcPr>
          <w:p w:rsidR="00D731DA">
            <w:pPr>
              <w:spacing w:line="440" w:lineRule="exact"/>
              <w:jc w:val="center"/>
              <w:rPr>
                <w:rFonts w:ascii="宋体" w:hint="eastAsia"/>
                <w:sz w:val="21"/>
              </w:rPr>
            </w:pPr>
            <w:r>
              <w:rPr>
                <w:rFonts w:ascii="宋体" w:hint="eastAsia"/>
                <w:sz w:val="21"/>
              </w:rPr>
              <w:t>弱</w:t>
            </w:r>
          </w:p>
        </w:tc>
      </w:tr>
      <w:tr>
        <w:tblPrEx>
          <w:tblW w:w="0" w:type="auto"/>
          <w:tblInd w:w="423" w:type="dxa"/>
          <w:tblLayout w:type="fixed"/>
          <w:tblLook w:val="0000"/>
        </w:tblPrEx>
        <w:trPr>
          <w:cantSplit/>
        </w:trPr>
        <w:tc>
          <w:tcPr>
            <w:tcW w:w="1701" w:type="dxa"/>
          </w:tcPr>
          <w:p w:rsidR="00D731DA">
            <w:pPr>
              <w:spacing w:line="440" w:lineRule="exact"/>
              <w:rPr>
                <w:rFonts w:ascii="宋体" w:hint="eastAsia"/>
                <w:sz w:val="21"/>
              </w:rPr>
            </w:pPr>
            <w:r>
              <w:rPr>
                <w:rFonts w:ascii="宋体" w:hint="eastAsia"/>
                <w:sz w:val="21"/>
              </w:rPr>
              <w:t>企业赢利能力</w:t>
            </w:r>
          </w:p>
        </w:tc>
        <w:tc>
          <w:tcPr>
            <w:tcW w:w="2156" w:type="dxa"/>
          </w:tcPr>
          <w:p w:rsidR="00D731DA">
            <w:pPr>
              <w:spacing w:line="440" w:lineRule="exact"/>
              <w:jc w:val="center"/>
              <w:rPr>
                <w:rFonts w:ascii="宋体" w:hint="eastAsia"/>
                <w:sz w:val="21"/>
              </w:rPr>
            </w:pPr>
            <w:r>
              <w:rPr>
                <w:rFonts w:ascii="宋体" w:hint="eastAsia"/>
                <w:sz w:val="21"/>
              </w:rPr>
              <w:t>高赢利能力</w:t>
            </w:r>
          </w:p>
        </w:tc>
        <w:tc>
          <w:tcPr>
            <w:tcW w:w="2281" w:type="dxa"/>
          </w:tcPr>
          <w:p w:rsidR="00D731DA">
            <w:pPr>
              <w:spacing w:line="440" w:lineRule="exact"/>
              <w:jc w:val="center"/>
              <w:rPr>
                <w:rFonts w:ascii="宋体" w:hint="eastAsia"/>
                <w:sz w:val="21"/>
              </w:rPr>
            </w:pPr>
            <w:r>
              <w:rPr>
                <w:rFonts w:ascii="宋体" w:hint="eastAsia"/>
                <w:sz w:val="21"/>
              </w:rPr>
              <w:t>高赢利能力</w:t>
            </w:r>
          </w:p>
        </w:tc>
        <w:tc>
          <w:tcPr>
            <w:tcW w:w="1568" w:type="dxa"/>
          </w:tcPr>
          <w:p w:rsidR="00D731DA">
            <w:pPr>
              <w:spacing w:line="440" w:lineRule="exact"/>
              <w:jc w:val="center"/>
              <w:rPr>
                <w:rFonts w:ascii="宋体" w:hint="eastAsia"/>
                <w:sz w:val="21"/>
              </w:rPr>
            </w:pPr>
            <w:r>
              <w:rPr>
                <w:rFonts w:ascii="宋体" w:hint="eastAsia"/>
                <w:sz w:val="21"/>
              </w:rPr>
              <w:t>一致〔强〕</w:t>
            </w:r>
          </w:p>
        </w:tc>
      </w:tr>
      <w:tr>
        <w:tblPrEx>
          <w:tblW w:w="0" w:type="auto"/>
          <w:tblInd w:w="423" w:type="dxa"/>
          <w:tblLayout w:type="fixed"/>
          <w:tblLook w:val="0000"/>
        </w:tblPrEx>
        <w:trPr>
          <w:cantSplit/>
        </w:trPr>
        <w:tc>
          <w:tcPr>
            <w:tcW w:w="1701" w:type="dxa"/>
          </w:tcPr>
          <w:p w:rsidR="00D731DA">
            <w:pPr>
              <w:spacing w:line="440" w:lineRule="exact"/>
              <w:rPr>
                <w:rFonts w:ascii="宋体" w:hint="eastAsia"/>
                <w:sz w:val="21"/>
              </w:rPr>
            </w:pPr>
            <w:r>
              <w:rPr>
                <w:rFonts w:ascii="宋体" w:hint="eastAsia"/>
                <w:sz w:val="21"/>
              </w:rPr>
              <w:t>企业开发能力</w:t>
            </w:r>
          </w:p>
        </w:tc>
        <w:tc>
          <w:tcPr>
            <w:tcW w:w="2156" w:type="dxa"/>
          </w:tcPr>
          <w:p w:rsidR="00D731DA">
            <w:pPr>
              <w:spacing w:line="440" w:lineRule="exact"/>
              <w:jc w:val="center"/>
              <w:rPr>
                <w:rFonts w:ascii="宋体" w:hint="eastAsia"/>
                <w:sz w:val="21"/>
              </w:rPr>
            </w:pPr>
            <w:r>
              <w:rPr>
                <w:rFonts w:ascii="宋体" w:hint="eastAsia"/>
                <w:sz w:val="21"/>
              </w:rPr>
              <w:t>国内领先</w:t>
            </w:r>
          </w:p>
        </w:tc>
        <w:tc>
          <w:tcPr>
            <w:tcW w:w="2281" w:type="dxa"/>
          </w:tcPr>
          <w:p w:rsidR="00D731DA">
            <w:pPr>
              <w:spacing w:line="440" w:lineRule="exact"/>
              <w:jc w:val="center"/>
              <w:rPr>
                <w:rFonts w:ascii="宋体" w:hint="eastAsia"/>
                <w:sz w:val="21"/>
              </w:rPr>
            </w:pPr>
            <w:r>
              <w:rPr>
                <w:rFonts w:ascii="宋体" w:hint="eastAsia"/>
                <w:sz w:val="21"/>
              </w:rPr>
              <w:t>高投入、多产出</w:t>
            </w:r>
          </w:p>
        </w:tc>
        <w:tc>
          <w:tcPr>
            <w:tcW w:w="1568" w:type="dxa"/>
          </w:tcPr>
          <w:p w:rsidR="00D731DA">
            <w:pPr>
              <w:spacing w:line="440" w:lineRule="exact"/>
              <w:jc w:val="center"/>
              <w:rPr>
                <w:rFonts w:ascii="宋体" w:hint="eastAsia"/>
                <w:sz w:val="21"/>
              </w:rPr>
            </w:pPr>
            <w:r>
              <w:rPr>
                <w:rFonts w:ascii="宋体" w:hint="eastAsia"/>
                <w:sz w:val="21"/>
              </w:rPr>
              <w:t>弱</w:t>
            </w:r>
          </w:p>
        </w:tc>
      </w:tr>
      <w:tr>
        <w:tblPrEx>
          <w:tblW w:w="0" w:type="auto"/>
          <w:tblInd w:w="423" w:type="dxa"/>
          <w:tblLayout w:type="fixed"/>
          <w:tblLook w:val="0000"/>
        </w:tblPrEx>
        <w:trPr>
          <w:cantSplit/>
        </w:trPr>
        <w:tc>
          <w:tcPr>
            <w:tcW w:w="1701" w:type="dxa"/>
          </w:tcPr>
          <w:p w:rsidR="00D731DA">
            <w:pPr>
              <w:spacing w:line="440" w:lineRule="exact"/>
              <w:rPr>
                <w:rFonts w:ascii="宋体" w:hint="eastAsia"/>
                <w:sz w:val="21"/>
              </w:rPr>
            </w:pPr>
            <w:r>
              <w:rPr>
                <w:rFonts w:ascii="宋体" w:hint="eastAsia"/>
                <w:sz w:val="21"/>
              </w:rPr>
              <w:t>核心产业奉献度</w:t>
            </w:r>
          </w:p>
        </w:tc>
        <w:tc>
          <w:tcPr>
            <w:tcW w:w="2156" w:type="dxa"/>
          </w:tcPr>
          <w:p w:rsidR="00D731DA">
            <w:pPr>
              <w:spacing w:line="440" w:lineRule="exact"/>
              <w:jc w:val="center"/>
              <w:rPr>
                <w:rFonts w:ascii="宋体" w:hint="eastAsia"/>
                <w:sz w:val="21"/>
              </w:rPr>
            </w:pPr>
            <w:r>
              <w:rPr>
                <w:rFonts w:ascii="宋体" w:hint="eastAsia"/>
                <w:sz w:val="21"/>
              </w:rPr>
              <w:t>很高</w:t>
            </w:r>
          </w:p>
        </w:tc>
        <w:tc>
          <w:tcPr>
            <w:tcW w:w="2281" w:type="dxa"/>
          </w:tcPr>
          <w:p w:rsidR="00D731DA">
            <w:pPr>
              <w:spacing w:line="440" w:lineRule="exact"/>
              <w:jc w:val="center"/>
              <w:rPr>
                <w:rFonts w:ascii="宋体" w:hint="eastAsia"/>
                <w:sz w:val="21"/>
              </w:rPr>
            </w:pPr>
            <w:r>
              <w:rPr>
                <w:rFonts w:ascii="宋体" w:hint="eastAsia"/>
                <w:sz w:val="21"/>
              </w:rPr>
              <w:t>高</w:t>
            </w:r>
          </w:p>
        </w:tc>
        <w:tc>
          <w:tcPr>
            <w:tcW w:w="1568" w:type="dxa"/>
          </w:tcPr>
          <w:p w:rsidR="00D731DA">
            <w:pPr>
              <w:spacing w:line="440" w:lineRule="exact"/>
              <w:jc w:val="center"/>
              <w:rPr>
                <w:rFonts w:ascii="宋体" w:hint="eastAsia"/>
                <w:sz w:val="21"/>
              </w:rPr>
            </w:pPr>
            <w:r>
              <w:rPr>
                <w:rFonts w:ascii="宋体" w:hint="eastAsia"/>
                <w:sz w:val="21"/>
              </w:rPr>
              <w:t>高</w:t>
            </w:r>
          </w:p>
        </w:tc>
      </w:tr>
      <w:tr>
        <w:tblPrEx>
          <w:tblW w:w="0" w:type="auto"/>
          <w:tblInd w:w="423" w:type="dxa"/>
          <w:tblLayout w:type="fixed"/>
          <w:tblLook w:val="0000"/>
        </w:tblPrEx>
        <w:trPr>
          <w:cantSplit/>
        </w:trPr>
        <w:tc>
          <w:tcPr>
            <w:tcW w:w="1701" w:type="dxa"/>
          </w:tcPr>
          <w:p w:rsidR="00D731DA">
            <w:pPr>
              <w:spacing w:line="440" w:lineRule="exact"/>
              <w:rPr>
                <w:rFonts w:ascii="宋体" w:hint="eastAsia"/>
                <w:sz w:val="21"/>
              </w:rPr>
            </w:pPr>
            <w:r>
              <w:rPr>
                <w:rFonts w:ascii="宋体" w:hint="eastAsia"/>
                <w:sz w:val="21"/>
              </w:rPr>
              <w:t>员工素质</w:t>
            </w:r>
          </w:p>
        </w:tc>
        <w:tc>
          <w:tcPr>
            <w:tcW w:w="2156" w:type="dxa"/>
          </w:tcPr>
          <w:p w:rsidR="00D731DA">
            <w:pPr>
              <w:spacing w:line="440" w:lineRule="exact"/>
              <w:jc w:val="center"/>
              <w:rPr>
                <w:rFonts w:ascii="宋体" w:hint="eastAsia"/>
                <w:sz w:val="21"/>
              </w:rPr>
            </w:pPr>
            <w:r>
              <w:rPr>
                <w:rFonts w:ascii="宋体" w:hint="eastAsia"/>
                <w:sz w:val="21"/>
              </w:rPr>
              <w:t>国内有优势</w:t>
            </w:r>
          </w:p>
        </w:tc>
        <w:tc>
          <w:tcPr>
            <w:tcW w:w="2281" w:type="dxa"/>
          </w:tcPr>
          <w:p w:rsidR="00D731DA">
            <w:pPr>
              <w:spacing w:line="440" w:lineRule="exact"/>
              <w:jc w:val="center"/>
              <w:rPr>
                <w:rFonts w:ascii="宋体" w:hint="eastAsia"/>
                <w:sz w:val="21"/>
              </w:rPr>
            </w:pPr>
            <w:r>
              <w:rPr>
                <w:rFonts w:ascii="宋体" w:hint="eastAsia"/>
                <w:sz w:val="21"/>
              </w:rPr>
              <w:t>高素质</w:t>
            </w:r>
          </w:p>
        </w:tc>
        <w:tc>
          <w:tcPr>
            <w:tcW w:w="1568" w:type="dxa"/>
          </w:tcPr>
          <w:p w:rsidR="00D731DA">
            <w:pPr>
              <w:spacing w:line="440" w:lineRule="exact"/>
              <w:jc w:val="center"/>
              <w:rPr>
                <w:rFonts w:ascii="宋体" w:hint="eastAsia"/>
                <w:sz w:val="21"/>
              </w:rPr>
            </w:pPr>
            <w:r>
              <w:rPr>
                <w:rFonts w:ascii="宋体" w:hint="eastAsia"/>
                <w:sz w:val="21"/>
              </w:rPr>
              <w:t>弱</w:t>
            </w:r>
          </w:p>
        </w:tc>
      </w:tr>
    </w:tbl>
    <w:p w:rsidR="00D731DA">
      <w:pPr>
        <w:spacing w:before="480" w:after="240" w:line="440" w:lineRule="exact"/>
        <w:ind w:left="425" w:firstLine="425"/>
        <w:outlineLvl w:val="0"/>
        <w:rPr>
          <w:rFonts w:ascii="宋体"/>
          <w:b/>
        </w:rPr>
      </w:pPr>
      <w:r>
        <w:rPr>
          <w:rFonts w:ascii="宋体" w:hint="eastAsia"/>
          <w:b/>
        </w:rPr>
        <w:t>表3-2  公司和跨国公司在天然植物药方面的差异</w:t>
      </w:r>
    </w:p>
    <w:tbl>
      <w:tblPr>
        <w:tblStyle w:val="TableNormal"/>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94"/>
        <w:gridCol w:w="2156"/>
        <w:gridCol w:w="2127"/>
        <w:gridCol w:w="1722"/>
      </w:tblGrid>
      <w:tr>
        <w:tblPrEx>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1694" w:type="dxa"/>
            <w:vMerge w:val="restart"/>
          </w:tcPr>
          <w:p w:rsidR="00D731DA">
            <w:pPr>
              <w:spacing w:line="440" w:lineRule="exact"/>
              <w:ind w:firstLine="425"/>
              <w:rPr>
                <w:rFonts w:ascii="宋体" w:hint="eastAsia"/>
                <w:sz w:val="21"/>
              </w:rPr>
            </w:pPr>
          </w:p>
        </w:tc>
        <w:tc>
          <w:tcPr>
            <w:tcW w:w="4283" w:type="dxa"/>
            <w:gridSpan w:val="2"/>
          </w:tcPr>
          <w:p w:rsidR="00D731DA">
            <w:pPr>
              <w:spacing w:line="440" w:lineRule="exact"/>
              <w:ind w:firstLine="425"/>
              <w:rPr>
                <w:rFonts w:ascii="宋体" w:hint="eastAsia"/>
                <w:sz w:val="21"/>
              </w:rPr>
            </w:pPr>
            <w:r>
              <w:rPr>
                <w:rFonts w:ascii="宋体" w:hint="eastAsia"/>
                <w:sz w:val="21"/>
              </w:rPr>
              <w:t xml:space="preserve">           企业特征</w:t>
            </w:r>
          </w:p>
        </w:tc>
        <w:tc>
          <w:tcPr>
            <w:tcW w:w="1722" w:type="dxa"/>
            <w:vMerge w:val="restart"/>
            <w:vAlign w:val="center"/>
          </w:tcPr>
          <w:p w:rsidR="00D731DA">
            <w:pPr>
              <w:spacing w:line="440" w:lineRule="exact"/>
              <w:ind w:firstLine="425"/>
              <w:jc w:val="center"/>
              <w:rPr>
                <w:rFonts w:ascii="宋体" w:hint="eastAsia"/>
                <w:sz w:val="21"/>
              </w:rPr>
            </w:pPr>
            <w:r>
              <w:rPr>
                <w:rFonts w:ascii="宋体" w:hint="eastAsia"/>
                <w:sz w:val="21"/>
              </w:rPr>
              <w:t>差异</w:t>
            </w:r>
          </w:p>
        </w:tc>
      </w:tr>
      <w:tr>
        <w:tblPrEx>
          <w:tblW w:w="0" w:type="auto"/>
          <w:tblInd w:w="430" w:type="dxa"/>
          <w:tblLayout w:type="fixed"/>
          <w:tblLook w:val="0000"/>
        </w:tblPrEx>
        <w:trPr>
          <w:cantSplit/>
        </w:trPr>
        <w:tc>
          <w:tcPr>
            <w:tcW w:w="1694" w:type="dxa"/>
            <w:vMerge/>
          </w:tcPr>
          <w:p w:rsidR="00D731DA">
            <w:pPr>
              <w:spacing w:line="440" w:lineRule="exact"/>
              <w:ind w:firstLine="425"/>
              <w:rPr>
                <w:rFonts w:ascii="宋体" w:hint="eastAsia"/>
                <w:sz w:val="21"/>
              </w:rPr>
            </w:pPr>
          </w:p>
        </w:tc>
        <w:tc>
          <w:tcPr>
            <w:tcW w:w="2156" w:type="dxa"/>
          </w:tcPr>
          <w:p w:rsidR="00D731DA">
            <w:pPr>
              <w:spacing w:line="440" w:lineRule="exact"/>
              <w:jc w:val="center"/>
              <w:rPr>
                <w:rFonts w:ascii="宋体" w:hint="eastAsia"/>
                <w:sz w:val="21"/>
              </w:rPr>
            </w:pPr>
            <w:r>
              <w:rPr>
                <w:rFonts w:ascii="宋体" w:hint="eastAsia"/>
                <w:sz w:val="21"/>
              </w:rPr>
              <w:t>天士力</w:t>
            </w:r>
          </w:p>
        </w:tc>
        <w:tc>
          <w:tcPr>
            <w:tcW w:w="2127" w:type="dxa"/>
          </w:tcPr>
          <w:p w:rsidR="00D731DA">
            <w:pPr>
              <w:spacing w:line="440" w:lineRule="exact"/>
              <w:jc w:val="center"/>
              <w:rPr>
                <w:rFonts w:ascii="宋体" w:hint="eastAsia"/>
                <w:sz w:val="21"/>
              </w:rPr>
            </w:pPr>
            <w:r>
              <w:rPr>
                <w:rFonts w:ascii="宋体" w:hint="eastAsia"/>
                <w:sz w:val="21"/>
              </w:rPr>
              <w:t>跨国公司</w:t>
            </w:r>
          </w:p>
        </w:tc>
        <w:tc>
          <w:tcPr>
            <w:tcW w:w="1722" w:type="dxa"/>
            <w:vMerge/>
          </w:tcPr>
          <w:p w:rsidR="00D731DA">
            <w:pPr>
              <w:spacing w:line="440" w:lineRule="exact"/>
              <w:ind w:firstLine="425"/>
              <w:jc w:val="center"/>
              <w:rPr>
                <w:rFonts w:ascii="宋体" w:hint="eastAsia"/>
                <w:sz w:val="21"/>
              </w:rPr>
            </w:pPr>
          </w:p>
        </w:tc>
      </w:tr>
      <w:tr>
        <w:tblPrEx>
          <w:tblW w:w="0" w:type="auto"/>
          <w:tblInd w:w="430" w:type="dxa"/>
          <w:tblLayout w:type="fixed"/>
          <w:tblLook w:val="0000"/>
        </w:tblPrEx>
        <w:trPr>
          <w:cantSplit/>
        </w:trPr>
        <w:tc>
          <w:tcPr>
            <w:tcW w:w="1694" w:type="dxa"/>
          </w:tcPr>
          <w:p w:rsidR="00D731DA">
            <w:pPr>
              <w:spacing w:line="440" w:lineRule="exact"/>
              <w:rPr>
                <w:rFonts w:ascii="宋体" w:hint="eastAsia"/>
                <w:sz w:val="21"/>
              </w:rPr>
            </w:pPr>
            <w:r>
              <w:rPr>
                <w:rFonts w:ascii="宋体" w:hint="eastAsia"/>
                <w:sz w:val="21"/>
              </w:rPr>
              <w:t>研发思维方式</w:t>
            </w:r>
          </w:p>
        </w:tc>
        <w:tc>
          <w:tcPr>
            <w:tcW w:w="2156" w:type="dxa"/>
          </w:tcPr>
          <w:p w:rsidR="00D731DA">
            <w:pPr>
              <w:spacing w:line="440" w:lineRule="exact"/>
              <w:jc w:val="center"/>
              <w:rPr>
                <w:rFonts w:ascii="宋体" w:hint="eastAsia"/>
                <w:sz w:val="21"/>
              </w:rPr>
            </w:pPr>
            <w:r>
              <w:rPr>
                <w:rFonts w:ascii="宋体" w:hint="eastAsia"/>
                <w:sz w:val="21"/>
              </w:rPr>
              <w:t>中医系统理论指导</w:t>
            </w:r>
          </w:p>
        </w:tc>
        <w:tc>
          <w:tcPr>
            <w:tcW w:w="2127" w:type="dxa"/>
          </w:tcPr>
          <w:p w:rsidR="00D731DA">
            <w:pPr>
              <w:spacing w:line="440" w:lineRule="exact"/>
              <w:jc w:val="center"/>
              <w:rPr>
                <w:rFonts w:ascii="宋体" w:hint="eastAsia"/>
                <w:sz w:val="21"/>
              </w:rPr>
            </w:pPr>
            <w:r>
              <w:rPr>
                <w:rFonts w:ascii="宋体" w:hint="eastAsia"/>
                <w:sz w:val="21"/>
              </w:rPr>
              <w:t>化学药品研发思维</w:t>
            </w:r>
          </w:p>
        </w:tc>
        <w:tc>
          <w:tcPr>
            <w:tcW w:w="1722" w:type="dxa"/>
          </w:tcPr>
          <w:p w:rsidR="00D731DA">
            <w:pPr>
              <w:spacing w:line="440" w:lineRule="exact"/>
              <w:jc w:val="center"/>
              <w:rPr>
                <w:rFonts w:ascii="宋体" w:hint="eastAsia"/>
                <w:sz w:val="21"/>
              </w:rPr>
            </w:pPr>
            <w:r>
              <w:rPr>
                <w:rFonts w:ascii="宋体" w:hint="eastAsia"/>
                <w:sz w:val="21"/>
              </w:rPr>
              <w:t>强</w:t>
            </w:r>
          </w:p>
        </w:tc>
      </w:tr>
      <w:tr>
        <w:tblPrEx>
          <w:tblW w:w="0" w:type="auto"/>
          <w:tblInd w:w="430" w:type="dxa"/>
          <w:tblLayout w:type="fixed"/>
          <w:tblLook w:val="0000"/>
        </w:tblPrEx>
        <w:trPr>
          <w:cantSplit/>
        </w:trPr>
        <w:tc>
          <w:tcPr>
            <w:tcW w:w="1694" w:type="dxa"/>
          </w:tcPr>
          <w:p w:rsidR="00D731DA">
            <w:pPr>
              <w:spacing w:line="440" w:lineRule="exact"/>
              <w:rPr>
                <w:rFonts w:ascii="宋体" w:hint="eastAsia"/>
                <w:sz w:val="21"/>
              </w:rPr>
            </w:pPr>
            <w:r>
              <w:rPr>
                <w:rFonts w:ascii="宋体" w:hint="eastAsia"/>
                <w:sz w:val="21"/>
              </w:rPr>
              <w:t>在产业中的地位</w:t>
            </w:r>
          </w:p>
        </w:tc>
        <w:tc>
          <w:tcPr>
            <w:tcW w:w="2156" w:type="dxa"/>
          </w:tcPr>
          <w:p w:rsidR="00D731DA">
            <w:pPr>
              <w:spacing w:line="440" w:lineRule="exact"/>
              <w:jc w:val="center"/>
              <w:rPr>
                <w:rFonts w:ascii="宋体" w:hint="eastAsia"/>
                <w:sz w:val="21"/>
              </w:rPr>
            </w:pPr>
            <w:r>
              <w:rPr>
                <w:rFonts w:ascii="宋体" w:hint="eastAsia"/>
                <w:sz w:val="21"/>
              </w:rPr>
              <w:t>中心</w:t>
            </w:r>
          </w:p>
        </w:tc>
        <w:tc>
          <w:tcPr>
            <w:tcW w:w="2127" w:type="dxa"/>
          </w:tcPr>
          <w:p w:rsidR="00D731DA">
            <w:pPr>
              <w:spacing w:line="440" w:lineRule="exact"/>
              <w:jc w:val="center"/>
              <w:rPr>
                <w:rFonts w:ascii="宋体" w:hint="eastAsia"/>
                <w:sz w:val="21"/>
              </w:rPr>
            </w:pPr>
            <w:r>
              <w:rPr>
                <w:rFonts w:ascii="宋体" w:hint="eastAsia"/>
                <w:sz w:val="21"/>
              </w:rPr>
              <w:t>着力开展</w:t>
            </w:r>
          </w:p>
        </w:tc>
        <w:tc>
          <w:tcPr>
            <w:tcW w:w="1722" w:type="dxa"/>
          </w:tcPr>
          <w:p w:rsidR="00D731DA">
            <w:pPr>
              <w:spacing w:line="440" w:lineRule="exact"/>
              <w:jc w:val="center"/>
              <w:rPr>
                <w:rFonts w:ascii="宋体" w:hint="eastAsia"/>
                <w:sz w:val="21"/>
              </w:rPr>
            </w:pPr>
            <w:r>
              <w:rPr>
                <w:rFonts w:ascii="宋体" w:hint="eastAsia"/>
                <w:sz w:val="21"/>
              </w:rPr>
              <w:t>强</w:t>
            </w:r>
          </w:p>
        </w:tc>
      </w:tr>
      <w:tr>
        <w:tblPrEx>
          <w:tblW w:w="0" w:type="auto"/>
          <w:tblInd w:w="430" w:type="dxa"/>
          <w:tblLayout w:type="fixed"/>
          <w:tblLook w:val="0000"/>
        </w:tblPrEx>
        <w:trPr>
          <w:cantSplit/>
        </w:trPr>
        <w:tc>
          <w:tcPr>
            <w:tcW w:w="1694" w:type="dxa"/>
          </w:tcPr>
          <w:p w:rsidR="00D731DA">
            <w:pPr>
              <w:spacing w:line="440" w:lineRule="exact"/>
              <w:rPr>
                <w:rFonts w:ascii="宋体" w:hint="eastAsia"/>
                <w:sz w:val="21"/>
              </w:rPr>
            </w:pPr>
            <w:r>
              <w:rPr>
                <w:rFonts w:ascii="宋体" w:hint="eastAsia"/>
                <w:sz w:val="21"/>
              </w:rPr>
              <w:t>资金投入能力</w:t>
            </w:r>
          </w:p>
        </w:tc>
        <w:tc>
          <w:tcPr>
            <w:tcW w:w="2156" w:type="dxa"/>
          </w:tcPr>
          <w:p w:rsidR="00D731DA">
            <w:pPr>
              <w:spacing w:line="440" w:lineRule="exact"/>
              <w:jc w:val="center"/>
              <w:rPr>
                <w:rFonts w:ascii="宋体" w:hint="eastAsia"/>
                <w:sz w:val="21"/>
              </w:rPr>
            </w:pPr>
            <w:r>
              <w:rPr>
                <w:rFonts w:ascii="宋体" w:hint="eastAsia"/>
                <w:sz w:val="21"/>
              </w:rPr>
              <w:t>国内较强</w:t>
            </w:r>
          </w:p>
        </w:tc>
        <w:tc>
          <w:tcPr>
            <w:tcW w:w="2127" w:type="dxa"/>
          </w:tcPr>
          <w:p w:rsidR="00D731DA">
            <w:pPr>
              <w:spacing w:line="440" w:lineRule="exact"/>
              <w:jc w:val="center"/>
              <w:rPr>
                <w:rFonts w:ascii="宋体" w:hint="eastAsia"/>
                <w:sz w:val="21"/>
              </w:rPr>
            </w:pPr>
            <w:r>
              <w:rPr>
                <w:rFonts w:ascii="宋体" w:hint="eastAsia"/>
                <w:sz w:val="21"/>
              </w:rPr>
              <w:t>强</w:t>
            </w:r>
          </w:p>
        </w:tc>
        <w:tc>
          <w:tcPr>
            <w:tcW w:w="1722" w:type="dxa"/>
          </w:tcPr>
          <w:p w:rsidR="00D731DA">
            <w:pPr>
              <w:spacing w:line="440" w:lineRule="exact"/>
              <w:jc w:val="center"/>
              <w:rPr>
                <w:rFonts w:ascii="宋体" w:hint="eastAsia"/>
                <w:sz w:val="21"/>
              </w:rPr>
            </w:pPr>
            <w:r>
              <w:rPr>
                <w:rFonts w:ascii="宋体" w:hint="eastAsia"/>
                <w:sz w:val="21"/>
              </w:rPr>
              <w:t>弱</w:t>
            </w:r>
          </w:p>
        </w:tc>
      </w:tr>
      <w:tr>
        <w:tblPrEx>
          <w:tblW w:w="0" w:type="auto"/>
          <w:tblInd w:w="430" w:type="dxa"/>
          <w:tblLayout w:type="fixed"/>
          <w:tblLook w:val="0000"/>
        </w:tblPrEx>
        <w:trPr>
          <w:cantSplit/>
        </w:trPr>
        <w:tc>
          <w:tcPr>
            <w:tcW w:w="1694" w:type="dxa"/>
          </w:tcPr>
          <w:p w:rsidR="00D731DA">
            <w:pPr>
              <w:spacing w:line="440" w:lineRule="exact"/>
              <w:rPr>
                <w:rFonts w:ascii="宋体" w:hint="eastAsia"/>
                <w:sz w:val="21"/>
              </w:rPr>
            </w:pPr>
            <w:r>
              <w:rPr>
                <w:rFonts w:ascii="宋体" w:hint="eastAsia"/>
                <w:sz w:val="21"/>
              </w:rPr>
              <w:t>人才资源</w:t>
            </w:r>
          </w:p>
        </w:tc>
        <w:tc>
          <w:tcPr>
            <w:tcW w:w="2156" w:type="dxa"/>
          </w:tcPr>
          <w:p w:rsidR="00D731DA">
            <w:pPr>
              <w:spacing w:line="440" w:lineRule="exact"/>
              <w:jc w:val="center"/>
              <w:rPr>
                <w:rFonts w:ascii="宋体" w:hint="eastAsia"/>
                <w:sz w:val="21"/>
              </w:rPr>
            </w:pPr>
            <w:r>
              <w:rPr>
                <w:rFonts w:ascii="宋体" w:hint="eastAsia"/>
                <w:sz w:val="21"/>
              </w:rPr>
              <w:t>满足企业目前需求</w:t>
            </w:r>
          </w:p>
        </w:tc>
        <w:tc>
          <w:tcPr>
            <w:tcW w:w="2127" w:type="dxa"/>
          </w:tcPr>
          <w:p w:rsidR="00D731DA">
            <w:pPr>
              <w:spacing w:line="440" w:lineRule="exact"/>
              <w:jc w:val="center"/>
              <w:rPr>
                <w:rFonts w:ascii="宋体" w:hint="eastAsia"/>
                <w:sz w:val="21"/>
              </w:rPr>
            </w:pPr>
            <w:r>
              <w:rPr>
                <w:rFonts w:ascii="宋体" w:hint="eastAsia"/>
                <w:sz w:val="21"/>
              </w:rPr>
              <w:t>缺乏</w:t>
            </w:r>
          </w:p>
        </w:tc>
        <w:tc>
          <w:tcPr>
            <w:tcW w:w="1722" w:type="dxa"/>
          </w:tcPr>
          <w:p w:rsidR="00D731DA">
            <w:pPr>
              <w:spacing w:line="440" w:lineRule="exact"/>
              <w:jc w:val="center"/>
              <w:rPr>
                <w:rFonts w:ascii="宋体" w:hint="eastAsia"/>
                <w:sz w:val="21"/>
              </w:rPr>
            </w:pPr>
            <w:r>
              <w:rPr>
                <w:rFonts w:ascii="宋体" w:hint="eastAsia"/>
                <w:sz w:val="21"/>
              </w:rPr>
              <w:t>短期强，长期弱</w:t>
            </w:r>
          </w:p>
        </w:tc>
      </w:tr>
      <w:tr>
        <w:tblPrEx>
          <w:tblW w:w="0" w:type="auto"/>
          <w:tblInd w:w="430" w:type="dxa"/>
          <w:tblLayout w:type="fixed"/>
          <w:tblLook w:val="0000"/>
        </w:tblPrEx>
        <w:trPr>
          <w:cantSplit/>
        </w:trPr>
        <w:tc>
          <w:tcPr>
            <w:tcW w:w="1694" w:type="dxa"/>
          </w:tcPr>
          <w:p w:rsidR="00D731DA">
            <w:pPr>
              <w:spacing w:line="440" w:lineRule="exact"/>
              <w:rPr>
                <w:rFonts w:ascii="宋体" w:hint="eastAsia"/>
                <w:sz w:val="21"/>
              </w:rPr>
            </w:pPr>
            <w:r>
              <w:rPr>
                <w:rFonts w:ascii="宋体" w:hint="eastAsia"/>
                <w:sz w:val="21"/>
              </w:rPr>
              <w:t>产业硬件根底</w:t>
            </w:r>
          </w:p>
        </w:tc>
        <w:tc>
          <w:tcPr>
            <w:tcW w:w="2156" w:type="dxa"/>
          </w:tcPr>
          <w:p w:rsidR="00D731DA">
            <w:pPr>
              <w:spacing w:line="440" w:lineRule="exact"/>
              <w:jc w:val="center"/>
              <w:rPr>
                <w:rFonts w:ascii="宋体" w:hint="eastAsia"/>
                <w:sz w:val="21"/>
              </w:rPr>
            </w:pPr>
            <w:r>
              <w:rPr>
                <w:rFonts w:ascii="宋体" w:hint="eastAsia"/>
                <w:sz w:val="21"/>
              </w:rPr>
              <w:t>充足</w:t>
            </w:r>
          </w:p>
        </w:tc>
        <w:tc>
          <w:tcPr>
            <w:tcW w:w="2127" w:type="dxa"/>
          </w:tcPr>
          <w:p w:rsidR="00D731DA">
            <w:pPr>
              <w:spacing w:line="440" w:lineRule="exact"/>
              <w:jc w:val="center"/>
              <w:rPr>
                <w:rFonts w:ascii="宋体" w:hint="eastAsia"/>
                <w:sz w:val="21"/>
              </w:rPr>
            </w:pPr>
            <w:r>
              <w:rPr>
                <w:rFonts w:ascii="宋体" w:hint="eastAsia"/>
                <w:sz w:val="21"/>
              </w:rPr>
              <w:t>短期内缺乏</w:t>
            </w:r>
          </w:p>
        </w:tc>
        <w:tc>
          <w:tcPr>
            <w:tcW w:w="1722" w:type="dxa"/>
          </w:tcPr>
          <w:p w:rsidR="00D731DA">
            <w:pPr>
              <w:spacing w:line="440" w:lineRule="exact"/>
              <w:jc w:val="center"/>
              <w:rPr>
                <w:rFonts w:ascii="宋体" w:hint="eastAsia"/>
                <w:sz w:val="21"/>
              </w:rPr>
            </w:pPr>
            <w:r>
              <w:rPr>
                <w:rFonts w:ascii="宋体" w:hint="eastAsia"/>
                <w:sz w:val="21"/>
              </w:rPr>
              <w:t>强</w:t>
            </w:r>
          </w:p>
        </w:tc>
      </w:tr>
      <w:tr>
        <w:tblPrEx>
          <w:tblW w:w="0" w:type="auto"/>
          <w:tblInd w:w="430" w:type="dxa"/>
          <w:tblLayout w:type="fixed"/>
          <w:tblLook w:val="0000"/>
        </w:tblPrEx>
        <w:trPr>
          <w:cantSplit/>
        </w:trPr>
        <w:tc>
          <w:tcPr>
            <w:tcW w:w="1694" w:type="dxa"/>
          </w:tcPr>
          <w:p w:rsidR="00D731DA">
            <w:pPr>
              <w:spacing w:line="440" w:lineRule="exact"/>
              <w:rPr>
                <w:rFonts w:ascii="宋体" w:hint="eastAsia"/>
                <w:sz w:val="21"/>
              </w:rPr>
            </w:pPr>
            <w:r>
              <w:rPr>
                <w:rFonts w:ascii="宋体" w:hint="eastAsia"/>
                <w:sz w:val="21"/>
              </w:rPr>
              <w:t>技术储藏</w:t>
            </w:r>
          </w:p>
        </w:tc>
        <w:tc>
          <w:tcPr>
            <w:tcW w:w="2156" w:type="dxa"/>
          </w:tcPr>
          <w:p w:rsidR="00D731DA">
            <w:pPr>
              <w:spacing w:line="440" w:lineRule="exact"/>
              <w:jc w:val="center"/>
              <w:rPr>
                <w:rFonts w:ascii="宋体" w:hint="eastAsia"/>
                <w:sz w:val="21"/>
              </w:rPr>
            </w:pPr>
            <w:r>
              <w:rPr>
                <w:rFonts w:ascii="宋体" w:hint="eastAsia"/>
                <w:sz w:val="21"/>
              </w:rPr>
              <w:t>充足</w:t>
            </w:r>
          </w:p>
        </w:tc>
        <w:tc>
          <w:tcPr>
            <w:tcW w:w="2127" w:type="dxa"/>
          </w:tcPr>
          <w:p w:rsidR="00D731DA">
            <w:pPr>
              <w:spacing w:line="440" w:lineRule="exact"/>
              <w:jc w:val="center"/>
              <w:rPr>
                <w:rFonts w:ascii="宋体" w:hint="eastAsia"/>
                <w:sz w:val="21"/>
              </w:rPr>
            </w:pPr>
            <w:r>
              <w:rPr>
                <w:rFonts w:ascii="宋体" w:hint="eastAsia"/>
                <w:sz w:val="21"/>
              </w:rPr>
              <w:t>缺乏</w:t>
            </w:r>
          </w:p>
        </w:tc>
        <w:tc>
          <w:tcPr>
            <w:tcW w:w="1722" w:type="dxa"/>
          </w:tcPr>
          <w:p w:rsidR="00D731DA">
            <w:pPr>
              <w:spacing w:line="440" w:lineRule="exact"/>
              <w:jc w:val="center"/>
              <w:rPr>
                <w:rFonts w:ascii="宋体" w:hint="eastAsia"/>
                <w:sz w:val="21"/>
              </w:rPr>
            </w:pPr>
            <w:r>
              <w:rPr>
                <w:rFonts w:ascii="宋体" w:hint="eastAsia"/>
                <w:sz w:val="21"/>
              </w:rPr>
              <w:t>短期强，长期弱</w:t>
            </w:r>
          </w:p>
        </w:tc>
      </w:tr>
      <w:tr>
        <w:tblPrEx>
          <w:tblW w:w="0" w:type="auto"/>
          <w:tblInd w:w="430" w:type="dxa"/>
          <w:tblLayout w:type="fixed"/>
          <w:tblLook w:val="0000"/>
        </w:tblPrEx>
        <w:trPr>
          <w:cantSplit/>
        </w:trPr>
        <w:tc>
          <w:tcPr>
            <w:tcW w:w="1694" w:type="dxa"/>
          </w:tcPr>
          <w:p w:rsidR="00D731DA">
            <w:pPr>
              <w:spacing w:line="440" w:lineRule="exact"/>
              <w:rPr>
                <w:rFonts w:ascii="宋体" w:hint="eastAsia"/>
                <w:sz w:val="21"/>
              </w:rPr>
            </w:pPr>
            <w:r>
              <w:rPr>
                <w:rFonts w:ascii="宋体" w:hint="eastAsia"/>
                <w:sz w:val="21"/>
              </w:rPr>
              <w:t>资本经营能力</w:t>
            </w:r>
          </w:p>
        </w:tc>
        <w:tc>
          <w:tcPr>
            <w:tcW w:w="2156" w:type="dxa"/>
          </w:tcPr>
          <w:p w:rsidR="00D731DA">
            <w:pPr>
              <w:spacing w:line="440" w:lineRule="exact"/>
              <w:jc w:val="center"/>
              <w:rPr>
                <w:rFonts w:ascii="宋体" w:hint="eastAsia"/>
                <w:sz w:val="21"/>
              </w:rPr>
            </w:pPr>
            <w:r>
              <w:rPr>
                <w:rFonts w:ascii="宋体" w:hint="eastAsia"/>
                <w:sz w:val="21"/>
              </w:rPr>
              <w:t>弱</w:t>
            </w:r>
          </w:p>
        </w:tc>
        <w:tc>
          <w:tcPr>
            <w:tcW w:w="2127" w:type="dxa"/>
          </w:tcPr>
          <w:p w:rsidR="00D731DA">
            <w:pPr>
              <w:spacing w:line="440" w:lineRule="exact"/>
              <w:jc w:val="center"/>
              <w:rPr>
                <w:rFonts w:ascii="宋体" w:hint="eastAsia"/>
                <w:sz w:val="21"/>
              </w:rPr>
            </w:pPr>
            <w:r>
              <w:rPr>
                <w:rFonts w:ascii="宋体" w:hint="eastAsia"/>
                <w:sz w:val="21"/>
              </w:rPr>
              <w:t>强</w:t>
            </w:r>
          </w:p>
        </w:tc>
        <w:tc>
          <w:tcPr>
            <w:tcW w:w="1722" w:type="dxa"/>
          </w:tcPr>
          <w:p w:rsidR="00D731DA">
            <w:pPr>
              <w:spacing w:line="440" w:lineRule="exact"/>
              <w:jc w:val="center"/>
              <w:rPr>
                <w:rFonts w:ascii="宋体" w:hint="eastAsia"/>
                <w:sz w:val="21"/>
              </w:rPr>
            </w:pPr>
            <w:r>
              <w:rPr>
                <w:rFonts w:ascii="宋体" w:hint="eastAsia"/>
                <w:sz w:val="21"/>
              </w:rPr>
              <w:t>弱</w:t>
            </w:r>
          </w:p>
        </w:tc>
      </w:tr>
    </w:tbl>
    <w:p w:rsidR="00D731DA">
      <w:pPr>
        <w:spacing w:before="360" w:after="120" w:line="440" w:lineRule="exact"/>
        <w:ind w:firstLine="425"/>
        <w:outlineLvl w:val="0"/>
        <w:rPr>
          <w:rFonts w:ascii="楷体_GB2312" w:eastAsia="楷体_GB2312"/>
          <w:b/>
          <w:sz w:val="28"/>
        </w:rPr>
      </w:pPr>
      <w:r>
        <w:rPr>
          <w:rFonts w:ascii="楷体_GB2312" w:eastAsia="楷体_GB2312" w:hint="eastAsia"/>
          <w:b/>
          <w:sz w:val="28"/>
        </w:rPr>
        <w:t>〔三〕产品竞争</w:t>
      </w:r>
    </w:p>
    <w:p w:rsidR="00D731DA">
      <w:pPr>
        <w:spacing w:after="120" w:line="420" w:lineRule="exact"/>
        <w:ind w:firstLine="425"/>
        <w:outlineLvl w:val="0"/>
        <w:rPr>
          <w:rFonts w:ascii="宋体" w:hint="eastAsia"/>
          <w:color w:val="000000"/>
        </w:rPr>
      </w:pPr>
      <w:r>
        <w:rPr>
          <w:rFonts w:ascii="宋体" w:hint="eastAsia"/>
          <w:color w:val="000000"/>
        </w:rPr>
        <w:t>据有关统计，我国心血管类药品市场状况：</w:t>
      </w:r>
    </w:p>
    <w:p w:rsidR="00D731DA">
      <w:pPr>
        <w:spacing w:before="120" w:after="120" w:line="420" w:lineRule="exact"/>
        <w:ind w:left="425" w:firstLine="425"/>
        <w:outlineLvl w:val="0"/>
        <w:rPr>
          <w:rFonts w:ascii="宋体" w:hint="eastAsia"/>
          <w:b/>
          <w:color w:val="000000"/>
        </w:rPr>
      </w:pPr>
      <w:r>
        <w:rPr>
          <w:rFonts w:ascii="宋体" w:hint="eastAsia"/>
          <w:b/>
          <w:color w:val="000000"/>
        </w:rPr>
        <w:t>表3-3  我国心血管类药品市场状</w:t>
      </w:r>
    </w:p>
    <w:tbl>
      <w:tblPr>
        <w:tblStyle w:val="TableNormal"/>
        <w:tblW w:w="0" w:type="auto"/>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75"/>
        <w:gridCol w:w="2150"/>
        <w:gridCol w:w="2150"/>
        <w:gridCol w:w="2580"/>
      </w:tblGrid>
      <w:tr>
        <w:tblPrEx>
          <w:tblW w:w="0" w:type="auto"/>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75" w:type="dxa"/>
          </w:tcPr>
          <w:p w:rsidR="00D731DA">
            <w:pPr>
              <w:spacing w:line="360" w:lineRule="exact"/>
              <w:jc w:val="center"/>
              <w:rPr>
                <w:rFonts w:ascii="宋体"/>
                <w:color w:val="000000"/>
              </w:rPr>
            </w:pPr>
            <w:r>
              <w:rPr>
                <w:rFonts w:ascii="宋体" w:hint="eastAsia"/>
                <w:color w:val="000000"/>
              </w:rPr>
              <w:t>年 份</w:t>
            </w:r>
          </w:p>
        </w:tc>
        <w:tc>
          <w:tcPr>
            <w:tcW w:w="2150" w:type="dxa"/>
          </w:tcPr>
          <w:p w:rsidR="00D731DA">
            <w:pPr>
              <w:spacing w:line="360" w:lineRule="exact"/>
              <w:jc w:val="center"/>
              <w:rPr>
                <w:rFonts w:ascii="宋体"/>
                <w:color w:val="000000"/>
              </w:rPr>
            </w:pPr>
            <w:r>
              <w:rPr>
                <w:rFonts w:ascii="宋体" w:hint="eastAsia"/>
                <w:color w:val="000000"/>
              </w:rPr>
              <w:t>心血管类药品</w:t>
            </w:r>
          </w:p>
        </w:tc>
        <w:tc>
          <w:tcPr>
            <w:tcW w:w="2150" w:type="dxa"/>
          </w:tcPr>
          <w:p w:rsidR="00D731DA">
            <w:pPr>
              <w:spacing w:line="360" w:lineRule="exact"/>
              <w:jc w:val="center"/>
              <w:rPr>
                <w:rFonts w:ascii="宋体"/>
                <w:color w:val="000000"/>
              </w:rPr>
            </w:pPr>
            <w:r>
              <w:rPr>
                <w:rFonts w:ascii="宋体" w:hint="eastAsia"/>
                <w:color w:val="000000"/>
              </w:rPr>
              <w:t>复方丹参滴丸</w:t>
            </w:r>
          </w:p>
        </w:tc>
        <w:tc>
          <w:tcPr>
            <w:tcW w:w="2580" w:type="dxa"/>
          </w:tcPr>
          <w:p w:rsidR="00D731DA">
            <w:pPr>
              <w:spacing w:line="360" w:lineRule="exact"/>
              <w:jc w:val="center"/>
              <w:rPr>
                <w:rFonts w:ascii="宋体" w:hint="eastAsia"/>
                <w:color w:val="000000"/>
              </w:rPr>
            </w:pPr>
            <w:r>
              <w:rPr>
                <w:rFonts w:ascii="宋体" w:hint="eastAsia"/>
                <w:color w:val="000000"/>
              </w:rPr>
              <w:t>所占市场份额%</w:t>
            </w:r>
          </w:p>
        </w:tc>
      </w:tr>
      <w:tr>
        <w:tblPrEx>
          <w:tblW w:w="0" w:type="auto"/>
          <w:tblInd w:w="323" w:type="dxa"/>
          <w:tblLayout w:type="fixed"/>
          <w:tblLook w:val="0000"/>
        </w:tblPrEx>
        <w:trPr>
          <w:trHeight w:val="437"/>
        </w:trPr>
        <w:tc>
          <w:tcPr>
            <w:tcW w:w="1075" w:type="dxa"/>
          </w:tcPr>
          <w:p w:rsidR="00D731DA">
            <w:pPr>
              <w:spacing w:line="360" w:lineRule="exact"/>
              <w:jc w:val="center"/>
              <w:rPr>
                <w:rFonts w:ascii="宋体"/>
                <w:b/>
                <w:color w:val="000000"/>
              </w:rPr>
            </w:pPr>
            <w:r>
              <w:rPr>
                <w:rFonts w:ascii="宋体"/>
                <w:b/>
                <w:color w:val="000000"/>
              </w:rPr>
              <w:t>1998</w:t>
            </w:r>
          </w:p>
        </w:tc>
        <w:tc>
          <w:tcPr>
            <w:tcW w:w="2150" w:type="dxa"/>
          </w:tcPr>
          <w:p w:rsidR="00D731DA">
            <w:pPr>
              <w:spacing w:line="360" w:lineRule="exact"/>
              <w:jc w:val="center"/>
              <w:rPr>
                <w:rFonts w:ascii="宋体" w:hint="eastAsia"/>
                <w:color w:val="000000"/>
              </w:rPr>
            </w:pPr>
            <w:r>
              <w:rPr>
                <w:rFonts w:ascii="宋体"/>
                <w:color w:val="000000"/>
              </w:rPr>
              <w:t>84.9</w:t>
            </w:r>
            <w:r>
              <w:rPr>
                <w:rFonts w:ascii="宋体" w:hint="eastAsia"/>
                <w:color w:val="000000"/>
              </w:rPr>
              <w:t>亿</w:t>
            </w:r>
          </w:p>
        </w:tc>
        <w:tc>
          <w:tcPr>
            <w:tcW w:w="2150" w:type="dxa"/>
          </w:tcPr>
          <w:p w:rsidR="00D731DA">
            <w:pPr>
              <w:spacing w:line="360" w:lineRule="exact"/>
              <w:jc w:val="center"/>
              <w:rPr>
                <w:rFonts w:ascii="宋体" w:hint="eastAsia"/>
                <w:color w:val="000000"/>
              </w:rPr>
            </w:pPr>
            <w:r>
              <w:rPr>
                <w:rFonts w:ascii="宋体"/>
                <w:color w:val="000000"/>
              </w:rPr>
              <w:t>2.2</w:t>
            </w:r>
            <w:r>
              <w:rPr>
                <w:rFonts w:ascii="宋体" w:hint="eastAsia"/>
                <w:color w:val="000000"/>
              </w:rPr>
              <w:t>亿</w:t>
            </w:r>
          </w:p>
        </w:tc>
        <w:tc>
          <w:tcPr>
            <w:tcW w:w="2580" w:type="dxa"/>
          </w:tcPr>
          <w:p w:rsidR="00D731DA">
            <w:pPr>
              <w:spacing w:line="360" w:lineRule="exact"/>
              <w:jc w:val="center"/>
              <w:rPr>
                <w:rFonts w:ascii="宋体" w:hint="eastAsia"/>
                <w:color w:val="000000"/>
              </w:rPr>
            </w:pPr>
            <w:r>
              <w:rPr>
                <w:rFonts w:ascii="宋体" w:hint="eastAsia"/>
                <w:color w:val="000000"/>
              </w:rPr>
              <w:t>2.59</w:t>
            </w:r>
          </w:p>
        </w:tc>
      </w:tr>
      <w:tr>
        <w:tblPrEx>
          <w:tblW w:w="0" w:type="auto"/>
          <w:tblInd w:w="323" w:type="dxa"/>
          <w:tblLayout w:type="fixed"/>
          <w:tblLook w:val="0000"/>
        </w:tblPrEx>
        <w:tc>
          <w:tcPr>
            <w:tcW w:w="1075" w:type="dxa"/>
          </w:tcPr>
          <w:p w:rsidR="00D731DA">
            <w:pPr>
              <w:spacing w:line="360" w:lineRule="exact"/>
              <w:jc w:val="center"/>
              <w:rPr>
                <w:rFonts w:ascii="宋体" w:hint="eastAsia"/>
                <w:b/>
                <w:color w:val="000000"/>
              </w:rPr>
            </w:pPr>
            <w:r>
              <w:rPr>
                <w:rFonts w:ascii="宋体"/>
                <w:b/>
                <w:color w:val="000000"/>
              </w:rPr>
              <w:t>1999</w:t>
            </w:r>
          </w:p>
        </w:tc>
        <w:tc>
          <w:tcPr>
            <w:tcW w:w="2150" w:type="dxa"/>
          </w:tcPr>
          <w:p w:rsidR="00D731DA">
            <w:pPr>
              <w:spacing w:line="360" w:lineRule="exact"/>
              <w:jc w:val="center"/>
              <w:rPr>
                <w:rFonts w:ascii="宋体" w:hint="eastAsia"/>
                <w:color w:val="000000"/>
              </w:rPr>
            </w:pPr>
            <w:r>
              <w:rPr>
                <w:rFonts w:ascii="宋体"/>
                <w:color w:val="000000"/>
              </w:rPr>
              <w:t>141</w:t>
            </w:r>
            <w:r>
              <w:rPr>
                <w:rFonts w:ascii="宋体" w:hint="eastAsia"/>
                <w:color w:val="000000"/>
              </w:rPr>
              <w:t>亿</w:t>
            </w:r>
          </w:p>
        </w:tc>
        <w:tc>
          <w:tcPr>
            <w:tcW w:w="2150" w:type="dxa"/>
          </w:tcPr>
          <w:p w:rsidR="00D731DA">
            <w:pPr>
              <w:spacing w:line="360" w:lineRule="exact"/>
              <w:jc w:val="center"/>
              <w:rPr>
                <w:rFonts w:ascii="宋体"/>
                <w:color w:val="000000"/>
              </w:rPr>
            </w:pPr>
            <w:r>
              <w:rPr>
                <w:rFonts w:ascii="宋体"/>
                <w:color w:val="000000"/>
              </w:rPr>
              <w:t>3.3</w:t>
            </w:r>
            <w:r>
              <w:rPr>
                <w:rFonts w:ascii="宋体" w:hint="eastAsia"/>
                <w:color w:val="000000"/>
              </w:rPr>
              <w:t>亿</w:t>
            </w:r>
          </w:p>
        </w:tc>
        <w:tc>
          <w:tcPr>
            <w:tcW w:w="2580" w:type="dxa"/>
          </w:tcPr>
          <w:p w:rsidR="00D731DA">
            <w:pPr>
              <w:spacing w:line="360" w:lineRule="exact"/>
              <w:jc w:val="center"/>
              <w:rPr>
                <w:rFonts w:ascii="宋体" w:hint="eastAsia"/>
                <w:color w:val="000000"/>
              </w:rPr>
            </w:pPr>
            <w:r>
              <w:rPr>
                <w:rFonts w:ascii="宋体" w:hint="eastAsia"/>
                <w:color w:val="000000"/>
              </w:rPr>
              <w:t>2.34</w:t>
            </w:r>
          </w:p>
        </w:tc>
      </w:tr>
      <w:tr>
        <w:tblPrEx>
          <w:tblW w:w="0" w:type="auto"/>
          <w:tblInd w:w="323" w:type="dxa"/>
          <w:tblLayout w:type="fixed"/>
          <w:tblLook w:val="0000"/>
        </w:tblPrEx>
        <w:tc>
          <w:tcPr>
            <w:tcW w:w="1075" w:type="dxa"/>
          </w:tcPr>
          <w:p w:rsidR="00D731DA">
            <w:pPr>
              <w:spacing w:line="360" w:lineRule="exact"/>
              <w:jc w:val="center"/>
              <w:rPr>
                <w:rFonts w:ascii="宋体"/>
                <w:b/>
                <w:color w:val="000000"/>
              </w:rPr>
            </w:pPr>
            <w:r>
              <w:rPr>
                <w:rFonts w:ascii="宋体"/>
                <w:b/>
                <w:color w:val="000000"/>
              </w:rPr>
              <w:t>2000</w:t>
            </w:r>
          </w:p>
        </w:tc>
        <w:tc>
          <w:tcPr>
            <w:tcW w:w="2150" w:type="dxa"/>
          </w:tcPr>
          <w:p w:rsidR="00D731DA">
            <w:pPr>
              <w:spacing w:line="360" w:lineRule="exact"/>
              <w:jc w:val="center"/>
              <w:rPr>
                <w:rFonts w:ascii="宋体"/>
                <w:color w:val="000000"/>
              </w:rPr>
            </w:pPr>
            <w:r>
              <w:rPr>
                <w:rFonts w:ascii="宋体"/>
                <w:color w:val="000000"/>
              </w:rPr>
              <w:t>193</w:t>
            </w:r>
            <w:r>
              <w:rPr>
                <w:rFonts w:ascii="宋体" w:hint="eastAsia"/>
                <w:color w:val="000000"/>
              </w:rPr>
              <w:t>亿</w:t>
            </w:r>
          </w:p>
        </w:tc>
        <w:tc>
          <w:tcPr>
            <w:tcW w:w="2150" w:type="dxa"/>
          </w:tcPr>
          <w:p w:rsidR="00D731DA">
            <w:pPr>
              <w:spacing w:line="360" w:lineRule="exact"/>
              <w:jc w:val="center"/>
              <w:rPr>
                <w:rFonts w:ascii="宋体"/>
                <w:color w:val="000000"/>
              </w:rPr>
            </w:pPr>
            <w:r>
              <w:rPr>
                <w:rFonts w:ascii="宋体"/>
                <w:color w:val="000000"/>
              </w:rPr>
              <w:t>5.2</w:t>
            </w:r>
            <w:r>
              <w:rPr>
                <w:rFonts w:ascii="宋体" w:hint="eastAsia"/>
                <w:color w:val="000000"/>
              </w:rPr>
              <w:t>亿</w:t>
            </w:r>
          </w:p>
        </w:tc>
        <w:tc>
          <w:tcPr>
            <w:tcW w:w="2580" w:type="dxa"/>
          </w:tcPr>
          <w:p w:rsidR="00D731DA">
            <w:pPr>
              <w:spacing w:line="360" w:lineRule="exact"/>
              <w:jc w:val="center"/>
              <w:rPr>
                <w:rFonts w:ascii="宋体" w:hint="eastAsia"/>
                <w:color w:val="000000"/>
              </w:rPr>
            </w:pPr>
            <w:r>
              <w:rPr>
                <w:rFonts w:ascii="宋体" w:hint="eastAsia"/>
                <w:color w:val="000000"/>
              </w:rPr>
              <w:t>2.69</w:t>
            </w:r>
          </w:p>
        </w:tc>
      </w:tr>
    </w:tbl>
    <w:p>
      <w:pPr>
        <w:sectPr>
          <w:type w:val="nextPage"/>
          <w:pgSz w:w="11906" w:h="16838"/>
          <w:pgMar w:top="1162" w:right="1270" w:bottom="1162" w:left="1230" w:header="851" w:footer="992" w:gutter="0"/>
          <w:pgNumType w:start="110"/>
          <w:cols w:space="425"/>
          <w:titlePg w:val="0"/>
          <w:docGrid w:type="lines" w:linePitch="326" w:charSpace="-4916"/>
        </w:sectPr>
      </w:pPr>
    </w:p>
    <w:p w:rsidR="00D731DA">
      <w:pPr>
        <w:spacing w:before="240" w:line="440" w:lineRule="exact"/>
        <w:ind w:firstLine="425"/>
        <w:rPr>
          <w:rFonts w:ascii="宋体"/>
          <w:color w:val="808080"/>
        </w:rPr>
      </w:pPr>
      <w:r>
        <w:rPr>
          <w:rFonts w:ascii="宋体" w:hint="eastAsia"/>
        </w:rPr>
        <w:t>由于中药在心脑血管类疾病上的特殊疗效，化学药在国内市场上竞争力较弱，目前公司主要面临国内生产心脑血管疾病用药的中药企业的竞争。我国近年来涌现出一大批以心脑血管中药为主导品种的中成药企业。根据药品监督管理局南方医药经济研究所2000年3月份对全国四大城市〔北京、广州、沈阳、成都〕、34家医药药房、17家商业公司冠心病中成药市场调查资料，我国目前治疗冠心病中成药主要被复方丹参滴丸、地奥心血康、银杏叶片、银可络、冠心舒合丸、舒血宁、通心络胶囊、丹参酮胶囊等占有，上述品种销售额占总销售额的95％以上，其中前三名的销售额占总销售额的75％以上。</w:t>
      </w:r>
    </w:p>
    <w:p w:rsidR="00D731DA">
      <w:pPr>
        <w:spacing w:line="440" w:lineRule="exact"/>
        <w:ind w:firstLine="425"/>
        <w:rPr>
          <w:rFonts w:ascii="宋体"/>
        </w:rPr>
      </w:pPr>
      <w:r>
        <w:rPr>
          <w:rFonts w:ascii="宋体" w:hint="eastAsia"/>
        </w:rPr>
        <w:t>国内以心脑血管疾病药物为主的生产企业及其主要产品有：天津天士力制药股份，主导产品为治疗心脑血管疾病的复方丹参滴丸；中科院成都地奥制药公司，主导产品为地奥心血康；天津第六中药厂，主导产品为速效救心丸；深圳海王药业公司，主导产品为银可络；浙江康恩贝药业股份，主导产品为天宝宁；青岛国风药业股份，主导产品为养心氏等。心脑血管疾病是我国中药科研、生产的重点开展方向之一，每年都有一定的中药科研成果转化为生产力参与心脑血管疾病药物市场的竞争。</w:t>
      </w:r>
    </w:p>
    <w:p w:rsidR="00D731DA">
      <w:pPr>
        <w:spacing w:before="120" w:after="120" w:line="440" w:lineRule="exact"/>
        <w:ind w:firstLine="425"/>
        <w:rPr>
          <w:rFonts w:eastAsia="楷体_GB2312" w:hint="eastAsia"/>
          <w:b/>
          <w:sz w:val="28"/>
        </w:rPr>
      </w:pPr>
      <w:r>
        <w:rPr>
          <w:rFonts w:ascii="楷体_GB2312" w:eastAsia="楷体_GB2312" w:hint="eastAsia"/>
          <w:b/>
          <w:sz w:val="28"/>
        </w:rPr>
        <w:t>〔四〕 公司的竞争优势〔</w:t>
      </w:r>
      <w:r>
        <w:rPr>
          <w:rFonts w:eastAsia="楷体_GB2312"/>
          <w:b/>
          <w:sz w:val="28"/>
        </w:rPr>
        <w:t>Competitive Advantage</w:t>
      </w:r>
      <w:r>
        <w:rPr>
          <w:rFonts w:eastAsia="楷体_GB2312" w:hint="eastAsia"/>
          <w:b/>
          <w:sz w:val="28"/>
        </w:rPr>
        <w:t>〕</w:t>
      </w:r>
    </w:p>
    <w:p w:rsidR="00D731DA">
      <w:pPr>
        <w:spacing w:line="440" w:lineRule="exact"/>
        <w:ind w:firstLine="425"/>
        <w:rPr>
          <w:rFonts w:hint="eastAsia"/>
        </w:rPr>
      </w:pPr>
      <w:r>
        <w:rPr>
          <w:rFonts w:hint="eastAsia"/>
        </w:rPr>
        <w:t>复方丹参滴丸系列中药可对多病症综合有效地进行治疗，并可作到高效、速效、长效兼备，且无毒副作用。复关后在价格上复方丹参滴丸系列中药仍将大大低于西药同类产品，因而具有极强的优势，国内市场的份额不会降低。事实上，随着国际医药交流的日益广泛，目前国际市场治疗心血管病的药物在国内都有面市，其疗效作用已经定形且无新的突破。复方丹参滴丸系列中药无论是其独特的治疗作用还是合理的价格都取得了无可替代的地位。参加世贸组织后，其国际市场的份额将会大幅度提高。</w:t>
      </w:r>
    </w:p>
    <w:p w:rsidR="00D731DA">
      <w:pPr>
        <w:spacing w:line="440" w:lineRule="exact"/>
        <w:ind w:firstLine="425"/>
        <w:rPr>
          <w:rFonts w:ascii="宋体"/>
        </w:rPr>
      </w:pPr>
      <w:r>
        <w:rPr>
          <w:rFonts w:ascii="宋体" w:hint="eastAsia"/>
        </w:rPr>
        <w:t>我公司有几年国际申报中药的经验；有一批专业技术水平较高、勇于探索、勤于实践、热心从事中药现代化与国际化的科研队伍；既定的公司研究开发策略</w:t>
      </w:r>
      <w:r>
        <w:rPr>
          <w:rFonts w:ascii="宋体" w:hint="eastAsia"/>
        </w:rPr>
        <w:t>“</w:t>
      </w:r>
      <w:r>
        <w:rPr>
          <w:rFonts w:ascii="宋体" w:hint="eastAsia"/>
        </w:rPr>
        <w:t>根底市场在国内，目标市场在国际〞；公司领导班子坚决的进行中药现代化、国际化的信心与决心；研究硬件环境好，具有国内一流的科研设备；中药现代化的根底扎实</w:t>
      </w:r>
      <w:r>
        <w:rPr>
          <w:rFonts w:ascii="宋体"/>
        </w:rPr>
        <w:t>—</w:t>
      </w:r>
      <w:r>
        <w:rPr>
          <w:rFonts w:ascii="宋体" w:hint="eastAsia"/>
        </w:rPr>
        <w:t>建立了三个</w:t>
      </w:r>
      <w:r>
        <w:t>GAP</w:t>
      </w:r>
      <w:r>
        <w:rPr>
          <w:rFonts w:ascii="宋体" w:hint="eastAsia"/>
        </w:rPr>
        <w:t>标准的药源基地，即将启用的新厂区属国内一流，完全符合</w:t>
      </w:r>
      <w:r>
        <w:t>GMP</w:t>
      </w:r>
      <w:r>
        <w:rPr>
          <w:rFonts w:ascii="宋体" w:hint="eastAsia"/>
        </w:rPr>
        <w:t>标准；与国内及国际大专院校、科研院所有广泛的合作与联系，等等。这些使我公司具备了未来和国际跨国公司竞争的根底。</w:t>
      </w:r>
    </w:p>
    <w:p w:rsidR="00D731DA">
      <w:pPr>
        <w:pStyle w:val="Heading2"/>
        <w:spacing w:before="240" w:after="360" w:line="440" w:lineRule="exact"/>
        <w:jc w:val="center"/>
      </w:pPr>
      <w:r>
        <w:rPr>
          <w:rFonts w:hint="eastAsia"/>
        </w:rPr>
        <w:t>第四章  公司</w:t>
      </w:r>
      <w:r>
        <w:rPr>
          <w:rFonts w:ascii="Times New Roman" w:hAnsi="Times New Roman" w:hint="eastAsia"/>
        </w:rPr>
        <w:t>SWOT</w:t>
      </w:r>
      <w:r>
        <w:rPr>
          <w:rFonts w:hint="eastAsia"/>
        </w:rPr>
        <w:t>分析</w:t>
      </w:r>
    </w:p>
    <w:p w:rsidR="00D731DA">
      <w:pPr>
        <w:pStyle w:val="Heading2"/>
        <w:spacing w:before="240" w:after="240" w:line="440" w:lineRule="exact"/>
        <w:rPr>
          <w:rFonts w:hint="eastAsia"/>
          <w:sz w:val="28"/>
        </w:rPr>
      </w:pPr>
      <w:r>
        <w:rPr>
          <w:rFonts w:hint="eastAsia"/>
          <w:sz w:val="28"/>
        </w:rPr>
        <w:t>一、优势分析</w:t>
      </w:r>
      <w:r>
        <w:rPr>
          <w:rFonts w:ascii="Times New Roman" w:hAnsi="Times New Roman" w:hint="eastAsia"/>
          <w:sz w:val="28"/>
        </w:rPr>
        <w:t>〔STRENGTH</w:t>
      </w:r>
      <w:r>
        <w:rPr>
          <w:rFonts w:ascii="Times New Roman" w:hAnsi="Times New Roman"/>
          <w:sz w:val="28"/>
        </w:rPr>
        <w:t>S</w:t>
      </w:r>
      <w:r>
        <w:rPr>
          <w:rFonts w:ascii="Times New Roman" w:hAnsi="Times New Roman" w:hint="eastAsia"/>
          <w:sz w:val="28"/>
        </w:rPr>
        <w:t>〕</w:t>
      </w:r>
    </w:p>
    <w:p w:rsidR="00D731DA">
      <w:pPr>
        <w:spacing w:line="440" w:lineRule="exact"/>
        <w:ind w:firstLine="425"/>
        <w:rPr>
          <w:rFonts w:ascii="宋体" w:hint="eastAsia"/>
        </w:rPr>
      </w:pPr>
      <w:r>
        <w:rPr>
          <w:rFonts w:ascii="宋体" w:hint="eastAsia"/>
          <w:b/>
        </w:rPr>
        <w:t>文化优势 ：</w:t>
      </w:r>
      <w:r>
        <w:rPr>
          <w:rFonts w:ascii="宋体" w:hint="eastAsia"/>
        </w:rPr>
        <w:br/>
      </w:r>
      <w:r>
        <w:rPr>
          <w:rFonts w:ascii="宋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https://d.book118.com/465314124112011034</w:t>
        </w:r>
      </w:hyperlink>
    </w:p>
    <w:p w:rsidR="00D731DA">
      <w:pPr>
        <w:spacing w:line="440" w:lineRule="exact"/>
        <w:ind w:firstLine="425"/>
        <w:rPr>
          <w:rFonts w:ascii="宋体" w:hint="eastAsia"/>
        </w:rPr>
      </w:pPr>
    </w:p>
    <w:sectPr>
      <w:type w:val="nextPage"/>
      <w:pgSz w:w="11906" w:h="16838"/>
      <w:pgMar w:top="1162" w:right="1270" w:bottom="1162" w:left="1230" w:header="851" w:footer="992" w:gutter="0"/>
      <w:pgNumType w:start="111"/>
      <w:cols w:space="425"/>
      <w:titlePg w:val="0"/>
      <w:docGrid w:type="lines" w:linePitch="326" w:charSpace="-491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2E309A"/>
    <w:multiLevelType w:val="singleLevel"/>
    <w:tmpl w:val="70D8752A"/>
    <w:lvl w:ilvl="0">
      <w:start w:val="1"/>
      <w:numFmt w:val="upperLetter"/>
      <w:pStyle w:val="Heading1"/>
      <w:lvlText w:val="%1."/>
      <w:lvlJc w:val="left"/>
      <w:pPr>
        <w:tabs>
          <w:tab w:val="num" w:pos="1009"/>
        </w:tabs>
        <w:ind w:left="1009" w:hanging="555"/>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5"/>
  <w:drawingGridHorizontalSpacing w:val="215"/>
  <w:drawingGridVerticalSpacing w:val="163"/>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3F64"/>
    <w:rsid w:val="00723F64"/>
    <w:rsid w:val="009127ED"/>
    <w:rsid w:val="00D731D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4"/>
      <w:lang w:val="en-US" w:eastAsia="zh-CN" w:bidi="ar-SA"/>
    </w:rPr>
  </w:style>
  <w:style w:type="paragraph" w:styleId="Heading1">
    <w:name w:val="heading 1"/>
    <w:basedOn w:val="Normal"/>
    <w:next w:val="Normal"/>
    <w:qFormat/>
    <w:pPr>
      <w:keepNext/>
      <w:numPr>
        <w:ilvl w:val="0"/>
        <w:numId w:val="1"/>
      </w:numPr>
      <w:outlineLvl w:val="0"/>
    </w:pPr>
    <w:rPr>
      <w:rFonts w:ascii="幼圆" w:eastAsia="幼圆"/>
      <w:b/>
      <w:color w:val="800080"/>
      <w:sz w:val="32"/>
    </w:rPr>
  </w:style>
  <w:style w:type="paragraph" w:styleId="Heading2">
    <w:name w:val="heading 2"/>
    <w:basedOn w:val="Normal"/>
    <w:next w:val="NormalIndent"/>
    <w:qFormat/>
    <w:pPr>
      <w:keepNext/>
      <w:keepLines/>
      <w:spacing w:line="420" w:lineRule="exact"/>
      <w:outlineLvl w:val="1"/>
    </w:pPr>
    <w:rPr>
      <w:rFonts w:ascii="黑体" w:eastAsia="黑体" w:hAnsi="Arial"/>
      <w:b/>
      <w:sz w:val="32"/>
    </w:rPr>
  </w:style>
  <w:style w:type="paragraph" w:styleId="Heading3">
    <w:name w:val="heading 3"/>
    <w:basedOn w:val="Normal"/>
    <w:next w:val="NormalIndent"/>
    <w:qFormat/>
    <w:pPr>
      <w:keepNext/>
      <w:keepLines/>
      <w:spacing w:before="260" w:after="260" w:line="440" w:lineRule="exact"/>
      <w:jc w:val="center"/>
      <w:outlineLvl w:val="2"/>
    </w:pPr>
    <w:rPr>
      <w:rFonts w:ascii="宋体" w:hAnsi="宋体"/>
      <w:b/>
      <w:spacing w:val="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firstLine="420"/>
    </w:pPr>
    <w:rPr>
      <w:sz w:val="21"/>
    </w:rPr>
  </w:style>
  <w:style w:type="paragraph" w:styleId="BodyTextIndent2">
    <w:name w:val="Body Text Indent 2"/>
    <w:basedOn w:val="Normal"/>
    <w:pPr>
      <w:ind w:firstLine="570"/>
    </w:pPr>
    <w:rPr>
      <w:sz w:val="28"/>
    </w:rPr>
  </w:style>
  <w:style w:type="paragraph" w:styleId="Date">
    <w:name w:val="Date"/>
    <w:basedOn w:val="Normal"/>
    <w:next w:val="Normal"/>
    <w:pPr>
      <w:widowControl/>
      <w:ind w:left="100"/>
      <w:jc w:val="left"/>
    </w:pPr>
    <w:rPr>
      <w:rFonts w:ascii="宋体"/>
      <w:b/>
      <w:color w:val="000000"/>
      <w:spacing w:val="2"/>
      <w:kern w:val="0"/>
      <w:sz w:val="30"/>
    </w:rPr>
  </w:style>
  <w:style w:type="paragraph" w:styleId="BodyText2">
    <w:name w:val="Body Text 2"/>
    <w:basedOn w:val="Normal"/>
    <w:pPr>
      <w:adjustRightInd w:val="0"/>
      <w:spacing w:line="360" w:lineRule="auto"/>
    </w:pPr>
    <w:rPr>
      <w:rFonts w:ascii="幼圆" w:eastAsia="幼圆"/>
    </w:rPr>
  </w:style>
  <w:style w:type="paragraph" w:customStyle="1" w:styleId="font0">
    <w:name w:val="font0"/>
    <w:basedOn w:val="Normal"/>
    <w:pPr>
      <w:widowControl/>
      <w:spacing w:before="100" w:after="100"/>
      <w:jc w:val="left"/>
    </w:pPr>
    <w:rPr>
      <w:rFonts w:ascii="宋体" w:hAnsi="宋体" w:hint="eastAsia"/>
      <w:kern w:val="0"/>
    </w:rPr>
  </w:style>
  <w:style w:type="paragraph" w:styleId="PlainText">
    <w:name w:val="Plain Text"/>
    <w:basedOn w:val="Normal"/>
    <w:rPr>
      <w:rFonts w:ascii="宋体" w:hAnsi="Courier New"/>
      <w:sz w:val="21"/>
    </w:rPr>
  </w:style>
  <w:style w:type="paragraph" w:styleId="BodyText3">
    <w:name w:val="Body Text 3"/>
    <w:basedOn w:val="Normal"/>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Footer">
    <w:name w:val="footer"/>
    <w:basedOn w:val="Normal"/>
    <w:pPr>
      <w:tabs>
        <w:tab w:val="center" w:pos="4153"/>
        <w:tab w:val="right" w:pos="8306"/>
      </w:tabs>
      <w:snapToGrid w:val="0"/>
      <w:jc w:val="left"/>
    </w:pPr>
    <w:rPr>
      <w:sz w:val="18"/>
    </w:rPr>
  </w:style>
  <w:style w:type="paragraph" w:styleId="BodyTextIndent">
    <w:name w:val="Body Text Indent"/>
    <w:basedOn w:val="Normal"/>
    <w:pPr>
      <w:spacing w:line="460" w:lineRule="exact"/>
      <w:ind w:firstLine="425"/>
    </w:pPr>
    <w:rPr>
      <w:rFonts w:ascii="宋体"/>
    </w:r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65314124112011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15</TotalTime>
  <Pages>10</Pages>
  <Words>9622</Words>
  <Characters>10392</Characters>
  <Application>Microsoft Office Word</Application>
  <DocSecurity>0</DocSecurity>
  <Lines>433</Lines>
  <Paragraphs>285</Paragraphs>
  <ScaleCrop>false</ScaleCrop>
  <Company>drc</Company>
  <LinksUpToDate>false</LinksUpToDate>
  <CharactersWithSpaces>19729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公司基本情况与发展过程 (Introduction)</dc:title>
  <dc:creator>lbx</dc:creator>
  <cp:lastModifiedBy>zhaochunmei</cp:lastModifiedBy>
  <cp:revision>3</cp:revision>
  <cp:lastPrinted>2001-10-25T14:51:00Z</cp:lastPrinted>
  <dcterms:created xsi:type="dcterms:W3CDTF">2003-08-11T08:08:00Z</dcterms:created>
  <dcterms:modified xsi:type="dcterms:W3CDTF">2011-03-31T08:52:00Z</dcterms:modified>
</cp:coreProperties>
</file>