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258" w:line="226" w:lineRule="auto"/>
        <w:ind w:left="4504"/>
        <w:outlineLvl w:val="0"/>
        <w:rPr>
          <w:sz w:val="31"/>
          <w:szCs w:val="31"/>
        </w:rPr>
      </w:pPr>
      <w:r>
        <w:rPr>
          <w:sz w:val="31"/>
          <w:szCs w:val="31"/>
        </w:rPr>
        <w:t>前言</w:t>
      </w:r>
    </w:p>
    <w:p>
      <w:pPr>
        <w:spacing w:line="253" w:lineRule="auto"/>
        <w:rPr>
          <w:rFonts w:ascii="Arial"/>
          <w:sz w:val="21"/>
        </w:rPr>
      </w:pPr>
    </w:p>
    <w:p>
      <w:pPr>
        <w:pStyle w:val="BodyText"/>
        <w:spacing w:before="78" w:line="359" w:lineRule="auto"/>
        <w:ind w:right="58" w:firstLine="480"/>
      </w:pPr>
      <w:r>
        <w:t>根据河南省住房和城乡建设厅《关于印发2019年第二批工程</w:t>
      </w:r>
      <w:r>
        <w:rPr>
          <w:spacing w:val="-1"/>
        </w:rPr>
        <w:t>建设标准（定额）编制计</w:t>
      </w:r>
      <w:r>
        <w:t xml:space="preserve">  </w:t>
      </w:r>
      <w:r>
        <w:t>划的通知》（豫建科〔2019〕372号）的要求，中建二局第二建筑工</w:t>
      </w:r>
      <w:r>
        <w:rPr>
          <w:spacing w:val="-1"/>
        </w:rPr>
        <w:t>程有限公司组织相关单</w:t>
      </w:r>
      <w:r>
        <w:t xml:space="preserve"> </w:t>
      </w:r>
      <w:r>
        <w:t>位，结合河南省实际情况，广泛调查研究，认真总结实践经验，参考国内外先进标准</w:t>
      </w:r>
      <w:r>
        <w:rPr>
          <w:spacing w:val="-1"/>
        </w:rPr>
        <w:t>，在</w:t>
      </w:r>
    </w:p>
    <w:p>
      <w:pPr>
        <w:pStyle w:val="BodyText"/>
        <w:spacing w:line="218" w:lineRule="auto"/>
      </w:pPr>
      <w:r>
        <w:rPr>
          <w:spacing w:val="-1"/>
        </w:rPr>
        <w:t>广泛征求意见的基础上，编制了本标准。</w:t>
      </w:r>
    </w:p>
    <w:p>
      <w:pPr>
        <w:pStyle w:val="BodyText"/>
        <w:spacing w:before="183" w:line="468" w:lineRule="exact"/>
        <w:jc w:val="right"/>
      </w:pPr>
      <w:r>
        <w:rPr>
          <w:spacing w:val="-2"/>
          <w:position w:val="17"/>
        </w:rPr>
        <w:t>本标准的主要技术内容包括：1 总则；2 术语；3 基本规定；4 材料、设备及构配件；</w:t>
      </w:r>
    </w:p>
    <w:p>
      <w:pPr>
        <w:pStyle w:val="BodyText"/>
        <w:spacing w:before="1" w:line="218" w:lineRule="auto"/>
        <w:ind w:left="5"/>
      </w:pPr>
      <w:r>
        <w:rPr>
          <w:spacing w:val="-2"/>
        </w:rPr>
        <w:t>5</w:t>
      </w:r>
      <w:r>
        <w:rPr>
          <w:spacing w:val="44"/>
        </w:rPr>
        <w:t xml:space="preserve"> </w:t>
      </w:r>
      <w:r>
        <w:rPr>
          <w:spacing w:val="-2"/>
        </w:rPr>
        <w:t>固定式作业平台；6 移动式作业平台；7 安全管理；附录A。</w:t>
      </w:r>
    </w:p>
    <w:p>
      <w:pPr>
        <w:pStyle w:val="BodyText"/>
        <w:spacing w:before="182" w:line="359" w:lineRule="auto"/>
        <w:ind w:left="1" w:right="178" w:firstLine="480"/>
      </w:pPr>
      <w:r>
        <w:t>本标准由中建二局第二建筑工程有限公司负责具体技术内</w:t>
      </w:r>
      <w:r>
        <w:rPr>
          <w:spacing w:val="-1"/>
        </w:rPr>
        <w:t>容的解释，在执行过程中如</w:t>
      </w:r>
      <w:r>
        <w:t xml:space="preserve"> </w:t>
      </w:r>
      <w:r>
        <w:t>有意见或建议，请寄送中建二局第二建筑工程有限公司(地址:郑</w:t>
      </w:r>
      <w:r>
        <w:rPr>
          <w:spacing w:val="-1"/>
        </w:rPr>
        <w:t>州市惠济区江山路47号，</w:t>
      </w:r>
    </w:p>
    <w:p>
      <w:pPr>
        <w:pStyle w:val="BodyText"/>
        <w:spacing w:line="219" w:lineRule="auto"/>
        <w:ind w:left="18"/>
      </w:pPr>
      <w:r>
        <w:rPr>
          <w:spacing w:val="-3"/>
        </w:rPr>
        <w:t>邮编:450053)。</w:t>
      </w:r>
    </w:p>
    <w:p>
      <w:pPr>
        <w:pStyle w:val="BodyText"/>
        <w:spacing w:before="184" w:line="219" w:lineRule="auto"/>
        <w:ind w:left="482"/>
      </w:pPr>
      <w:r>
        <w:rPr>
          <w:spacing w:val="-1"/>
        </w:rPr>
        <w:t>主编单位  中建二局第二建筑工程有限公司</w:t>
      </w:r>
    </w:p>
    <w:p>
      <w:pPr>
        <w:pStyle w:val="BodyText"/>
        <w:spacing w:before="180" w:line="219" w:lineRule="auto"/>
        <w:ind w:left="482"/>
      </w:pPr>
      <w:r>
        <w:rPr>
          <w:spacing w:val="-1"/>
        </w:rPr>
        <w:t>参编单位  中国建筑第二工程局有限公司</w:t>
      </w:r>
    </w:p>
    <w:p>
      <w:pPr>
        <w:pStyle w:val="BodyText"/>
        <w:spacing w:before="183" w:line="466" w:lineRule="exact"/>
        <w:ind w:left="1703"/>
      </w:pPr>
      <w:r>
        <w:rPr>
          <w:spacing w:val="-2"/>
          <w:position w:val="17"/>
        </w:rPr>
        <w:t>中建二局第二建筑工程（河南）有限公司</w:t>
      </w:r>
    </w:p>
    <w:p>
      <w:pPr>
        <w:pStyle w:val="BodyText"/>
        <w:spacing w:line="219" w:lineRule="auto"/>
        <w:ind w:left="1680"/>
      </w:pPr>
      <w:r>
        <w:rPr>
          <w:spacing w:val="-1"/>
        </w:rPr>
        <w:t>河南省建设工程质量安全技术总站</w:t>
      </w:r>
    </w:p>
    <w:p>
      <w:pPr>
        <w:pStyle w:val="BodyText"/>
        <w:spacing w:before="184" w:line="219" w:lineRule="auto"/>
        <w:ind w:left="1680"/>
      </w:pPr>
      <w:r>
        <w:rPr>
          <w:spacing w:val="-1"/>
        </w:rPr>
        <w:t>河南省第一建筑工程集团有限责任公司</w:t>
      </w:r>
    </w:p>
    <w:p>
      <w:pPr>
        <w:pStyle w:val="BodyText"/>
        <w:spacing w:before="180" w:line="220" w:lineRule="auto"/>
        <w:ind w:left="1703"/>
      </w:pPr>
      <w:r>
        <w:rPr>
          <w:spacing w:val="-3"/>
        </w:rPr>
        <w:t>中建中原建筑设计院有限公司</w:t>
      </w:r>
    </w:p>
    <w:p>
      <w:pPr>
        <w:pStyle w:val="BodyText"/>
        <w:spacing w:before="182" w:line="468" w:lineRule="exact"/>
        <w:ind w:left="1684"/>
      </w:pPr>
      <w:r>
        <w:rPr>
          <w:spacing w:val="-1"/>
          <w:position w:val="17"/>
        </w:rPr>
        <w:t>项城市建设工程安全技术服务站</w:t>
      </w:r>
    </w:p>
    <w:p>
      <w:pPr>
        <w:pStyle w:val="BodyText"/>
        <w:spacing w:before="1" w:line="218" w:lineRule="auto"/>
        <w:ind w:left="1684"/>
      </w:pPr>
      <w:r>
        <w:rPr>
          <w:spacing w:val="-1"/>
        </w:rPr>
        <w:t>郑州航空港区航程置业有限公司</w:t>
      </w:r>
    </w:p>
    <w:p>
      <w:pPr>
        <w:pStyle w:val="BodyText"/>
        <w:spacing w:before="181" w:line="219" w:lineRule="auto"/>
        <w:ind w:left="482"/>
      </w:pPr>
      <w:r>
        <w:rPr>
          <w:spacing w:val="-2"/>
        </w:rPr>
        <w:t>主要起草人员  冯立雷  付</w:t>
      </w:r>
      <w:r>
        <w:rPr>
          <w:spacing w:val="6"/>
        </w:rPr>
        <w:t xml:space="preserve">  </w:t>
      </w:r>
      <w:r>
        <w:rPr>
          <w:spacing w:val="-2"/>
        </w:rPr>
        <w:t>君  吴小志</w:t>
      </w:r>
      <w:r>
        <w:rPr>
          <w:spacing w:val="7"/>
        </w:rPr>
        <w:t xml:space="preserve">  </w:t>
      </w:r>
      <w:r>
        <w:rPr>
          <w:spacing w:val="-2"/>
        </w:rPr>
        <w:t>何小丰</w:t>
      </w:r>
      <w:r>
        <w:rPr>
          <w:spacing w:val="5"/>
        </w:rPr>
        <w:t xml:space="preserve">  </w:t>
      </w:r>
      <w:r>
        <w:rPr>
          <w:spacing w:val="-2"/>
        </w:rPr>
        <w:t>秦</w:t>
      </w:r>
      <w:r>
        <w:rPr>
          <w:spacing w:val="5"/>
        </w:rPr>
        <w:t xml:space="preserve">  </w:t>
      </w:r>
      <w:r>
        <w:rPr>
          <w:spacing w:val="-2"/>
        </w:rPr>
        <w:t>青</w:t>
      </w:r>
    </w:p>
    <w:p>
      <w:pPr>
        <w:pStyle w:val="BodyText"/>
        <w:spacing w:before="183" w:line="219" w:lineRule="auto"/>
        <w:ind w:left="2159"/>
      </w:pPr>
      <w:r>
        <w:rPr>
          <w:spacing w:val="-3"/>
        </w:rPr>
        <w:t>刘建钊  王宏彦</w:t>
      </w:r>
      <w:r>
        <w:rPr>
          <w:spacing w:val="7"/>
        </w:rPr>
        <w:t xml:space="preserve">  </w:t>
      </w:r>
      <w:r>
        <w:rPr>
          <w:spacing w:val="-3"/>
        </w:rPr>
        <w:t>张轶鹏  康</w:t>
      </w:r>
      <w:r>
        <w:rPr>
          <w:spacing w:val="9"/>
        </w:rPr>
        <w:t xml:space="preserve">  </w:t>
      </w:r>
      <w:r>
        <w:rPr>
          <w:spacing w:val="-3"/>
        </w:rPr>
        <w:t>勇</w:t>
      </w:r>
      <w:r>
        <w:rPr>
          <w:spacing w:val="6"/>
        </w:rPr>
        <w:t xml:space="preserve">  </w:t>
      </w:r>
      <w:r>
        <w:rPr>
          <w:spacing w:val="-3"/>
        </w:rPr>
        <w:t>王润玲</w:t>
      </w:r>
    </w:p>
    <w:p>
      <w:pPr>
        <w:spacing w:line="181" w:lineRule="exact"/>
      </w:pPr>
    </w:p>
    <w:tbl>
      <w:tblPr>
        <w:tblStyle w:val="TableNormal"/>
        <w:tblW w:w="6228" w:type="dxa"/>
        <w:tblInd w:w="482" w:type="dxa"/>
        <w:tblBorders>
          <w:top w:val="nil"/>
          <w:left w:val="nil"/>
          <w:bottom w:val="nil"/>
          <w:right w:val="nil"/>
          <w:insideH w:val="nil"/>
          <w:insideV w:val="nil"/>
        </w:tblBorders>
        <w:tblLayout w:type="fixed"/>
      </w:tblPr>
      <w:tblGrid>
        <w:gridCol w:w="1554"/>
        <w:gridCol w:w="959"/>
        <w:gridCol w:w="961"/>
        <w:gridCol w:w="960"/>
        <w:gridCol w:w="959"/>
        <w:gridCol w:w="835"/>
      </w:tblGrid>
      <w:tr>
        <w:tblPrEx>
          <w:tblW w:w="6228" w:type="dxa"/>
          <w:tblInd w:w="482" w:type="dxa"/>
          <w:tblBorders>
            <w:top w:val="nil"/>
            <w:left w:val="nil"/>
            <w:bottom w:val="nil"/>
            <w:right w:val="nil"/>
            <w:insideH w:val="nil"/>
            <w:insideV w:val="nil"/>
          </w:tblBorders>
          <w:tblLayout w:type="fixed"/>
        </w:tblPrEx>
        <w:trPr>
          <w:trHeight w:val="1287"/>
        </w:trPr>
        <w:tc>
          <w:tcPr>
            <w:tcW w:w="1554" w:type="dxa"/>
            <w:vAlign w:val="top"/>
          </w:tcPr>
          <w:p>
            <w:pPr>
              <w:rPr>
                <w:rFonts w:ascii="Arial"/>
                <w:sz w:val="21"/>
              </w:rPr>
            </w:pPr>
          </w:p>
        </w:tc>
        <w:tc>
          <w:tcPr>
            <w:tcW w:w="959" w:type="dxa"/>
            <w:vAlign w:val="top"/>
          </w:tcPr>
          <w:p>
            <w:pPr>
              <w:pStyle w:val="TableText"/>
              <w:spacing w:line="359" w:lineRule="auto"/>
              <w:ind w:left="126" w:right="124"/>
              <w:jc w:val="both"/>
            </w:pPr>
            <w:r>
              <w:rPr>
                <w:spacing w:val="-5"/>
              </w:rPr>
              <w:t>樊新胜</w:t>
            </w:r>
            <w:r>
              <w:rPr>
                <w:spacing w:val="1"/>
              </w:rPr>
              <w:t xml:space="preserve"> </w:t>
            </w:r>
            <w:r>
              <w:rPr>
                <w:spacing w:val="-5"/>
              </w:rPr>
              <w:t>郑春伟</w:t>
            </w:r>
          </w:p>
          <w:p>
            <w:pPr>
              <w:pStyle w:val="TableText"/>
              <w:spacing w:line="218" w:lineRule="auto"/>
              <w:ind w:left="125"/>
            </w:pPr>
            <w:r>
              <w:rPr>
                <w:spacing w:val="-4"/>
              </w:rPr>
              <w:t>孙彭举</w:t>
            </w:r>
          </w:p>
        </w:tc>
        <w:tc>
          <w:tcPr>
            <w:tcW w:w="961" w:type="dxa"/>
            <w:vAlign w:val="top"/>
          </w:tcPr>
          <w:p>
            <w:pPr>
              <w:pStyle w:val="TableText"/>
              <w:spacing w:line="359" w:lineRule="auto"/>
              <w:ind w:left="130" w:right="125" w:hanging="6"/>
              <w:jc w:val="both"/>
            </w:pPr>
            <w:r>
              <w:rPr>
                <w:spacing w:val="-3"/>
              </w:rPr>
              <w:t>刘永亮</w:t>
            </w:r>
            <w:r>
              <w:t xml:space="preserve"> </w:t>
            </w:r>
            <w:r>
              <w:rPr>
                <w:spacing w:val="-6"/>
              </w:rPr>
              <w:t>张海东</w:t>
            </w:r>
          </w:p>
          <w:p>
            <w:pPr>
              <w:pStyle w:val="TableText"/>
              <w:spacing w:line="220" w:lineRule="auto"/>
              <w:ind w:left="128"/>
            </w:pPr>
            <w:r>
              <w:rPr>
                <w:spacing w:val="-5"/>
              </w:rPr>
              <w:t>曹胜源</w:t>
            </w:r>
          </w:p>
        </w:tc>
        <w:tc>
          <w:tcPr>
            <w:tcW w:w="960" w:type="dxa"/>
            <w:vAlign w:val="top"/>
          </w:tcPr>
          <w:p>
            <w:pPr>
              <w:pStyle w:val="TableText"/>
              <w:spacing w:line="359" w:lineRule="auto"/>
              <w:ind w:left="127" w:right="125" w:firstLine="6"/>
              <w:jc w:val="both"/>
            </w:pPr>
            <w:r>
              <w:rPr>
                <w:spacing w:val="-7"/>
              </w:rPr>
              <w:t>刁鸿鹏</w:t>
            </w:r>
            <w:r>
              <w:t xml:space="preserve"> </w:t>
            </w:r>
            <w:r>
              <w:rPr>
                <w:spacing w:val="-5"/>
              </w:rPr>
              <w:t>郑水泉</w:t>
            </w:r>
          </w:p>
          <w:p>
            <w:pPr>
              <w:pStyle w:val="TableText"/>
              <w:spacing w:line="219" w:lineRule="auto"/>
              <w:ind w:left="125"/>
            </w:pPr>
            <w:r>
              <w:rPr>
                <w:spacing w:val="-4"/>
              </w:rPr>
              <w:t>龙海连</w:t>
            </w:r>
          </w:p>
        </w:tc>
        <w:tc>
          <w:tcPr>
            <w:tcW w:w="959" w:type="dxa"/>
            <w:vAlign w:val="top"/>
          </w:tcPr>
          <w:p>
            <w:pPr>
              <w:pStyle w:val="TableText"/>
              <w:spacing w:line="359" w:lineRule="auto"/>
              <w:ind w:left="125" w:right="124"/>
              <w:jc w:val="both"/>
            </w:pPr>
            <w:r>
              <w:rPr>
                <w:spacing w:val="-4"/>
              </w:rPr>
              <w:t>崔彦波</w:t>
            </w:r>
            <w:r>
              <w:t xml:space="preserve"> </w:t>
            </w:r>
            <w:r>
              <w:rPr>
                <w:spacing w:val="-10"/>
              </w:rPr>
              <w:t>孔</w:t>
            </w:r>
            <w:r>
              <w:rPr>
                <w:spacing w:val="4"/>
              </w:rPr>
              <w:t xml:space="preserve">  </w:t>
            </w:r>
            <w:r>
              <w:rPr>
                <w:spacing w:val="-10"/>
              </w:rPr>
              <w:t>巍</w:t>
            </w:r>
          </w:p>
          <w:p>
            <w:pPr>
              <w:pStyle w:val="TableText"/>
              <w:spacing w:line="220" w:lineRule="auto"/>
              <w:ind w:left="127"/>
            </w:pPr>
            <w:r>
              <w:rPr>
                <w:spacing w:val="-7"/>
              </w:rPr>
              <w:t>何</w:t>
            </w:r>
            <w:r>
              <w:rPr>
                <w:spacing w:val="6"/>
              </w:rPr>
              <w:t xml:space="preserve">  </w:t>
            </w:r>
            <w:r>
              <w:rPr>
                <w:spacing w:val="-7"/>
              </w:rPr>
              <w:t>昊</w:t>
            </w:r>
          </w:p>
        </w:tc>
        <w:tc>
          <w:tcPr>
            <w:tcW w:w="835" w:type="dxa"/>
            <w:vAlign w:val="top"/>
          </w:tcPr>
          <w:p>
            <w:pPr>
              <w:pStyle w:val="TableText"/>
              <w:spacing w:line="359" w:lineRule="auto"/>
              <w:ind w:left="129" w:hanging="3"/>
              <w:jc w:val="both"/>
            </w:pPr>
            <w:r>
              <w:rPr>
                <w:spacing w:val="-4"/>
              </w:rPr>
              <w:t>王浩天</w:t>
            </w:r>
            <w:r>
              <w:t xml:space="preserve"> </w:t>
            </w:r>
            <w:r>
              <w:rPr>
                <w:spacing w:val="-13"/>
              </w:rPr>
              <w:t>张</w:t>
            </w:r>
            <w:r>
              <w:rPr>
                <w:spacing w:val="4"/>
              </w:rPr>
              <w:t xml:space="preserve">  </w:t>
            </w:r>
            <w:r>
              <w:rPr>
                <w:spacing w:val="-11"/>
              </w:rPr>
              <w:t>超</w:t>
            </w:r>
          </w:p>
          <w:p>
            <w:pPr>
              <w:pStyle w:val="TableText"/>
              <w:spacing w:line="220" w:lineRule="auto"/>
              <w:jc w:val="right"/>
            </w:pPr>
            <w:r>
              <w:rPr>
                <w:spacing w:val="-5"/>
              </w:rPr>
              <w:t>索志刚</w:t>
            </w:r>
          </w:p>
        </w:tc>
      </w:tr>
      <w:tr>
        <w:tblPrEx>
          <w:tblW w:w="6228" w:type="dxa"/>
          <w:tblInd w:w="482" w:type="dxa"/>
          <w:tblLayout w:type="fixed"/>
        </w:tblPrEx>
        <w:trPr>
          <w:trHeight w:val="467"/>
        </w:trPr>
        <w:tc>
          <w:tcPr>
            <w:tcW w:w="1554" w:type="dxa"/>
            <w:vMerge w:val="restart"/>
            <w:tcBorders>
              <w:bottom w:val="nil"/>
            </w:tcBorders>
            <w:vAlign w:val="top"/>
          </w:tcPr>
          <w:p>
            <w:pPr>
              <w:pStyle w:val="TableText"/>
              <w:spacing w:before="114" w:line="220" w:lineRule="auto"/>
            </w:pPr>
            <w:r>
              <w:rPr>
                <w:spacing w:val="-2"/>
              </w:rPr>
              <w:t>主要审查人员</w:t>
            </w:r>
          </w:p>
        </w:tc>
        <w:tc>
          <w:tcPr>
            <w:tcW w:w="959" w:type="dxa"/>
            <w:vMerge w:val="restart"/>
            <w:tcBorders>
              <w:bottom w:val="nil"/>
            </w:tcBorders>
            <w:vAlign w:val="top"/>
          </w:tcPr>
          <w:p>
            <w:pPr>
              <w:pStyle w:val="TableText"/>
              <w:spacing w:before="114" w:line="458" w:lineRule="exact"/>
              <w:ind w:left="125"/>
            </w:pPr>
            <w:r>
              <w:rPr>
                <w:spacing w:val="-4"/>
                <w:position w:val="16"/>
              </w:rPr>
              <w:t>王继周</w:t>
            </w:r>
          </w:p>
          <w:p>
            <w:pPr>
              <w:pStyle w:val="TableText"/>
              <w:spacing w:line="181" w:lineRule="auto"/>
              <w:ind w:left="127"/>
            </w:pPr>
            <w:r>
              <w:rPr>
                <w:spacing w:val="-7"/>
              </w:rPr>
              <w:t>何</w:t>
            </w:r>
            <w:r>
              <w:rPr>
                <w:spacing w:val="4"/>
              </w:rPr>
              <w:t xml:space="preserve">  </w:t>
            </w:r>
            <w:r>
              <w:rPr>
                <w:spacing w:val="-7"/>
              </w:rPr>
              <w:t>伟</w:t>
            </w:r>
          </w:p>
        </w:tc>
        <w:tc>
          <w:tcPr>
            <w:tcW w:w="961" w:type="dxa"/>
            <w:vMerge w:val="restart"/>
            <w:tcBorders>
              <w:bottom w:val="nil"/>
            </w:tcBorders>
            <w:vAlign w:val="top"/>
          </w:tcPr>
          <w:p>
            <w:pPr>
              <w:pStyle w:val="TableText"/>
              <w:spacing w:before="114" w:line="458" w:lineRule="exact"/>
              <w:ind w:left="124"/>
            </w:pPr>
            <w:r>
              <w:rPr>
                <w:spacing w:val="-3"/>
                <w:position w:val="16"/>
              </w:rPr>
              <w:t>刘明林</w:t>
            </w:r>
          </w:p>
          <w:p>
            <w:pPr>
              <w:pStyle w:val="TableText"/>
              <w:spacing w:line="181" w:lineRule="auto"/>
              <w:ind w:left="131"/>
            </w:pPr>
            <w:r>
              <w:rPr>
                <w:spacing w:val="-6"/>
              </w:rPr>
              <w:t>郭炎伟</w:t>
            </w:r>
          </w:p>
        </w:tc>
        <w:tc>
          <w:tcPr>
            <w:tcW w:w="960" w:type="dxa"/>
            <w:vAlign w:val="top"/>
          </w:tcPr>
          <w:p>
            <w:pPr>
              <w:pStyle w:val="TableText"/>
              <w:spacing w:before="115" w:line="219" w:lineRule="auto"/>
              <w:ind w:left="125"/>
            </w:pPr>
            <w:r>
              <w:rPr>
                <w:spacing w:val="-4"/>
              </w:rPr>
              <w:t>朱治国</w:t>
            </w:r>
          </w:p>
        </w:tc>
        <w:tc>
          <w:tcPr>
            <w:tcW w:w="959" w:type="dxa"/>
            <w:vAlign w:val="top"/>
          </w:tcPr>
          <w:p>
            <w:pPr>
              <w:pStyle w:val="TableText"/>
              <w:spacing w:before="115" w:line="221" w:lineRule="auto"/>
              <w:ind w:left="125"/>
            </w:pPr>
            <w:r>
              <w:rPr>
                <w:spacing w:val="-6"/>
              </w:rPr>
              <w:t>展</w:t>
            </w:r>
            <w:r>
              <w:rPr>
                <w:spacing w:val="4"/>
              </w:rPr>
              <w:t xml:space="preserve">  </w:t>
            </w:r>
            <w:r>
              <w:rPr>
                <w:spacing w:val="-6"/>
              </w:rPr>
              <w:t>猛</w:t>
            </w:r>
          </w:p>
        </w:tc>
        <w:tc>
          <w:tcPr>
            <w:tcW w:w="835" w:type="dxa"/>
            <w:vAlign w:val="top"/>
          </w:tcPr>
          <w:p>
            <w:pPr>
              <w:pStyle w:val="TableText"/>
              <w:spacing w:before="115" w:line="219" w:lineRule="auto"/>
              <w:jc w:val="right"/>
            </w:pPr>
            <w:r>
              <w:rPr>
                <w:spacing w:val="-4"/>
              </w:rPr>
              <w:t>刘洪涛</w:t>
            </w:r>
          </w:p>
        </w:tc>
      </w:tr>
      <w:tr>
        <w:tblPrEx>
          <w:tblW w:w="6228" w:type="dxa"/>
          <w:tblInd w:w="482" w:type="dxa"/>
          <w:tblLayout w:type="fixed"/>
        </w:tblPrEx>
        <w:trPr>
          <w:trHeight w:val="352"/>
        </w:trPr>
        <w:tc>
          <w:tcPr>
            <w:tcW w:w="1554" w:type="dxa"/>
            <w:vMerge/>
            <w:tcBorders>
              <w:top w:val="nil"/>
            </w:tcBorders>
            <w:vAlign w:val="top"/>
          </w:tcPr>
          <w:p>
            <w:pPr>
              <w:rPr>
                <w:rFonts w:ascii="Arial"/>
                <w:sz w:val="21"/>
              </w:rPr>
            </w:pPr>
          </w:p>
        </w:tc>
        <w:tc>
          <w:tcPr>
            <w:tcW w:w="959" w:type="dxa"/>
            <w:vMerge/>
            <w:tcBorders>
              <w:top w:val="nil"/>
            </w:tcBorders>
            <w:vAlign w:val="top"/>
          </w:tcPr>
          <w:p>
            <w:pPr>
              <w:rPr>
                <w:rFonts w:ascii="Arial"/>
                <w:sz w:val="21"/>
              </w:rPr>
            </w:pPr>
          </w:p>
        </w:tc>
        <w:tc>
          <w:tcPr>
            <w:tcW w:w="961" w:type="dxa"/>
            <w:vMerge/>
            <w:tcBorders>
              <w:top w:val="nil"/>
            </w:tcBorders>
            <w:vAlign w:val="top"/>
          </w:tcPr>
          <w:p>
            <w:pPr>
              <w:rPr>
                <w:rFonts w:ascii="Arial"/>
                <w:sz w:val="21"/>
              </w:rPr>
            </w:pPr>
          </w:p>
        </w:tc>
        <w:tc>
          <w:tcPr>
            <w:tcW w:w="960" w:type="dxa"/>
            <w:vAlign w:val="top"/>
          </w:tcPr>
          <w:p>
            <w:pPr>
              <w:rPr>
                <w:rFonts w:ascii="Arial"/>
                <w:sz w:val="21"/>
              </w:rPr>
            </w:pPr>
          </w:p>
        </w:tc>
        <w:tc>
          <w:tcPr>
            <w:tcW w:w="959" w:type="dxa"/>
            <w:vAlign w:val="top"/>
          </w:tcPr>
          <w:p>
            <w:pPr>
              <w:rPr>
                <w:rFonts w:ascii="Arial"/>
                <w:sz w:val="21"/>
              </w:rPr>
            </w:pPr>
          </w:p>
        </w:tc>
        <w:tc>
          <w:tcPr>
            <w:tcW w:w="835" w:type="dxa"/>
            <w:vAlign w:val="top"/>
          </w:tcPr>
          <w:p>
            <w:pPr>
              <w:rPr>
                <w:rFonts w:ascii="Arial"/>
                <w:sz w:val="21"/>
              </w:rPr>
            </w:pPr>
          </w:p>
        </w:tc>
      </w:tr>
    </w:tbl>
    <w:p>
      <w:pPr>
        <w:rPr>
          <w:rFonts w:ascii="Arial"/>
          <w:sz w:val="21"/>
        </w:rPr>
      </w:pPr>
    </w:p>
    <w:p>
      <w:pPr>
        <w:rPr>
          <w:rFonts w:ascii="Arial" w:eastAsia="Arial" w:hAnsi="Arial" w:cs="Arial"/>
          <w:sz w:val="21"/>
          <w:szCs w:val="21"/>
        </w:rPr>
        <w:sectPr>
          <w:pgSz w:w="11910" w:h="16840"/>
          <w:pgMar w:top="1431" w:right="1231" w:bottom="0" w:left="1148" w:header="0" w:footer="0" w:gutter="0"/>
          <w:cols w:space="708"/>
        </w:sectPr>
      </w:pPr>
    </w:p>
    <w:p>
      <w:pPr>
        <w:rPr>
          <w:rFonts w:ascii="Arial"/>
          <w:sz w:val="21"/>
        </w:rPr>
      </w:pPr>
    </w:p>
    <w:p>
      <w:pPr>
        <w:rPr>
          <w:rFonts w:ascii="Arial" w:eastAsia="Arial" w:hAnsi="Arial" w:cs="Arial"/>
          <w:sz w:val="21"/>
          <w:szCs w:val="21"/>
        </w:rPr>
        <w:sectPr>
          <w:headerReference w:type="default" r:id="rId4"/>
          <w:footerReference w:type="default" r:id="rId5"/>
          <w:pgSz w:w="11910" w:h="16840"/>
          <w:pgMar w:top="0" w:right="0" w:bottom="0" w:left="0" w:header="0" w:footer="0" w:gutter="0"/>
          <w:pgNumType w:start="2"/>
          <w:cols w:space="708"/>
        </w:sect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BodyText"/>
        <w:spacing w:before="101" w:line="225" w:lineRule="auto"/>
        <w:ind w:left="3922"/>
        <w:outlineLvl w:val="0"/>
        <w:rPr>
          <w:sz w:val="31"/>
          <w:szCs w:val="31"/>
        </w:rPr>
      </w:pPr>
      <w:r>
        <w:rPr>
          <w:spacing w:val="-28"/>
          <w:sz w:val="31"/>
          <w:szCs w:val="31"/>
        </w:rPr>
        <w:t>目次</w:t>
      </w:r>
    </w:p>
    <w:sdt>
      <w:sdtPr>
        <w:rPr>
          <w:rFonts w:ascii="Arial" w:eastAsia="Arial" w:hAnsi="Arial" w:cs="Arial"/>
          <w:sz w:val="21"/>
          <w:szCs w:val="21"/>
        </w:rPr>
        <w:id w:val="679415861"/>
        <w:docPartObj>
          <w:docPartGallery w:val="Table of Contents"/>
          <w:docPartUnique/>
        </w:docPartObj>
      </w:sdtPr>
      <w:sdtEndPr>
        <w:rPr>
          <w:rFonts w:ascii="SimSun" w:eastAsia="SimSun" w:hAnsi="SimSun" w:cs="SimSun"/>
          <w:sz w:val="24"/>
          <w:szCs w:val="24"/>
        </w:rPr>
      </w:sdtEndPr>
      <w:sdtContent>
        <w:p>
          <w:pPr>
            <w:pStyle w:val="BodyText"/>
            <w:tabs>
              <w:tab w:val="right" w:leader="dot" w:pos="8315"/>
            </w:tabs>
            <w:spacing w:before="295" w:line="409" w:lineRule="exact"/>
            <w:ind w:left="40"/>
          </w:pPr>
          <w:r>
            <w:rPr>
              <w:rFonts w:ascii="SimHei" w:eastAsia="SimHei" w:hAnsi="SimHei" w:cs="SimHei"/>
              <w:spacing w:val="-9"/>
              <w:position w:val="4"/>
              <w:sz w:val="28"/>
              <w:szCs w:val="28"/>
            </w:rPr>
            <w:t>1</w:t>
          </w:r>
          <w:r>
            <w:rPr>
              <w:rFonts w:ascii="SimHei" w:eastAsia="SimHei" w:hAnsi="SimHei" w:cs="SimHei"/>
              <w:spacing w:val="38"/>
              <w:position w:val="4"/>
              <w:sz w:val="28"/>
              <w:szCs w:val="28"/>
            </w:rPr>
            <w:t xml:space="preserve"> </w:t>
          </w:r>
          <w:hyperlink w:anchor="bookmark1" w:history="1">
            <w:r>
              <w:rPr>
                <w:spacing w:val="-9"/>
                <w:position w:val="4"/>
              </w:rPr>
              <w:t>总则</w:t>
            </w:r>
            <w:r>
              <w:rPr>
                <w:position w:val="4"/>
              </w:rPr>
              <w:tab/>
            </w:r>
            <w:r>
              <w:rPr>
                <w:spacing w:val="3"/>
                <w:position w:val="4"/>
              </w:rPr>
              <w:t>1</w:t>
            </w:r>
          </w:hyperlink>
        </w:p>
        <w:p>
          <w:pPr>
            <w:pStyle w:val="BodyText"/>
            <w:tabs>
              <w:tab w:val="right" w:leader="dot" w:pos="8315"/>
            </w:tabs>
            <w:spacing w:before="153" w:line="408" w:lineRule="exact"/>
            <w:ind w:left="24"/>
          </w:pPr>
          <w:r>
            <w:rPr>
              <w:rFonts w:ascii="SimHei" w:eastAsia="SimHei" w:hAnsi="SimHei" w:cs="SimHei"/>
              <w:spacing w:val="-4"/>
              <w:position w:val="4"/>
              <w:sz w:val="28"/>
              <w:szCs w:val="28"/>
            </w:rPr>
            <w:t>2</w:t>
          </w:r>
          <w:r>
            <w:rPr>
              <w:rFonts w:ascii="SimHei" w:eastAsia="SimHei" w:hAnsi="SimHei" w:cs="SimHei"/>
              <w:spacing w:val="39"/>
              <w:position w:val="4"/>
              <w:sz w:val="28"/>
              <w:szCs w:val="28"/>
            </w:rPr>
            <w:t xml:space="preserve"> </w:t>
          </w:r>
          <w:hyperlink w:anchor="bookmark2" w:history="1">
            <w:r>
              <w:rPr>
                <w:spacing w:val="-4"/>
                <w:position w:val="4"/>
              </w:rPr>
              <w:t>术语</w:t>
            </w:r>
            <w:r>
              <w:rPr>
                <w:position w:val="4"/>
              </w:rPr>
              <w:tab/>
            </w:r>
            <w:r>
              <w:rPr>
                <w:spacing w:val="3"/>
                <w:position w:val="4"/>
              </w:rPr>
              <w:t>2</w:t>
            </w:r>
          </w:hyperlink>
        </w:p>
        <w:p>
          <w:pPr>
            <w:pStyle w:val="BodyText"/>
            <w:tabs>
              <w:tab w:val="right" w:leader="dot" w:pos="8315"/>
            </w:tabs>
            <w:spacing w:before="155" w:line="407" w:lineRule="exact"/>
            <w:ind w:left="26"/>
          </w:pPr>
          <w:r>
            <w:rPr>
              <w:rFonts w:ascii="SimHei" w:eastAsia="SimHei" w:hAnsi="SimHei" w:cs="SimHei"/>
              <w:spacing w:val="-3"/>
              <w:position w:val="4"/>
              <w:sz w:val="28"/>
              <w:szCs w:val="28"/>
            </w:rPr>
            <w:t>3</w:t>
          </w:r>
          <w:r>
            <w:rPr>
              <w:rFonts w:ascii="SimHei" w:eastAsia="SimHei" w:hAnsi="SimHei" w:cs="SimHei"/>
              <w:spacing w:val="40"/>
              <w:position w:val="4"/>
              <w:sz w:val="28"/>
              <w:szCs w:val="28"/>
            </w:rPr>
            <w:t xml:space="preserve"> </w:t>
          </w:r>
          <w:hyperlink w:anchor="bookmark3" w:history="1">
            <w:r>
              <w:rPr>
                <w:spacing w:val="-3"/>
                <w:position w:val="4"/>
              </w:rPr>
              <w:t>基本规定</w:t>
            </w:r>
            <w:r>
              <w:rPr>
                <w:position w:val="4"/>
              </w:rPr>
              <w:tab/>
            </w:r>
            <w:r>
              <w:rPr>
                <w:spacing w:val="3"/>
                <w:position w:val="4"/>
              </w:rPr>
              <w:t>3</w:t>
            </w:r>
          </w:hyperlink>
        </w:p>
        <w:p>
          <w:pPr>
            <w:pStyle w:val="BodyText"/>
            <w:tabs>
              <w:tab w:val="right" w:leader="dot" w:pos="8315"/>
            </w:tabs>
            <w:spacing w:before="231" w:line="195" w:lineRule="auto"/>
            <w:ind w:left="19"/>
          </w:pPr>
          <w:r>
            <w:rPr>
              <w:rFonts w:ascii="SimHei" w:eastAsia="SimHei" w:hAnsi="SimHei" w:cs="SimHei"/>
              <w:spacing w:val="-2"/>
              <w:sz w:val="28"/>
              <w:szCs w:val="28"/>
            </w:rPr>
            <w:t>4</w:t>
          </w:r>
          <w:r>
            <w:rPr>
              <w:rFonts w:ascii="SimHei" w:eastAsia="SimHei" w:hAnsi="SimHei" w:cs="SimHei"/>
              <w:spacing w:val="52"/>
              <w:sz w:val="28"/>
              <w:szCs w:val="28"/>
            </w:rPr>
            <w:t xml:space="preserve"> </w:t>
          </w:r>
          <w:r>
            <w:rPr>
              <w:spacing w:val="-2"/>
            </w:rPr>
            <w:t>材料、设备及构配件</w:t>
          </w:r>
          <w:r>
            <w:rPr>
              <w:spacing w:val="-103"/>
            </w:rPr>
            <w:t xml:space="preserve"> </w:t>
          </w:r>
          <w:r>
            <w:tab/>
          </w:r>
          <w:hyperlink w:anchor="bookmark4" w:history="1">
            <w:r>
              <w:rPr>
                <w:spacing w:val="3"/>
              </w:rPr>
              <w:t>5</w:t>
            </w:r>
          </w:hyperlink>
        </w:p>
        <w:p>
          <w:pPr>
            <w:pStyle w:val="BodyText"/>
            <w:tabs>
              <w:tab w:val="right" w:leader="dot" w:pos="8307"/>
            </w:tabs>
            <w:spacing w:before="190" w:line="409" w:lineRule="exact"/>
            <w:ind w:left="443"/>
          </w:pPr>
          <w:r>
            <w:rPr>
              <w:spacing w:val="-2"/>
              <w:position w:val="4"/>
              <w:sz w:val="28"/>
              <w:szCs w:val="28"/>
            </w:rPr>
            <w:t>4.1</w:t>
          </w:r>
          <w:r>
            <w:rPr>
              <w:spacing w:val="103"/>
              <w:position w:val="4"/>
              <w:sz w:val="28"/>
              <w:szCs w:val="28"/>
            </w:rPr>
            <w:t xml:space="preserve"> </w:t>
          </w:r>
          <w:hyperlink w:anchor="bookmark5" w:history="1">
            <w:r>
              <w:rPr>
                <w:spacing w:val="-2"/>
                <w:position w:val="4"/>
              </w:rPr>
              <w:t>一般规定</w:t>
            </w:r>
            <w:r>
              <w:rPr>
                <w:position w:val="4"/>
              </w:rPr>
              <w:tab/>
            </w:r>
            <w:r>
              <w:rPr>
                <w:spacing w:val="14"/>
                <w:position w:val="4"/>
              </w:rPr>
              <w:t>5</w:t>
            </w:r>
          </w:hyperlink>
        </w:p>
        <w:p>
          <w:pPr>
            <w:pStyle w:val="BodyText"/>
            <w:tabs>
              <w:tab w:val="right" w:leader="dot" w:pos="8307"/>
            </w:tabs>
            <w:spacing w:before="153" w:line="409" w:lineRule="exact"/>
            <w:ind w:left="443"/>
          </w:pPr>
          <w:r>
            <w:rPr>
              <w:spacing w:val="-2"/>
              <w:position w:val="4"/>
              <w:sz w:val="28"/>
              <w:szCs w:val="28"/>
            </w:rPr>
            <w:t>4.2</w:t>
          </w:r>
          <w:r>
            <w:rPr>
              <w:spacing w:val="109"/>
              <w:position w:val="4"/>
              <w:sz w:val="28"/>
              <w:szCs w:val="28"/>
            </w:rPr>
            <w:t xml:space="preserve"> </w:t>
          </w:r>
          <w:hyperlink w:anchor="bookmark6" w:history="1">
            <w:r>
              <w:rPr>
                <w:spacing w:val="-2"/>
                <w:position w:val="4"/>
              </w:rPr>
              <w:t>固定式作业平台</w:t>
            </w:r>
            <w:r>
              <w:rPr>
                <w:position w:val="4"/>
              </w:rPr>
              <w:tab/>
            </w:r>
            <w:r>
              <w:rPr>
                <w:spacing w:val="14"/>
                <w:position w:val="4"/>
              </w:rPr>
              <w:t>5</w:t>
            </w:r>
          </w:hyperlink>
        </w:p>
        <w:p>
          <w:pPr>
            <w:pStyle w:val="BodyText"/>
            <w:tabs>
              <w:tab w:val="right" w:leader="dot" w:pos="8307"/>
            </w:tabs>
            <w:spacing w:before="154" w:line="409" w:lineRule="exact"/>
            <w:ind w:left="443"/>
          </w:pPr>
          <w:r>
            <w:rPr>
              <w:spacing w:val="-2"/>
              <w:position w:val="4"/>
              <w:sz w:val="28"/>
              <w:szCs w:val="28"/>
            </w:rPr>
            <w:t>4.3</w:t>
          </w:r>
          <w:r>
            <w:rPr>
              <w:spacing w:val="109"/>
              <w:position w:val="4"/>
              <w:sz w:val="28"/>
              <w:szCs w:val="28"/>
            </w:rPr>
            <w:t xml:space="preserve"> </w:t>
          </w:r>
          <w:hyperlink w:anchor="bookmark7" w:history="1">
            <w:r>
              <w:rPr>
                <w:spacing w:val="-2"/>
                <w:position w:val="4"/>
              </w:rPr>
              <w:t>移动式作业平台</w:t>
            </w:r>
            <w:r>
              <w:rPr>
                <w:position w:val="4"/>
              </w:rPr>
              <w:tab/>
            </w:r>
            <w:r>
              <w:rPr>
                <w:spacing w:val="14"/>
                <w:position w:val="4"/>
              </w:rPr>
              <w:t>5</w:t>
            </w:r>
          </w:hyperlink>
        </w:p>
        <w:p>
          <w:pPr>
            <w:pStyle w:val="BodyText"/>
            <w:tabs>
              <w:tab w:val="right" w:leader="dot" w:pos="8315"/>
            </w:tabs>
            <w:spacing w:before="153" w:line="409" w:lineRule="exact"/>
            <w:ind w:left="20"/>
          </w:pPr>
          <w:r>
            <w:rPr>
              <w:rFonts w:ascii="SimHei" w:eastAsia="SimHei" w:hAnsi="SimHei" w:cs="SimHei"/>
              <w:spacing w:val="-1"/>
              <w:position w:val="4"/>
              <w:sz w:val="28"/>
              <w:szCs w:val="28"/>
            </w:rPr>
            <w:t>5</w:t>
          </w:r>
          <w:r>
            <w:rPr>
              <w:rFonts w:ascii="SimHei" w:eastAsia="SimHei" w:hAnsi="SimHei" w:cs="SimHei"/>
              <w:spacing w:val="39"/>
              <w:position w:val="4"/>
              <w:sz w:val="28"/>
              <w:szCs w:val="28"/>
            </w:rPr>
            <w:t xml:space="preserve"> </w:t>
          </w:r>
          <w:hyperlink w:anchor="bookmark8" w:history="1">
            <w:r>
              <w:rPr>
                <w:spacing w:val="-1"/>
                <w:position w:val="4"/>
              </w:rPr>
              <w:t>固定式作业平台</w:t>
            </w:r>
            <w:r>
              <w:rPr>
                <w:position w:val="4"/>
              </w:rPr>
              <w:tab/>
            </w:r>
            <w:r>
              <w:rPr>
                <w:spacing w:val="3"/>
                <w:position w:val="4"/>
              </w:rPr>
              <w:t>7</w:t>
            </w:r>
          </w:hyperlink>
        </w:p>
        <w:p>
          <w:pPr>
            <w:pStyle w:val="BodyText"/>
            <w:tabs>
              <w:tab w:val="right" w:leader="dot" w:pos="8307"/>
            </w:tabs>
            <w:spacing w:before="231" w:line="196" w:lineRule="auto"/>
            <w:ind w:left="449"/>
          </w:pPr>
          <w:r>
            <w:rPr>
              <w:spacing w:val="-5"/>
              <w:sz w:val="28"/>
              <w:szCs w:val="28"/>
            </w:rPr>
            <w:t>5.1</w:t>
          </w:r>
          <w:r>
            <w:rPr>
              <w:spacing w:val="117"/>
              <w:sz w:val="28"/>
              <w:szCs w:val="28"/>
            </w:rPr>
            <w:t xml:space="preserve"> </w:t>
          </w:r>
          <w:r>
            <w:rPr>
              <w:spacing w:val="-5"/>
            </w:rPr>
            <w:t>一般规定</w:t>
          </w:r>
          <w:r>
            <w:rPr>
              <w:spacing w:val="-103"/>
            </w:rPr>
            <w:t xml:space="preserve"> </w:t>
          </w:r>
          <w:r>
            <w:tab/>
          </w:r>
          <w:r>
            <w:rPr>
              <w:spacing w:val="-90"/>
            </w:rPr>
            <w:t xml:space="preserve"> </w:t>
          </w:r>
          <w:hyperlink w:anchor="bookmark9" w:history="1">
            <w:r>
              <w:t>7</w:t>
            </w:r>
          </w:hyperlink>
        </w:p>
        <w:p>
          <w:pPr>
            <w:pStyle w:val="BodyText"/>
            <w:tabs>
              <w:tab w:val="right" w:leader="dot" w:pos="8307"/>
            </w:tabs>
            <w:spacing w:before="188" w:line="408" w:lineRule="exact"/>
            <w:ind w:left="449"/>
          </w:pPr>
          <w:r>
            <w:rPr>
              <w:spacing w:val="-3"/>
              <w:position w:val="4"/>
              <w:sz w:val="28"/>
              <w:szCs w:val="28"/>
            </w:rPr>
            <w:t>5.2</w:t>
          </w:r>
          <w:r>
            <w:rPr>
              <w:spacing w:val="103"/>
              <w:position w:val="4"/>
              <w:sz w:val="28"/>
              <w:szCs w:val="28"/>
            </w:rPr>
            <w:t xml:space="preserve"> </w:t>
          </w:r>
          <w:hyperlink w:anchor="bookmark10" w:history="1">
            <w:r>
              <w:rPr>
                <w:spacing w:val="-3"/>
                <w:position w:val="4"/>
              </w:rPr>
              <w:t>设计计算</w:t>
            </w:r>
            <w:r>
              <w:rPr>
                <w:position w:val="4"/>
              </w:rPr>
              <w:tab/>
            </w:r>
            <w:r>
              <w:rPr>
                <w:spacing w:val="14"/>
                <w:position w:val="4"/>
              </w:rPr>
              <w:t>7</w:t>
            </w:r>
          </w:hyperlink>
        </w:p>
        <w:p>
          <w:pPr>
            <w:pStyle w:val="BodyText"/>
            <w:tabs>
              <w:tab w:val="right" w:leader="dot" w:pos="8307"/>
            </w:tabs>
            <w:spacing w:before="154" w:line="409" w:lineRule="exact"/>
            <w:ind w:left="449"/>
          </w:pPr>
          <w:r>
            <w:rPr>
              <w:spacing w:val="-3"/>
              <w:position w:val="4"/>
              <w:sz w:val="28"/>
              <w:szCs w:val="28"/>
            </w:rPr>
            <w:t>5.3</w:t>
          </w:r>
          <w:r>
            <w:rPr>
              <w:spacing w:val="103"/>
              <w:position w:val="4"/>
              <w:sz w:val="28"/>
              <w:szCs w:val="28"/>
            </w:rPr>
            <w:t xml:space="preserve"> </w:t>
          </w:r>
          <w:hyperlink w:anchor="bookmark11" w:history="1">
            <w:r>
              <w:rPr>
                <w:spacing w:val="-3"/>
                <w:position w:val="4"/>
              </w:rPr>
              <w:t>构造要求</w:t>
            </w:r>
            <w:r>
              <w:rPr>
                <w:position w:val="4"/>
              </w:rPr>
              <w:tab/>
            </w:r>
            <w:r>
              <w:rPr>
                <w:spacing w:val="14"/>
                <w:position w:val="4"/>
              </w:rPr>
              <w:t>7</w:t>
            </w:r>
          </w:hyperlink>
        </w:p>
        <w:p>
          <w:pPr>
            <w:pStyle w:val="BodyText"/>
            <w:tabs>
              <w:tab w:val="right" w:leader="dot" w:pos="8307"/>
            </w:tabs>
            <w:spacing w:before="154" w:line="408" w:lineRule="exact"/>
            <w:ind w:left="449"/>
          </w:pPr>
          <w:r>
            <w:rPr>
              <w:spacing w:val="-2"/>
              <w:position w:val="4"/>
              <w:sz w:val="28"/>
              <w:szCs w:val="28"/>
            </w:rPr>
            <w:t>5.4</w:t>
          </w:r>
          <w:r>
            <w:rPr>
              <w:spacing w:val="110"/>
              <w:position w:val="4"/>
              <w:sz w:val="28"/>
              <w:szCs w:val="28"/>
            </w:rPr>
            <w:t xml:space="preserve"> </w:t>
          </w:r>
          <w:hyperlink w:anchor="bookmark12" w:history="1">
            <w:r>
              <w:rPr>
                <w:spacing w:val="-2"/>
                <w:position w:val="4"/>
              </w:rPr>
              <w:t>搭设、验收、使用与拆除</w:t>
            </w:r>
            <w:r>
              <w:rPr>
                <w:position w:val="4"/>
              </w:rPr>
              <w:tab/>
            </w:r>
            <w:r>
              <w:rPr>
                <w:spacing w:val="7"/>
                <w:position w:val="4"/>
              </w:rPr>
              <w:t>10</w:t>
            </w:r>
          </w:hyperlink>
        </w:p>
        <w:p>
          <w:pPr>
            <w:pStyle w:val="BodyText"/>
            <w:tabs>
              <w:tab w:val="right" w:leader="dot" w:pos="8312"/>
            </w:tabs>
            <w:spacing w:before="154" w:line="409" w:lineRule="exact"/>
            <w:ind w:left="25"/>
          </w:pPr>
          <w:r>
            <w:rPr>
              <w:rFonts w:ascii="SimHei" w:eastAsia="SimHei" w:hAnsi="SimHei" w:cs="SimHei"/>
              <w:spacing w:val="-2"/>
              <w:position w:val="4"/>
              <w:sz w:val="28"/>
              <w:szCs w:val="28"/>
            </w:rPr>
            <w:t>6</w:t>
          </w:r>
          <w:r>
            <w:rPr>
              <w:rFonts w:ascii="SimHei" w:eastAsia="SimHei" w:hAnsi="SimHei" w:cs="SimHei"/>
              <w:spacing w:val="42"/>
              <w:position w:val="4"/>
              <w:sz w:val="28"/>
              <w:szCs w:val="28"/>
            </w:rPr>
            <w:t xml:space="preserve"> </w:t>
          </w:r>
          <w:hyperlink w:anchor="bookmark13" w:history="1">
            <w:r>
              <w:rPr>
                <w:spacing w:val="-2"/>
                <w:position w:val="4"/>
              </w:rPr>
              <w:t>移动式作业平台</w:t>
            </w:r>
            <w:r>
              <w:rPr>
                <w:position w:val="4"/>
              </w:rPr>
              <w:tab/>
            </w:r>
            <w:r>
              <w:rPr>
                <w:position w:val="4"/>
              </w:rPr>
              <w:t>1</w:t>
            </w:r>
          </w:hyperlink>
          <w:r>
            <w:rPr>
              <w:position w:val="4"/>
            </w:rPr>
            <w:t>2</w:t>
          </w:r>
        </w:p>
        <w:p>
          <w:pPr>
            <w:pStyle w:val="BodyText"/>
            <w:tabs>
              <w:tab w:val="right" w:leader="dot" w:pos="8307"/>
            </w:tabs>
            <w:spacing w:before="153" w:line="409" w:lineRule="exact"/>
            <w:ind w:left="446"/>
          </w:pPr>
          <w:r>
            <w:rPr>
              <w:spacing w:val="-3"/>
              <w:position w:val="4"/>
              <w:sz w:val="28"/>
              <w:szCs w:val="28"/>
            </w:rPr>
            <w:t>6.1</w:t>
          </w:r>
          <w:r>
            <w:rPr>
              <w:spacing w:val="107"/>
              <w:position w:val="4"/>
              <w:sz w:val="28"/>
              <w:szCs w:val="28"/>
            </w:rPr>
            <w:t xml:space="preserve"> </w:t>
          </w:r>
          <w:hyperlink w:anchor="bookmark14" w:history="1">
            <w:r>
              <w:rPr>
                <w:spacing w:val="-3"/>
                <w:position w:val="4"/>
              </w:rPr>
              <w:t>一般规定</w:t>
            </w:r>
            <w:r>
              <w:rPr>
                <w:position w:val="4"/>
              </w:rPr>
              <w:tab/>
            </w:r>
            <w:r>
              <w:rPr>
                <w:spacing w:val="7"/>
                <w:position w:val="4"/>
              </w:rPr>
              <w:t>1</w:t>
            </w:r>
          </w:hyperlink>
          <w:r>
            <w:rPr>
              <w:spacing w:val="7"/>
              <w:position w:val="4"/>
            </w:rPr>
            <w:t>2</w:t>
          </w:r>
        </w:p>
        <w:p>
          <w:pPr>
            <w:pStyle w:val="BodyText"/>
            <w:tabs>
              <w:tab w:val="right" w:leader="dot" w:pos="8307"/>
            </w:tabs>
            <w:spacing w:before="153" w:line="408" w:lineRule="exact"/>
            <w:ind w:left="446"/>
          </w:pPr>
          <w:r>
            <w:rPr>
              <w:spacing w:val="-3"/>
              <w:position w:val="4"/>
              <w:sz w:val="28"/>
              <w:szCs w:val="28"/>
            </w:rPr>
            <w:t>6.2</w:t>
          </w:r>
          <w:r>
            <w:rPr>
              <w:spacing w:val="110"/>
              <w:position w:val="4"/>
              <w:sz w:val="28"/>
              <w:szCs w:val="28"/>
            </w:rPr>
            <w:t xml:space="preserve"> </w:t>
          </w:r>
          <w:hyperlink w:anchor="bookmark15" w:history="1">
            <w:r>
              <w:rPr>
                <w:spacing w:val="-3"/>
                <w:position w:val="4"/>
              </w:rPr>
              <w:t>承载力要求</w:t>
            </w:r>
            <w:r>
              <w:rPr>
                <w:position w:val="4"/>
              </w:rPr>
              <w:tab/>
            </w:r>
            <w:r>
              <w:rPr>
                <w:spacing w:val="7"/>
                <w:position w:val="4"/>
              </w:rPr>
              <w:t>12</w:t>
            </w:r>
          </w:hyperlink>
        </w:p>
        <w:p>
          <w:pPr>
            <w:pStyle w:val="BodyText"/>
            <w:tabs>
              <w:tab w:val="right" w:leader="dot" w:pos="8307"/>
            </w:tabs>
            <w:spacing w:before="155" w:line="409" w:lineRule="exact"/>
            <w:ind w:left="446"/>
          </w:pPr>
          <w:r>
            <w:rPr>
              <w:spacing w:val="-3"/>
              <w:position w:val="4"/>
              <w:sz w:val="28"/>
              <w:szCs w:val="28"/>
            </w:rPr>
            <w:t>6.3</w:t>
          </w:r>
          <w:r>
            <w:rPr>
              <w:spacing w:val="107"/>
              <w:position w:val="4"/>
              <w:sz w:val="28"/>
              <w:szCs w:val="28"/>
            </w:rPr>
            <w:t xml:space="preserve"> </w:t>
          </w:r>
          <w:hyperlink w:anchor="bookmark16" w:history="1">
            <w:r>
              <w:rPr>
                <w:spacing w:val="-3"/>
                <w:position w:val="4"/>
              </w:rPr>
              <w:t>构造要求</w:t>
            </w:r>
            <w:r>
              <w:rPr>
                <w:position w:val="4"/>
              </w:rPr>
              <w:tab/>
            </w:r>
            <w:r>
              <w:rPr>
                <w:spacing w:val="7"/>
                <w:position w:val="4"/>
              </w:rPr>
              <w:t>12</w:t>
            </w:r>
          </w:hyperlink>
        </w:p>
        <w:p>
          <w:pPr>
            <w:pStyle w:val="BodyText"/>
            <w:tabs>
              <w:tab w:val="right" w:leader="dot" w:pos="8307"/>
            </w:tabs>
            <w:spacing w:before="154" w:line="408" w:lineRule="exact"/>
            <w:ind w:left="446"/>
          </w:pPr>
          <w:r>
            <w:rPr>
              <w:spacing w:val="-2"/>
              <w:position w:val="4"/>
              <w:sz w:val="28"/>
              <w:szCs w:val="28"/>
            </w:rPr>
            <w:t>6.4</w:t>
          </w:r>
          <w:r>
            <w:rPr>
              <w:spacing w:val="114"/>
              <w:position w:val="4"/>
              <w:sz w:val="28"/>
              <w:szCs w:val="28"/>
            </w:rPr>
            <w:t xml:space="preserve"> </w:t>
          </w:r>
          <w:hyperlink w:anchor="bookmark17" w:history="1">
            <w:r>
              <w:rPr>
                <w:spacing w:val="-2"/>
                <w:position w:val="4"/>
              </w:rPr>
              <w:t>安装、验收、使用与拆除</w:t>
            </w:r>
            <w:r>
              <w:rPr>
                <w:position w:val="4"/>
              </w:rPr>
              <w:tab/>
            </w:r>
            <w:r>
              <w:rPr>
                <w:spacing w:val="7"/>
                <w:position w:val="4"/>
              </w:rPr>
              <w:t>16</w:t>
            </w:r>
          </w:hyperlink>
        </w:p>
        <w:p>
          <w:pPr>
            <w:pStyle w:val="BodyText"/>
            <w:tabs>
              <w:tab w:val="right" w:leader="dot" w:pos="8312"/>
            </w:tabs>
            <w:spacing w:before="154" w:line="507" w:lineRule="exact"/>
            <w:ind w:left="27"/>
          </w:pPr>
          <w:r>
            <w:rPr>
              <w:rFonts w:ascii="SimHei" w:eastAsia="SimHei" w:hAnsi="SimHei" w:cs="SimHei"/>
              <w:spacing w:val="-3"/>
              <w:position w:val="7"/>
              <w:sz w:val="28"/>
              <w:szCs w:val="28"/>
            </w:rPr>
            <w:t>7</w:t>
          </w:r>
          <w:r>
            <w:rPr>
              <w:rFonts w:ascii="SimHei" w:eastAsia="SimHei" w:hAnsi="SimHei" w:cs="SimHei"/>
              <w:spacing w:val="38"/>
              <w:position w:val="7"/>
              <w:sz w:val="28"/>
              <w:szCs w:val="28"/>
            </w:rPr>
            <w:t xml:space="preserve"> </w:t>
          </w:r>
          <w:hyperlink w:anchor="bookmark18" w:history="1">
            <w:r>
              <w:rPr>
                <w:spacing w:val="-3"/>
                <w:position w:val="7"/>
              </w:rPr>
              <w:t>安全管理</w:t>
            </w:r>
            <w:r>
              <w:rPr>
                <w:position w:val="7"/>
              </w:rPr>
              <w:tab/>
            </w:r>
            <w:r>
              <w:rPr>
                <w:position w:val="7"/>
              </w:rPr>
              <w:t>18</w:t>
            </w:r>
          </w:hyperlink>
        </w:p>
        <w:p>
          <w:pPr>
            <w:pStyle w:val="BodyText"/>
            <w:tabs>
              <w:tab w:val="right" w:leader="dot" w:pos="8312"/>
            </w:tabs>
            <w:spacing w:before="246" w:line="219" w:lineRule="auto"/>
            <w:ind w:left="43"/>
          </w:pPr>
          <w:r>
            <w:rPr>
              <w:spacing w:val="-3"/>
            </w:rPr>
            <w:t>附录 A 作业平台验收</w:t>
          </w:r>
          <w:r>
            <w:rPr>
              <w:spacing w:val="-100"/>
            </w:rPr>
            <w:t xml:space="preserve"> </w:t>
          </w:r>
          <w:r>
            <w:tab/>
          </w:r>
          <w:r>
            <w:rPr>
              <w:spacing w:val="-76"/>
            </w:rPr>
            <w:t xml:space="preserve"> </w:t>
          </w:r>
          <w:hyperlink w:anchor="bookmark19" w:history="1">
            <w:r>
              <w:rPr>
                <w:spacing w:val="-14"/>
              </w:rPr>
              <w:t>1</w:t>
            </w:r>
          </w:hyperlink>
          <w:r>
            <w:rPr>
              <w:spacing w:val="-14"/>
            </w:rPr>
            <w:t>9</w:t>
          </w:r>
        </w:p>
        <w:p>
          <w:pPr>
            <w:spacing w:line="314" w:lineRule="auto"/>
            <w:rPr>
              <w:rFonts w:ascii="Arial"/>
              <w:sz w:val="21"/>
            </w:rPr>
          </w:pPr>
        </w:p>
        <w:p>
          <w:pPr>
            <w:pStyle w:val="BodyText"/>
            <w:tabs>
              <w:tab w:val="right" w:leader="dot" w:pos="8312"/>
            </w:tabs>
            <w:spacing w:before="78" w:line="219" w:lineRule="auto"/>
            <w:ind w:left="23"/>
          </w:pPr>
          <w:hyperlink w:anchor="bookmark20" w:history="1">
            <w:r>
              <w:rPr>
                <w:spacing w:val="-2"/>
              </w:rPr>
              <w:t>本标准用词用语说明</w:t>
            </w:r>
            <w:r>
              <w:tab/>
            </w:r>
            <w:r>
              <w:rPr>
                <w:spacing w:val="9"/>
              </w:rPr>
              <w:t>21</w:t>
            </w:r>
          </w:hyperlink>
        </w:p>
        <w:p>
          <w:pPr>
            <w:spacing w:line="312" w:lineRule="auto"/>
            <w:rPr>
              <w:rFonts w:ascii="Arial"/>
              <w:sz w:val="21"/>
            </w:rPr>
          </w:pPr>
        </w:p>
        <w:p>
          <w:pPr>
            <w:pStyle w:val="BodyText"/>
            <w:tabs>
              <w:tab w:val="right" w:leader="dot" w:pos="8312"/>
            </w:tabs>
            <w:spacing w:before="79" w:line="220" w:lineRule="auto"/>
            <w:ind w:left="43"/>
          </w:pPr>
          <w:r>
            <w:rPr>
              <w:spacing w:val="-5"/>
            </w:rPr>
            <w:t>引用标准名录</w:t>
          </w:r>
          <w:r>
            <w:rPr>
              <w:spacing w:val="-102"/>
            </w:rPr>
            <w:t xml:space="preserve"> </w:t>
          </w:r>
          <w:r>
            <w:tab/>
          </w:r>
          <w:r>
            <w:rPr>
              <w:spacing w:val="-90"/>
            </w:rPr>
            <w:t xml:space="preserve"> </w:t>
          </w:r>
          <w:hyperlink w:anchor="bookmark21" w:history="1">
            <w:r>
              <w:rPr>
                <w:spacing w:val="-7"/>
              </w:rPr>
              <w:t>2</w:t>
            </w:r>
          </w:hyperlink>
          <w:r>
            <w:rPr>
              <w:spacing w:val="-7"/>
            </w:rPr>
            <w:t>2</w:t>
          </w:r>
        </w:p>
        <w:p>
          <w:pPr>
            <w:spacing w:line="313" w:lineRule="auto"/>
            <w:rPr>
              <w:rFonts w:ascii="Arial"/>
              <w:sz w:val="21"/>
            </w:rPr>
          </w:pPr>
        </w:p>
        <w:p>
          <w:pPr>
            <w:pStyle w:val="BodyText"/>
            <w:tabs>
              <w:tab w:val="right" w:leader="dot" w:pos="8312"/>
            </w:tabs>
            <w:spacing w:before="79" w:line="219" w:lineRule="auto"/>
            <w:ind w:left="27"/>
          </w:pPr>
          <w:r>
            <w:rPr>
              <w:spacing w:val="-3"/>
            </w:rPr>
            <w:t>条文说明</w:t>
          </w:r>
          <w:r>
            <w:rPr>
              <w:spacing w:val="-103"/>
            </w:rPr>
            <w:t xml:space="preserve"> </w:t>
          </w:r>
          <w:r>
            <w:tab/>
          </w:r>
          <w:r>
            <w:rPr>
              <w:spacing w:val="-90"/>
            </w:rPr>
            <w:t xml:space="preserve"> </w:t>
          </w:r>
          <w:hyperlink w:anchor="bookmark22" w:history="1">
            <w:r>
              <w:rPr>
                <w:spacing w:val="-7"/>
              </w:rPr>
              <w:t>2</w:t>
            </w:r>
          </w:hyperlink>
          <w:r>
            <w:rPr>
              <w:spacing w:val="-7"/>
            </w:rPr>
            <w:t>3</w:t>
          </w:r>
        </w:p>
      </w:sdtContent>
    </w:sdt>
    <w:p>
      <w:pPr>
        <w:spacing w:line="219" w:lineRule="auto"/>
        <w:sectPr>
          <w:headerReference w:type="default" r:id="rId6"/>
          <w:footerReference w:type="default" r:id="rId7"/>
          <w:pgSz w:w="11910" w:h="16840"/>
          <w:pgMar w:top="400" w:right="1786" w:bottom="400" w:left="1786" w:header="0" w:footer="0" w:gutter="0"/>
          <w:pgNumType w:start="3"/>
          <w:cols w:space="708"/>
        </w:sect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BodyText"/>
        <w:spacing w:before="91" w:line="221" w:lineRule="auto"/>
        <w:ind w:left="4307"/>
        <w:rPr>
          <w:sz w:val="28"/>
          <w:szCs w:val="28"/>
        </w:rPr>
      </w:pPr>
      <w:bookmarkStart w:id="0" w:name="bookmark1"/>
      <w:bookmarkEnd w:id="0"/>
      <w:r>
        <w:rPr>
          <w:spacing w:val="-17"/>
          <w:sz w:val="28"/>
          <w:szCs w:val="28"/>
        </w:rPr>
        <w:t>1</w:t>
      </w:r>
      <w:r>
        <w:rPr>
          <w:spacing w:val="100"/>
          <w:sz w:val="28"/>
          <w:szCs w:val="28"/>
        </w:rPr>
        <w:t xml:space="preserve"> </w:t>
      </w:r>
      <w:r>
        <w:rPr>
          <w:spacing w:val="-17"/>
          <w:sz w:val="28"/>
          <w:szCs w:val="28"/>
        </w:rPr>
        <w:t>总则</w:t>
      </w:r>
    </w:p>
    <w:p>
      <w:pPr>
        <w:spacing w:line="400" w:lineRule="auto"/>
        <w:rPr>
          <w:rFonts w:ascii="Arial"/>
          <w:sz w:val="21"/>
        </w:rPr>
      </w:pPr>
    </w:p>
    <w:p>
      <w:pPr>
        <w:pStyle w:val="BodyText"/>
        <w:spacing w:before="78" w:line="465" w:lineRule="exact"/>
        <w:ind w:left="18"/>
      </w:pPr>
      <w:r>
        <w:rPr>
          <w:spacing w:val="5"/>
          <w:position w:val="17"/>
        </w:rPr>
        <w:t>1.0.1  为贯彻执行国家安全生产方针政策，规范电梯井道施工作业平台的设计、安</w:t>
      </w:r>
    </w:p>
    <w:p>
      <w:pPr>
        <w:pStyle w:val="BodyText"/>
        <w:spacing w:line="218" w:lineRule="auto"/>
      </w:pPr>
      <w:r>
        <w:t>装、验收、使用及拆除，做到技术先进、经济合理、</w:t>
      </w:r>
      <w:r>
        <w:rPr>
          <w:spacing w:val="-1"/>
        </w:rPr>
        <w:t>安全可靠，制定本标准。</w:t>
      </w:r>
    </w:p>
    <w:p>
      <w:pPr>
        <w:pStyle w:val="BodyText"/>
        <w:spacing w:before="183" w:line="466" w:lineRule="exact"/>
        <w:ind w:left="18"/>
      </w:pPr>
      <w:r>
        <w:rPr>
          <w:spacing w:val="5"/>
          <w:position w:val="17"/>
        </w:rPr>
        <w:t>1.0.2  本标准适用于河南省行政区域内新建、改建和</w:t>
      </w:r>
      <w:r>
        <w:rPr>
          <w:spacing w:val="4"/>
          <w:position w:val="17"/>
        </w:rPr>
        <w:t>扩建工程的电梯井道施工作业</w:t>
      </w:r>
    </w:p>
    <w:p>
      <w:pPr>
        <w:pStyle w:val="BodyText"/>
        <w:spacing w:line="219" w:lineRule="auto"/>
      </w:pPr>
      <w:r>
        <w:rPr>
          <w:spacing w:val="-1"/>
        </w:rPr>
        <w:t>平台的设计、安装、验收、使用及拆除。</w:t>
      </w:r>
    </w:p>
    <w:p>
      <w:pPr>
        <w:pStyle w:val="BodyText"/>
        <w:spacing w:before="183" w:line="465" w:lineRule="exact"/>
        <w:ind w:left="18"/>
      </w:pPr>
      <w:r>
        <w:rPr>
          <w:spacing w:val="11"/>
          <w:position w:val="17"/>
        </w:rPr>
        <w:t>1.0.3  电梯井道施工作业平台设计、安装、验收、使用及拆除，除应符</w:t>
      </w:r>
      <w:r>
        <w:rPr>
          <w:spacing w:val="10"/>
          <w:position w:val="17"/>
        </w:rPr>
        <w:t>合本标准</w:t>
      </w:r>
    </w:p>
    <w:p>
      <w:pPr>
        <w:pStyle w:val="BodyText"/>
        <w:spacing w:before="1" w:line="219" w:lineRule="auto"/>
        <w:ind w:left="5"/>
      </w:pPr>
      <w:r>
        <w:rPr>
          <w:spacing w:val="-2"/>
        </w:rPr>
        <w:t>外，</w:t>
      </w:r>
      <w:r>
        <w:rPr>
          <w:spacing w:val="44"/>
        </w:rPr>
        <w:t xml:space="preserve"> </w:t>
      </w:r>
      <w:r>
        <w:rPr>
          <w:spacing w:val="-2"/>
        </w:rPr>
        <w:t>尚应符合国家、行业及河南省现行相关法律法规和标准的规定。</w:t>
      </w:r>
    </w:p>
    <w:p>
      <w:pPr>
        <w:spacing w:line="219" w:lineRule="auto"/>
        <w:sectPr>
          <w:headerReference w:type="default" r:id="rId8"/>
          <w:footerReference w:type="default" r:id="rId9"/>
          <w:pgSz w:w="11910" w:h="16840"/>
          <w:pgMar w:top="400" w:right="1279" w:bottom="1229" w:left="1148" w:header="0" w:footer="1049" w:gutter="0"/>
          <w:pgNumType w:start="4"/>
          <w:cols w:space="708"/>
        </w:sect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1" w:lineRule="auto"/>
        <w:rPr>
          <w:rFonts w:ascii="Arial"/>
          <w:sz w:val="21"/>
        </w:rPr>
      </w:pPr>
    </w:p>
    <w:p>
      <w:pPr>
        <w:pStyle w:val="BodyText"/>
        <w:spacing w:before="91" w:line="220" w:lineRule="auto"/>
        <w:ind w:left="3623"/>
        <w:rPr>
          <w:sz w:val="28"/>
          <w:szCs w:val="28"/>
        </w:rPr>
      </w:pPr>
      <w:bookmarkStart w:id="1" w:name="bookmark2"/>
      <w:bookmarkEnd w:id="1"/>
      <w:bookmarkStart w:id="2" w:name="bookmark4"/>
      <w:bookmarkEnd w:id="2"/>
      <w:r>
        <w:rPr>
          <w:spacing w:val="-9"/>
          <w:sz w:val="28"/>
          <w:szCs w:val="28"/>
        </w:rPr>
        <w:t>2</w:t>
      </w:r>
      <w:r>
        <w:rPr>
          <w:spacing w:val="6"/>
          <w:sz w:val="28"/>
          <w:szCs w:val="28"/>
        </w:rPr>
        <w:t xml:space="preserve">  </w:t>
      </w:r>
      <w:r>
        <w:rPr>
          <w:spacing w:val="-9"/>
          <w:sz w:val="28"/>
          <w:szCs w:val="28"/>
        </w:rPr>
        <w:t>术语</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BodyText"/>
        <w:spacing w:before="78" w:line="214" w:lineRule="auto"/>
        <w:ind w:left="25"/>
      </w:pPr>
      <w:r>
        <w:rPr>
          <w:spacing w:val="-1"/>
          <w14:textOutline w14:w="4330" w14:cap="sq">
            <w14:solidFill>
              <w14:srgbClr w14:val="000000"/>
            </w14:solidFill>
            <w14:prstDash w14:val="solid"/>
            <w14:bevel/>
          </w14:textOutline>
        </w:rPr>
        <w:t>2.0.1</w:t>
      </w:r>
      <w:r>
        <w:rPr>
          <w:spacing w:val="-1"/>
        </w:rPr>
        <w:t xml:space="preserve">  电梯井道施工作业平台 Elevator</w:t>
      </w:r>
      <w:r>
        <w:rPr>
          <w:spacing w:val="33"/>
        </w:rPr>
        <w:t xml:space="preserve"> </w:t>
      </w:r>
      <w:r>
        <w:rPr>
          <w:spacing w:val="-1"/>
        </w:rPr>
        <w:t>shaft construction</w:t>
      </w:r>
      <w:r>
        <w:rPr>
          <w:spacing w:val="7"/>
        </w:rPr>
        <w:t xml:space="preserve"> </w:t>
      </w:r>
      <w:r>
        <w:rPr>
          <w:spacing w:val="-1"/>
        </w:rPr>
        <w:t>plat-form</w:t>
      </w:r>
    </w:p>
    <w:p>
      <w:pPr>
        <w:spacing w:line="270" w:lineRule="auto"/>
        <w:rPr>
          <w:rFonts w:ascii="Arial"/>
          <w:sz w:val="21"/>
        </w:rPr>
      </w:pPr>
    </w:p>
    <w:p>
      <w:pPr>
        <w:pStyle w:val="BodyText"/>
        <w:spacing w:before="78" w:line="466" w:lineRule="exact"/>
        <w:ind w:left="441"/>
      </w:pPr>
      <w:r>
        <w:rPr>
          <w:spacing w:val="7"/>
          <w:position w:val="17"/>
        </w:rPr>
        <w:t>在电梯井道内设置的用于电梯安装及拆除的施工作业平台（以下简称为</w:t>
      </w:r>
    </w:p>
    <w:p>
      <w:pPr>
        <w:pStyle w:val="BodyText"/>
        <w:spacing w:line="220" w:lineRule="auto"/>
        <w:ind w:left="23"/>
      </w:pPr>
      <w:r>
        <w:rPr>
          <w:spacing w:val="-1"/>
        </w:rPr>
        <w:t>作业平台</w:t>
      </w:r>
      <w:r>
        <w:rPr>
          <w:spacing w:val="17"/>
        </w:rPr>
        <w:t>），</w:t>
      </w:r>
      <w:r>
        <w:rPr>
          <w:spacing w:val="-1"/>
        </w:rPr>
        <w:t>分为固定式作业平台和移动式作业平台。</w:t>
      </w:r>
    </w:p>
    <w:p>
      <w:pPr>
        <w:pStyle w:val="BodyText"/>
        <w:spacing w:before="181" w:line="214" w:lineRule="auto"/>
        <w:ind w:left="25"/>
      </w:pPr>
      <w:r>
        <w:rPr>
          <w14:textOutline w14:w="4330" w14:cap="sq">
            <w14:solidFill>
              <w14:srgbClr w14:val="000000"/>
            </w14:solidFill>
            <w14:prstDash w14:val="solid"/>
            <w14:bevel/>
          </w14:textOutline>
        </w:rPr>
        <w:t>2.0.2</w:t>
      </w:r>
      <w:r>
        <w:t xml:space="preserve">  固定式作业平台  Fixed-type Wor</w:t>
      </w:r>
      <w:r>
        <w:rPr>
          <w:spacing w:val="-1"/>
        </w:rPr>
        <w:t>king Platform</w:t>
      </w:r>
    </w:p>
    <w:p>
      <w:pPr>
        <w:spacing w:line="269" w:lineRule="auto"/>
        <w:rPr>
          <w:rFonts w:ascii="Arial"/>
          <w:sz w:val="21"/>
        </w:rPr>
      </w:pPr>
    </w:p>
    <w:p>
      <w:pPr>
        <w:pStyle w:val="BodyText"/>
        <w:spacing w:before="78" w:line="468" w:lineRule="exact"/>
        <w:ind w:left="444"/>
      </w:pPr>
      <w:r>
        <w:rPr>
          <w:position w:val="17"/>
        </w:rPr>
        <w:t>用钢管、型钢等材料，在电梯井道底坑或支撑</w:t>
      </w:r>
      <w:r>
        <w:rPr>
          <w:spacing w:val="-1"/>
          <w:position w:val="17"/>
        </w:rPr>
        <w:t>结构上搭设用于电梯安装及拆</w:t>
      </w:r>
    </w:p>
    <w:p>
      <w:pPr>
        <w:pStyle w:val="BodyText"/>
        <w:spacing w:line="219" w:lineRule="auto"/>
        <w:ind w:left="37"/>
      </w:pPr>
      <w:r>
        <w:rPr>
          <w:spacing w:val="-1"/>
        </w:rPr>
        <w:t>除的作业平台，包括落地固定式作业平台和分段支撑固定式作业平台。</w:t>
      </w:r>
    </w:p>
    <w:p>
      <w:pPr>
        <w:pStyle w:val="BodyText"/>
        <w:spacing w:before="179" w:line="214" w:lineRule="auto"/>
        <w:ind w:left="25"/>
      </w:pPr>
      <w:r>
        <w:rPr>
          <w14:textOutline w14:w="4330" w14:cap="sq">
            <w14:solidFill>
              <w14:srgbClr w14:val="000000"/>
            </w14:solidFill>
            <w14:prstDash w14:val="solid"/>
            <w14:bevel/>
          </w14:textOutline>
        </w:rPr>
        <w:t>2.0.3</w:t>
      </w:r>
      <w:r>
        <w:t xml:space="preserve">  移动式作业平台  Movable Wor</w:t>
      </w:r>
      <w:r>
        <w:rPr>
          <w:spacing w:val="-1"/>
        </w:rPr>
        <w:t>king Platform</w:t>
      </w:r>
    </w:p>
    <w:p>
      <w:pPr>
        <w:spacing w:line="271" w:lineRule="auto"/>
        <w:rPr>
          <w:rFonts w:ascii="Arial"/>
          <w:sz w:val="21"/>
        </w:rPr>
      </w:pPr>
    </w:p>
    <w:p>
      <w:pPr>
        <w:pStyle w:val="BodyText"/>
        <w:spacing w:before="79" w:line="465" w:lineRule="exact"/>
        <w:ind w:left="471"/>
      </w:pPr>
      <w:r>
        <w:rPr>
          <w:spacing w:val="-7"/>
          <w:position w:val="17"/>
        </w:rPr>
        <w:t>由动力驱动升降设备和架体组成的用于电梯安装及拆除的作业平台。</w:t>
      </w:r>
    </w:p>
    <w:p>
      <w:pPr>
        <w:pStyle w:val="BodyText"/>
        <w:spacing w:before="1" w:line="213" w:lineRule="auto"/>
        <w:ind w:left="25"/>
      </w:pPr>
      <w:r>
        <w:rPr>
          <w:spacing w:val="-1"/>
          <w14:textOutline w14:w="4330" w14:cap="sq">
            <w14:solidFill>
              <w14:srgbClr w14:val="000000"/>
            </w14:solidFill>
            <w14:prstDash w14:val="solid"/>
            <w14:bevel/>
          </w14:textOutline>
        </w:rPr>
        <w:t>2.0.4</w:t>
      </w:r>
      <w:r>
        <w:rPr>
          <w:spacing w:val="-1"/>
        </w:rPr>
        <w:t xml:space="preserve">  纵向水平杆  Lengthwise</w:t>
      </w:r>
      <w:r>
        <w:rPr>
          <w:spacing w:val="24"/>
        </w:rPr>
        <w:t xml:space="preserve"> </w:t>
      </w:r>
      <w:r>
        <w:rPr>
          <w:spacing w:val="-1"/>
        </w:rPr>
        <w:t xml:space="preserve">level pole </w:t>
      </w:r>
      <w:r>
        <w:rPr>
          <w:spacing w:val="-2"/>
        </w:rPr>
        <w:t>bottom</w:t>
      </w:r>
    </w:p>
    <w:p>
      <w:pPr>
        <w:pStyle w:val="BodyText"/>
        <w:spacing w:before="191" w:line="219" w:lineRule="auto"/>
        <w:ind w:left="443"/>
      </w:pPr>
      <w:r>
        <w:rPr>
          <w:spacing w:val="-1"/>
        </w:rPr>
        <w:t>垂直于井道层门地坎方向的水平杆。</w:t>
      </w:r>
    </w:p>
    <w:p>
      <w:pPr>
        <w:pStyle w:val="BodyText"/>
        <w:spacing w:before="183" w:line="465" w:lineRule="exact"/>
        <w:ind w:left="25"/>
      </w:pPr>
      <w:r>
        <w:rPr>
          <w:position w:val="17"/>
          <w14:textOutline w14:w="4330" w14:cap="sq">
            <w14:solidFill>
              <w14:srgbClr w14:val="000000"/>
            </w14:solidFill>
            <w14:prstDash w14:val="solid"/>
            <w14:bevel/>
          </w14:textOutline>
        </w:rPr>
        <w:t>2.0.5</w:t>
      </w:r>
      <w:r>
        <w:rPr>
          <w:position w:val="17"/>
        </w:rPr>
        <w:t xml:space="preserve">  横向水平杆  Lateral ho</w:t>
      </w:r>
      <w:r>
        <w:rPr>
          <w:spacing w:val="-1"/>
          <w:position w:val="17"/>
        </w:rPr>
        <w:t>rizontal pole</w:t>
      </w:r>
    </w:p>
    <w:p>
      <w:pPr>
        <w:pStyle w:val="BodyText"/>
        <w:spacing w:before="1" w:line="219" w:lineRule="auto"/>
        <w:ind w:left="441"/>
      </w:pPr>
      <w:r>
        <w:rPr>
          <w:spacing w:val="-1"/>
        </w:rPr>
        <w:t>平行于井道层门地坎方向的水平杆。</w:t>
      </w:r>
    </w:p>
    <w:p>
      <w:pPr>
        <w:pStyle w:val="BodyText"/>
        <w:spacing w:before="182" w:line="214" w:lineRule="auto"/>
        <w:ind w:left="25"/>
      </w:pPr>
      <w:r>
        <w:rPr>
          <w:spacing w:val="-1"/>
          <w14:textOutline w14:w="4330" w14:cap="sq">
            <w14:solidFill>
              <w14:srgbClr w14:val="000000"/>
            </w14:solidFill>
            <w14:prstDash w14:val="solid"/>
            <w14:bevel/>
          </w14:textOutline>
        </w:rPr>
        <w:t>2.0.6</w:t>
      </w:r>
      <w:r>
        <w:rPr>
          <w:spacing w:val="-1"/>
        </w:rPr>
        <w:t xml:space="preserve">  支承结构 Supporting</w:t>
      </w:r>
      <w:r>
        <w:rPr>
          <w:spacing w:val="18"/>
        </w:rPr>
        <w:t xml:space="preserve"> </w:t>
      </w:r>
      <w:r>
        <w:rPr>
          <w:spacing w:val="-1"/>
        </w:rPr>
        <w:t>Structure</w:t>
      </w:r>
    </w:p>
    <w:p>
      <w:pPr>
        <w:spacing w:line="269" w:lineRule="auto"/>
        <w:rPr>
          <w:rFonts w:ascii="Arial"/>
          <w:sz w:val="21"/>
        </w:rPr>
      </w:pPr>
    </w:p>
    <w:p>
      <w:pPr>
        <w:pStyle w:val="BodyText"/>
        <w:spacing w:before="78" w:line="466" w:lineRule="exact"/>
        <w:ind w:left="444"/>
      </w:pPr>
      <w:r>
        <w:rPr>
          <w:position w:val="17"/>
        </w:rPr>
        <w:t>用于支承上部作业（分段）平台，将平台荷载</w:t>
      </w:r>
      <w:r>
        <w:rPr>
          <w:spacing w:val="-1"/>
          <w:position w:val="17"/>
        </w:rPr>
        <w:t>传递至建（构）筑物主体的结</w:t>
      </w:r>
    </w:p>
    <w:p>
      <w:pPr>
        <w:pStyle w:val="BodyText"/>
        <w:spacing w:line="220" w:lineRule="auto"/>
        <w:ind w:left="25"/>
      </w:pPr>
      <w:r>
        <w:rPr>
          <w:spacing w:val="-7"/>
        </w:rPr>
        <w:t>构。</w:t>
      </w:r>
    </w:p>
    <w:p>
      <w:pPr>
        <w:spacing w:line="260" w:lineRule="auto"/>
        <w:rPr>
          <w:rFonts w:ascii="Arial"/>
          <w:sz w:val="21"/>
        </w:rPr>
      </w:pPr>
    </w:p>
    <w:p>
      <w:pPr>
        <w:pStyle w:val="BodyText"/>
        <w:spacing w:before="79" w:line="628" w:lineRule="exact"/>
        <w:ind w:left="25"/>
      </w:pPr>
      <w:r>
        <w:rPr>
          <w:position w:val="30"/>
          <w14:textOutline w14:w="4330" w14:cap="sq">
            <w14:solidFill>
              <w14:srgbClr w14:val="000000"/>
            </w14:solidFill>
            <w14:prstDash w14:val="solid"/>
            <w14:bevel/>
          </w14:textOutline>
        </w:rPr>
        <w:t>2.0.7</w:t>
      </w:r>
      <w:r>
        <w:rPr>
          <w:position w:val="30"/>
        </w:rPr>
        <w:t xml:space="preserve">  限速器-安全钳系统 Ove</w:t>
      </w:r>
      <w:r>
        <w:rPr>
          <w:spacing w:val="-1"/>
          <w:position w:val="30"/>
        </w:rPr>
        <w:t>r</w:t>
      </w:r>
      <w:r>
        <w:rPr>
          <w:spacing w:val="-100"/>
          <w:position w:val="30"/>
        </w:rPr>
        <w:t xml:space="preserve"> </w:t>
      </w:r>
      <w:r>
        <w:rPr>
          <w:spacing w:val="-1"/>
          <w:position w:val="30"/>
        </w:rPr>
        <w:t>speedGovernor-Safety Gear System</w:t>
      </w:r>
    </w:p>
    <w:p>
      <w:pPr>
        <w:pStyle w:val="BodyText"/>
        <w:spacing w:line="220" w:lineRule="auto"/>
        <w:ind w:left="459"/>
      </w:pPr>
      <w:r>
        <w:rPr>
          <w:spacing w:val="-1"/>
        </w:rPr>
        <w:t>限制移动式作业平台的运行速度，避免速度超限的联动安全装置。</w:t>
      </w:r>
    </w:p>
    <w:p>
      <w:pPr>
        <w:spacing w:line="260" w:lineRule="auto"/>
        <w:rPr>
          <w:rFonts w:ascii="Arial"/>
          <w:sz w:val="21"/>
        </w:rPr>
        <w:sectPr>
          <w:headerReference w:type="default" r:id="rId10"/>
          <w:footerReference w:type="default" r:id="rId11"/>
          <w:pgSz w:w="11910" w:h="16840"/>
          <w:pgMar w:top="400" w:right="1279" w:bottom="1228" w:left="1786" w:header="0" w:footer="1049" w:gutter="0"/>
          <w:pgNumType w:start="5"/>
          <w:cols w:space="708"/>
        </w:sectPr>
      </w:pPr>
    </w:p>
    <w:p>
      <w:pPr>
        <w:pStyle w:val="BodyText"/>
        <w:spacing w:before="79" w:line="220" w:lineRule="auto"/>
        <w:ind w:left="25"/>
      </w:pPr>
      <w:r>
        <w:rPr>
          <w:spacing w:val="-5"/>
          <w14:textOutline w14:w="4330" w14:cap="sq">
            <w14:solidFill>
              <w14:srgbClr w14:val="000000"/>
            </w14:solidFill>
            <w14:prstDash w14:val="solid"/>
            <w14:bevel/>
          </w14:textOutline>
        </w:rPr>
        <w:t>2.0.8</w:t>
      </w:r>
      <w:r>
        <w:rPr>
          <w:spacing w:val="-5"/>
        </w:rPr>
        <w:t xml:space="preserve">  超程限位开关</w:t>
      </w:r>
      <w:r>
        <w:rPr>
          <w:spacing w:val="-29"/>
        </w:rPr>
        <w:t xml:space="preserve"> </w:t>
      </w:r>
      <w:r>
        <w:rPr>
          <w:spacing w:val="-5"/>
        </w:rPr>
        <w:t>Limit</w:t>
      </w:r>
      <w:r>
        <w:rPr>
          <w:spacing w:val="10"/>
        </w:rPr>
        <w:t xml:space="preserve"> </w:t>
      </w:r>
      <w:r>
        <w:rPr>
          <w:spacing w:val="-5"/>
        </w:rPr>
        <w:t>Swit</w:t>
      </w:r>
      <w:r>
        <w:rPr>
          <w:spacing w:val="-6"/>
        </w:rPr>
        <w:t>ch</w:t>
      </w:r>
    </w:p>
    <w:p>
      <w:pPr>
        <w:spacing w:line="260" w:lineRule="auto"/>
        <w:rPr>
          <w:rFonts w:ascii="Arial"/>
          <w:sz w:val="21"/>
        </w:rPr>
      </w:pPr>
    </w:p>
    <w:p>
      <w:pPr>
        <w:pStyle w:val="BodyText"/>
        <w:spacing w:before="79" w:line="626" w:lineRule="exact"/>
        <w:ind w:left="444"/>
      </w:pPr>
      <w:r>
        <w:rPr>
          <w:spacing w:val="-1"/>
          <w:position w:val="29"/>
        </w:rPr>
        <w:t>用于避免移动式作业平台向上或向下位置超限而设置的强制安全装置。</w:t>
      </w:r>
    </w:p>
    <w:p>
      <w:pPr>
        <w:pStyle w:val="BodyText"/>
        <w:spacing w:before="1" w:line="214" w:lineRule="auto"/>
        <w:ind w:left="25"/>
      </w:pPr>
      <w:r>
        <w:rPr>
          <w14:textOutline w14:w="4330" w14:cap="sq">
            <w14:solidFill>
              <w14:srgbClr w14:val="000000"/>
            </w14:solidFill>
            <w14:prstDash w14:val="solid"/>
            <w14:bevel/>
          </w14:textOutline>
        </w:rPr>
        <w:t>2.0.9</w:t>
      </w:r>
      <w:r>
        <w:t xml:space="preserve">  悬挂机构 Suspens</w:t>
      </w:r>
      <w:r>
        <w:rPr>
          <w:spacing w:val="-1"/>
        </w:rPr>
        <w:t>ion mechanism</w:t>
      </w:r>
    </w:p>
    <w:p>
      <w:pPr>
        <w:spacing w:line="270" w:lineRule="auto"/>
        <w:rPr>
          <w:rFonts w:ascii="Arial"/>
          <w:sz w:val="21"/>
        </w:rPr>
      </w:pPr>
    </w:p>
    <w:p>
      <w:pPr>
        <w:pStyle w:val="BodyText"/>
        <w:spacing w:before="79" w:line="219" w:lineRule="auto"/>
        <w:ind w:left="443"/>
      </w:pPr>
      <w:r>
        <w:rPr>
          <w:spacing w:val="-1"/>
        </w:rPr>
        <w:t>架设于建筑物主体上，通过钢丝绳来悬吊施工作业平台的装置。</w:t>
      </w:r>
    </w:p>
    <w:p>
      <w:pPr>
        <w:spacing w:line="219" w:lineRule="auto"/>
        <w:sectPr>
          <w:headerReference w:type="default" r:id="rId12"/>
          <w:footerReference w:type="default" r:id="rId13"/>
          <w:type w:val="nextPage"/>
          <w:pgSz w:w="11910" w:h="16840"/>
          <w:pgMar w:top="400" w:right="1279" w:bottom="1228" w:left="1786" w:header="0" w:footer="1049" w:gutter="0"/>
          <w:pgNumType w:start="6"/>
          <w:cols w:space="708"/>
          <w:titlePg w:val="0"/>
        </w:sect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pStyle w:val="BodyText"/>
        <w:spacing w:before="91" w:line="219" w:lineRule="auto"/>
        <w:ind w:left="2802"/>
        <w:outlineLvl w:val="0"/>
        <w:rPr>
          <w:sz w:val="28"/>
          <w:szCs w:val="28"/>
        </w:rPr>
      </w:pPr>
      <w:bookmarkStart w:id="3" w:name="bookmark3"/>
      <w:bookmarkEnd w:id="3"/>
      <w:r>
        <w:rPr>
          <w:spacing w:val="-5"/>
          <w:sz w:val="28"/>
          <w:szCs w:val="28"/>
        </w:rPr>
        <w:t>3  基本规定</w:t>
      </w: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BodyText"/>
        <w:spacing w:before="78" w:line="468" w:lineRule="exact"/>
        <w:ind w:left="27"/>
      </w:pPr>
      <w:r>
        <w:rPr>
          <w:spacing w:val="8"/>
          <w:position w:val="17"/>
          <w14:textOutline w14:w="4330" w14:cap="sq">
            <w14:solidFill>
              <w14:srgbClr w14:val="000000"/>
            </w14:solidFill>
            <w14:prstDash w14:val="solid"/>
            <w14:bevel/>
          </w14:textOutline>
        </w:rPr>
        <w:t>3.0.1</w:t>
      </w:r>
      <w:r>
        <w:rPr>
          <w:spacing w:val="93"/>
          <w:position w:val="17"/>
        </w:rPr>
        <w:t xml:space="preserve"> </w:t>
      </w:r>
      <w:r>
        <w:rPr>
          <w:spacing w:val="8"/>
          <w:position w:val="17"/>
        </w:rPr>
        <w:t>作业平台施工单位应具有安装、拆除的能力。特种作业人员应持证上</w:t>
      </w:r>
    </w:p>
    <w:p>
      <w:pPr>
        <w:pStyle w:val="BodyText"/>
        <w:spacing w:line="220" w:lineRule="auto"/>
        <w:ind w:left="49"/>
      </w:pPr>
      <w:r>
        <w:rPr>
          <w:spacing w:val="-18"/>
        </w:rPr>
        <w:t>岗。</w:t>
      </w:r>
    </w:p>
    <w:p>
      <w:pPr>
        <w:pStyle w:val="BodyText"/>
        <w:spacing w:before="179" w:line="219" w:lineRule="auto"/>
        <w:ind w:left="27"/>
      </w:pPr>
      <w:r>
        <w:rPr>
          <w:spacing w:val="4"/>
          <w14:textOutline w14:w="4330" w14:cap="sq">
            <w14:solidFill>
              <w14:srgbClr w14:val="000000"/>
            </w14:solidFill>
            <w14:prstDash w14:val="solid"/>
            <w14:bevel/>
          </w14:textOutline>
        </w:rPr>
        <w:t>3.0.2</w:t>
      </w:r>
      <w:r>
        <w:rPr>
          <w:spacing w:val="95"/>
        </w:rPr>
        <w:t xml:space="preserve"> </w:t>
      </w:r>
      <w:r>
        <w:rPr>
          <w:spacing w:val="4"/>
        </w:rPr>
        <w:t>总承包单位应建立健全施工技术</w:t>
      </w:r>
      <w:r>
        <w:rPr>
          <w:spacing w:val="3"/>
        </w:rPr>
        <w:t>、质量、安全生产管理体系。</w:t>
      </w:r>
    </w:p>
    <w:p>
      <w:pPr>
        <w:pStyle w:val="BodyText"/>
        <w:spacing w:before="183" w:line="359" w:lineRule="auto"/>
        <w:ind w:left="28" w:right="519" w:hanging="1"/>
      </w:pPr>
      <w:r>
        <w:rPr>
          <w:spacing w:val="8"/>
          <w14:textOutline w14:w="4330" w14:cap="sq">
            <w14:solidFill>
              <w14:srgbClr w14:val="000000"/>
            </w14:solidFill>
            <w14:prstDash w14:val="solid"/>
            <w14:bevel/>
          </w14:textOutline>
        </w:rPr>
        <w:t>3.0.3</w:t>
      </w:r>
      <w:r>
        <w:rPr>
          <w:spacing w:val="96"/>
        </w:rPr>
        <w:t xml:space="preserve"> </w:t>
      </w:r>
      <w:r>
        <w:rPr>
          <w:spacing w:val="8"/>
        </w:rPr>
        <w:t>施工单位应组织相关技术人员对工程特点和现场实际状况进行调查，</w:t>
      </w:r>
      <w:r>
        <w:t xml:space="preserve"> </w:t>
      </w:r>
      <w:r>
        <w:rPr>
          <w:spacing w:val="10"/>
        </w:rPr>
        <w:t>结合电梯部件到货周期、</w:t>
      </w:r>
      <w:r>
        <w:rPr>
          <w:spacing w:val="-70"/>
        </w:rPr>
        <w:t xml:space="preserve"> </w:t>
      </w:r>
      <w:r>
        <w:rPr>
          <w:spacing w:val="10"/>
        </w:rPr>
        <w:t>电梯井道形式及电梯型号，选择合适的</w:t>
      </w:r>
      <w:r>
        <w:rPr>
          <w:spacing w:val="9"/>
        </w:rPr>
        <w:t>作业平台类</w:t>
      </w:r>
    </w:p>
    <w:p>
      <w:pPr>
        <w:pStyle w:val="BodyText"/>
        <w:spacing w:line="227" w:lineRule="auto"/>
        <w:ind w:left="30"/>
      </w:pPr>
      <w:r>
        <w:rPr>
          <w:spacing w:val="-9"/>
        </w:rPr>
        <w:t>型。</w:t>
      </w:r>
    </w:p>
    <w:p>
      <w:pPr>
        <w:pStyle w:val="BodyText"/>
        <w:spacing w:before="170" w:line="468" w:lineRule="exact"/>
        <w:ind w:left="27"/>
      </w:pPr>
      <w:r>
        <w:rPr>
          <w:spacing w:val="8"/>
          <w:position w:val="17"/>
          <w14:textOutline w14:w="4330" w14:cap="sq">
            <w14:solidFill>
              <w14:srgbClr w14:val="000000"/>
            </w14:solidFill>
            <w14:prstDash w14:val="solid"/>
            <w14:bevel/>
          </w14:textOutline>
        </w:rPr>
        <w:t>3.0.4</w:t>
      </w:r>
      <w:r>
        <w:rPr>
          <w:spacing w:val="102"/>
          <w:position w:val="17"/>
        </w:rPr>
        <w:t xml:space="preserve"> </w:t>
      </w:r>
      <w:r>
        <w:rPr>
          <w:spacing w:val="8"/>
          <w:position w:val="17"/>
        </w:rPr>
        <w:t>施工单位应编制专项施工方案，经审批后实施。作业平台安装前，施</w:t>
      </w:r>
    </w:p>
    <w:p>
      <w:pPr>
        <w:pStyle w:val="BodyText"/>
        <w:spacing w:line="219" w:lineRule="auto"/>
        <w:ind w:left="25"/>
      </w:pPr>
      <w:r>
        <w:rPr>
          <w:spacing w:val="5"/>
        </w:rPr>
        <w:t>工单位应对专项施工方案进行方案交底和安全技术交底并形成文件。</w:t>
      </w:r>
    </w:p>
    <w:p>
      <w:pPr>
        <w:pStyle w:val="BodyText"/>
        <w:spacing w:before="181" w:line="468" w:lineRule="exact"/>
        <w:ind w:left="27"/>
      </w:pPr>
      <w:r>
        <w:rPr>
          <w:spacing w:val="8"/>
          <w:position w:val="17"/>
          <w14:textOutline w14:w="4330" w14:cap="sq">
            <w14:solidFill>
              <w14:srgbClr w14:val="000000"/>
            </w14:solidFill>
            <w14:prstDash w14:val="solid"/>
            <w14:bevel/>
          </w14:textOutline>
        </w:rPr>
        <w:t>3.0.5</w:t>
      </w:r>
      <w:r>
        <w:rPr>
          <w:spacing w:val="88"/>
          <w:position w:val="17"/>
        </w:rPr>
        <w:t xml:space="preserve"> </w:t>
      </w:r>
      <w:r>
        <w:rPr>
          <w:spacing w:val="8"/>
          <w:position w:val="17"/>
        </w:rPr>
        <w:t>遇冬期、高温期或存在其他不利因素施工时，应结合工程实</w:t>
      </w:r>
      <w:r>
        <w:rPr>
          <w:spacing w:val="7"/>
          <w:position w:val="17"/>
        </w:rPr>
        <w:t>际情况，</w:t>
      </w:r>
    </w:p>
    <w:p>
      <w:pPr>
        <w:pStyle w:val="BodyText"/>
        <w:spacing w:line="220" w:lineRule="auto"/>
        <w:ind w:left="23"/>
      </w:pPr>
      <w:r>
        <w:rPr>
          <w:spacing w:val="4"/>
        </w:rPr>
        <w:t>制定专项方案，经审批后实施。</w:t>
      </w:r>
    </w:p>
    <w:p>
      <w:pPr>
        <w:pStyle w:val="BodyText"/>
        <w:spacing w:before="180" w:line="468" w:lineRule="exact"/>
        <w:ind w:left="27"/>
      </w:pPr>
      <w:r>
        <w:rPr>
          <w:spacing w:val="14"/>
          <w:position w:val="17"/>
          <w14:textOutline w14:w="4330" w14:cap="sq">
            <w14:solidFill>
              <w14:srgbClr w14:val="000000"/>
            </w14:solidFill>
            <w14:prstDash w14:val="solid"/>
            <w14:bevel/>
          </w14:textOutline>
        </w:rPr>
        <w:t>3.0.6</w:t>
      </w:r>
      <w:r>
        <w:rPr>
          <w:spacing w:val="92"/>
          <w:position w:val="17"/>
        </w:rPr>
        <w:t xml:space="preserve"> </w:t>
      </w:r>
      <w:r>
        <w:rPr>
          <w:spacing w:val="14"/>
          <w:position w:val="17"/>
        </w:rPr>
        <w:t>井道底坑基础应满足作业平台安装要求</w:t>
      </w:r>
      <w:r>
        <w:rPr>
          <w:spacing w:val="-72"/>
          <w:position w:val="17"/>
        </w:rPr>
        <w:t xml:space="preserve"> </w:t>
      </w:r>
      <w:r>
        <w:rPr>
          <w:spacing w:val="14"/>
          <w:position w:val="17"/>
        </w:rPr>
        <w:t>，井道内应清理干净、无杂</w:t>
      </w:r>
    </w:p>
    <w:p>
      <w:pPr>
        <w:pStyle w:val="BodyText"/>
        <w:spacing w:line="219" w:lineRule="auto"/>
        <w:ind w:left="22"/>
      </w:pPr>
      <w:r>
        <w:rPr>
          <w:spacing w:val="5"/>
        </w:rPr>
        <w:t>物，表面平整、无积水。电梯厅门安全防护设施应齐全有效。</w:t>
      </w:r>
    </w:p>
    <w:p>
      <w:pPr>
        <w:pStyle w:val="BodyText"/>
        <w:spacing w:before="182" w:line="359" w:lineRule="auto"/>
        <w:ind w:left="26" w:right="514"/>
        <w:jc w:val="both"/>
      </w:pPr>
      <w:r>
        <w:rPr>
          <w:spacing w:val="8"/>
          <w14:textOutline w14:w="4330" w14:cap="sq">
            <w14:solidFill>
              <w14:srgbClr w14:val="000000"/>
            </w14:solidFill>
            <w14:prstDash w14:val="solid"/>
            <w14:bevel/>
          </w14:textOutline>
        </w:rPr>
        <w:t>3.0.7</w:t>
      </w:r>
      <w:r>
        <w:rPr>
          <w:spacing w:val="93"/>
        </w:rPr>
        <w:t xml:space="preserve"> </w:t>
      </w:r>
      <w:r>
        <w:rPr>
          <w:spacing w:val="8"/>
        </w:rPr>
        <w:t>移动式作业平台的曳引机或提升机等升降设备的部件及安装应符合现</w:t>
      </w:r>
      <w:r>
        <w:t xml:space="preserve"> </w:t>
      </w:r>
      <w:r>
        <w:rPr>
          <w:spacing w:val="-2"/>
        </w:rPr>
        <w:t>行国家标准《电梯安装验收规范》GB/T 1006</w:t>
      </w:r>
      <w:r>
        <w:rPr>
          <w:spacing w:val="-3"/>
        </w:rPr>
        <w:t>0和《电梯制造与安装安全规范》GB</w:t>
      </w:r>
      <w:r>
        <w:t xml:space="preserve"> </w:t>
      </w:r>
      <w:r>
        <w:rPr>
          <w:spacing w:val="-3"/>
        </w:rPr>
        <w:t>7588等规范的相关规定。升降设备安装完毕后应进行空载试运行，合格后方可进</w:t>
      </w:r>
    </w:p>
    <w:p>
      <w:pPr>
        <w:pStyle w:val="BodyText"/>
        <w:spacing w:line="219" w:lineRule="auto"/>
        <w:ind w:left="26"/>
      </w:pPr>
      <w:r>
        <w:rPr>
          <w:spacing w:val="-2"/>
        </w:rPr>
        <w:t>行上部架体搭设。</w:t>
      </w:r>
    </w:p>
    <w:p>
      <w:pPr>
        <w:pStyle w:val="BodyText"/>
        <w:spacing w:before="184" w:line="219" w:lineRule="auto"/>
        <w:ind w:left="27"/>
      </w:pPr>
      <w:r>
        <w:rPr>
          <w:spacing w:val="-1"/>
          <w14:textOutline w14:w="4330" w14:cap="sq">
            <w14:solidFill>
              <w14:srgbClr w14:val="000000"/>
            </w14:solidFill>
            <w14:prstDash w14:val="solid"/>
            <w14:bevel/>
          </w14:textOutline>
        </w:rPr>
        <w:t>3.0.8</w:t>
      </w:r>
      <w:r>
        <w:rPr>
          <w:spacing w:val="-1"/>
        </w:rPr>
        <w:t xml:space="preserve">  作业平台安装应遵循下列规定：</w:t>
      </w:r>
    </w:p>
    <w:p>
      <w:pPr>
        <w:pStyle w:val="BodyText"/>
        <w:spacing w:before="180" w:line="359" w:lineRule="auto"/>
        <w:ind w:left="22" w:right="610" w:firstLine="497"/>
      </w:pPr>
      <w:r>
        <w:rPr>
          <w:spacing w:val="-11"/>
        </w:rPr>
        <w:t>1  作业人员进入底坑时应使用爬梯等通</w:t>
      </w:r>
      <w:r>
        <w:rPr>
          <w:spacing w:val="-12"/>
        </w:rPr>
        <w:t>行工具，通行工具的材质及固定方式</w:t>
      </w:r>
      <w:r>
        <w:t xml:space="preserve"> </w:t>
      </w:r>
      <w:r>
        <w:rPr>
          <w:spacing w:val="-12"/>
        </w:rPr>
        <w:t>应安全可靠；进入底坑前应检测符合有限空间作业标准，不得直接跳入底坑，不得</w:t>
      </w:r>
    </w:p>
    <w:p>
      <w:pPr>
        <w:pStyle w:val="BodyText"/>
        <w:spacing w:before="1" w:line="218" w:lineRule="auto"/>
        <w:ind w:left="47"/>
      </w:pPr>
      <w:r>
        <w:rPr>
          <w:spacing w:val="-13"/>
        </w:rPr>
        <w:t>向坑底抛掷材料、设备、工具等。</w:t>
      </w:r>
    </w:p>
    <w:p>
      <w:pPr>
        <w:pStyle w:val="BodyText"/>
        <w:spacing w:before="184" w:line="466" w:lineRule="exact"/>
        <w:ind w:left="505"/>
      </w:pPr>
      <w:r>
        <w:rPr>
          <w:spacing w:val="-8"/>
          <w:position w:val="17"/>
        </w:rPr>
        <w:t>2  井道内应设置安全绳，当平台安装高</w:t>
      </w:r>
      <w:r>
        <w:rPr>
          <w:spacing w:val="-9"/>
          <w:position w:val="17"/>
        </w:rPr>
        <w:t>度超过 2m时，作业人员应佩戴全身式</w:t>
      </w:r>
    </w:p>
    <w:p>
      <w:pPr>
        <w:pStyle w:val="BodyText"/>
        <w:spacing w:line="219" w:lineRule="auto"/>
        <w:ind w:left="27"/>
        <w:sectPr>
          <w:headerReference w:type="default" r:id="rId14"/>
          <w:footerReference w:type="default" r:id="rId15"/>
          <w:pgSz w:w="11910" w:h="16840"/>
          <w:pgMar w:top="400" w:right="1279" w:bottom="1228" w:left="1786" w:header="0" w:footer="1049" w:gutter="0"/>
          <w:pgNumType w:start="7"/>
          <w:cols w:space="708"/>
        </w:sectPr>
      </w:pPr>
      <w:r>
        <w:rPr>
          <w:spacing w:val="-8"/>
        </w:rPr>
        <w:t>安全带并确认悬挂可靠，安全带应高挂低用。</w:t>
      </w:r>
    </w:p>
    <w:p>
      <w:pPr>
        <w:pStyle w:val="BodyText"/>
        <w:spacing w:before="183" w:line="465" w:lineRule="exact"/>
        <w:ind w:right="1"/>
        <w:jc w:val="right"/>
      </w:pPr>
      <w:r>
        <w:rPr>
          <w:spacing w:val="2"/>
          <w:position w:val="17"/>
        </w:rPr>
        <w:t>3</w:t>
      </w:r>
      <w:r>
        <w:rPr>
          <w:spacing w:val="119"/>
          <w:position w:val="17"/>
        </w:rPr>
        <w:t xml:space="preserve"> </w:t>
      </w:r>
      <w:r>
        <w:rPr>
          <w:spacing w:val="2"/>
          <w:position w:val="17"/>
        </w:rPr>
        <w:t>作业面应配备可靠的安全照明系统，照明应采</w:t>
      </w:r>
      <w:r>
        <w:rPr>
          <w:spacing w:val="1"/>
          <w:position w:val="17"/>
        </w:rPr>
        <w:t>用安全电压，灯具应采用安全</w:t>
      </w:r>
    </w:p>
    <w:p>
      <w:pPr>
        <w:pStyle w:val="BodyText"/>
        <w:spacing w:before="1" w:line="219" w:lineRule="auto"/>
        <w:ind w:left="46"/>
      </w:pPr>
      <w:r>
        <w:rPr>
          <w:spacing w:val="-5"/>
        </w:rPr>
        <w:t>罩。</w:t>
      </w:r>
    </w:p>
    <w:p>
      <w:pPr>
        <w:pStyle w:val="BodyText"/>
        <w:spacing w:before="183" w:line="219" w:lineRule="auto"/>
        <w:ind w:left="501"/>
      </w:pPr>
      <w:r>
        <w:rPr>
          <w:spacing w:val="-2"/>
        </w:rPr>
        <w:t>4</w:t>
      </w:r>
      <w:r>
        <w:rPr>
          <w:spacing w:val="78"/>
        </w:rPr>
        <w:t xml:space="preserve"> </w:t>
      </w:r>
      <w:r>
        <w:rPr>
          <w:spacing w:val="-2"/>
        </w:rPr>
        <w:t>不同作业层应避免交叉作业。</w:t>
      </w:r>
    </w:p>
    <w:p>
      <w:pPr>
        <w:spacing w:line="219" w:lineRule="auto"/>
        <w:sectPr>
          <w:headerReference w:type="default" r:id="rId16"/>
          <w:footerReference w:type="default" r:id="rId17"/>
          <w:type w:val="nextPage"/>
          <w:pgSz w:w="11910" w:h="16840"/>
          <w:pgMar w:top="400" w:right="1279" w:bottom="1228" w:left="1786" w:header="0" w:footer="1049" w:gutter="0"/>
          <w:pgNumType w:start="8"/>
          <w:cols w:space="708"/>
          <w:titlePg w:val="0"/>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BodyText"/>
        <w:spacing w:before="78" w:line="358" w:lineRule="auto"/>
        <w:ind w:left="28" w:right="498" w:hanging="1"/>
        <w:jc w:val="both"/>
      </w:pPr>
      <w:bookmarkStart w:id="4" w:name="bookmark9"/>
      <w:bookmarkEnd w:id="4"/>
      <w:r>
        <w:rPr>
          <w:spacing w:val="-6"/>
          <w14:textOutline w14:w="4330" w14:cap="sq">
            <w14:solidFill>
              <w14:srgbClr w14:val="000000"/>
            </w14:solidFill>
            <w14:prstDash w14:val="solid"/>
            <w14:bevel/>
          </w14:textOutline>
        </w:rPr>
        <w:t>3.0.9</w:t>
      </w:r>
      <w:r>
        <w:rPr>
          <w:spacing w:val="99"/>
        </w:rPr>
        <w:t xml:space="preserve"> </w:t>
      </w:r>
      <w:r>
        <w:rPr>
          <w:spacing w:val="-6"/>
        </w:rPr>
        <w:t>电梯井道入口处应设全封闭式防护网（门</w:t>
      </w:r>
      <w:r>
        <w:rPr>
          <w:spacing w:val="14"/>
        </w:rPr>
        <w:t>），</w:t>
      </w:r>
      <w:r>
        <w:rPr>
          <w:spacing w:val="-6"/>
        </w:rPr>
        <w:t>防护网（门）底部设高度不</w:t>
      </w:r>
      <w:r>
        <w:t xml:space="preserve"> </w:t>
      </w:r>
      <w:r>
        <w:rPr>
          <w:spacing w:val="-11"/>
        </w:rPr>
        <w:t>小于 180mm 的防护挡板。挡板与楼地板间隙不大于</w:t>
      </w:r>
      <w:r>
        <w:rPr>
          <w:spacing w:val="-13"/>
        </w:rPr>
        <w:t xml:space="preserve"> </w:t>
      </w:r>
      <w:r>
        <w:rPr>
          <w:spacing w:val="-11"/>
        </w:rPr>
        <w:t>5mm。因安装作业需要临时拆除</w:t>
      </w:r>
    </w:p>
    <w:p>
      <w:pPr>
        <w:pStyle w:val="BodyText"/>
        <w:spacing w:line="219" w:lineRule="auto"/>
        <w:ind w:left="37"/>
      </w:pPr>
      <w:r>
        <w:rPr>
          <w:spacing w:val="-2"/>
        </w:rPr>
        <w:t>防护时，应设警示标志，作业完毕后应及时恢复。</w:t>
      </w:r>
    </w:p>
    <w:p>
      <w:pPr>
        <w:pStyle w:val="BodyText"/>
        <w:spacing w:before="183" w:line="359" w:lineRule="auto"/>
        <w:ind w:left="27" w:right="510"/>
        <w:jc w:val="both"/>
      </w:pPr>
      <w:r>
        <w:rPr>
          <w:spacing w:val="-1"/>
          <w14:textOutline w14:w="4330" w14:cap="sq">
            <w14:solidFill>
              <w14:srgbClr w14:val="000000"/>
            </w14:solidFill>
            <w14:prstDash w14:val="solid"/>
            <w14:bevel/>
          </w14:textOutline>
        </w:rPr>
        <w:t>3.0.10</w:t>
      </w:r>
      <w:r>
        <w:rPr>
          <w:spacing w:val="65"/>
        </w:rPr>
        <w:t xml:space="preserve"> </w:t>
      </w:r>
      <w:r>
        <w:rPr>
          <w:spacing w:val="-1"/>
        </w:rPr>
        <w:t>作业平台安装和拆除时，电梯井道内应采取必要的通风措施。采</w:t>
      </w:r>
      <w:r>
        <w:rPr>
          <w:spacing w:val="-2"/>
        </w:rPr>
        <w:t>用移动</w:t>
      </w:r>
      <w:r>
        <w:t xml:space="preserve"> </w:t>
      </w:r>
      <w:r>
        <w:rPr>
          <w:spacing w:val="-3"/>
        </w:rPr>
        <w:t>式作业平台时，环境温度、相对湿度、电源电压偏离额定值等指标应符合《电梯</w:t>
      </w:r>
    </w:p>
    <w:p>
      <w:pPr>
        <w:pStyle w:val="BodyText"/>
        <w:spacing w:line="220" w:lineRule="auto"/>
        <w:ind w:left="23"/>
      </w:pPr>
      <w:r>
        <w:rPr>
          <w:spacing w:val="-5"/>
        </w:rPr>
        <w:t>制造与安装安全规范》GB 7588的相关规</w:t>
      </w:r>
      <w:r>
        <w:rPr>
          <w:spacing w:val="-6"/>
        </w:rPr>
        <w:t>定。</w:t>
      </w:r>
    </w:p>
    <w:p>
      <w:pPr>
        <w:pStyle w:val="BodyText"/>
        <w:spacing w:before="181" w:line="466" w:lineRule="exact"/>
        <w:ind w:left="27"/>
      </w:pPr>
      <w:r>
        <w:rPr>
          <w:spacing w:val="-1"/>
          <w:position w:val="17"/>
          <w14:textOutline w14:w="4330" w14:cap="sq">
            <w14:solidFill>
              <w14:srgbClr w14:val="000000"/>
            </w14:solidFill>
            <w14:prstDash w14:val="solid"/>
            <w14:bevel/>
          </w14:textOutline>
        </w:rPr>
        <w:t>3.0.11</w:t>
      </w:r>
      <w:r>
        <w:rPr>
          <w:spacing w:val="77"/>
          <w:position w:val="17"/>
        </w:rPr>
        <w:t xml:space="preserve"> </w:t>
      </w:r>
      <w:r>
        <w:rPr>
          <w:spacing w:val="-1"/>
          <w:position w:val="17"/>
        </w:rPr>
        <w:t>作业平台安装完成，经验收合格后方可投入使用。</w:t>
      </w:r>
    </w:p>
    <w:p>
      <w:pPr>
        <w:pStyle w:val="BodyText"/>
        <w:spacing w:line="219" w:lineRule="auto"/>
        <w:ind w:left="27"/>
      </w:pPr>
      <w:r>
        <w:rPr>
          <w:spacing w:val="-1"/>
          <w14:textOutline w14:w="4330" w14:cap="sq">
            <w14:solidFill>
              <w14:srgbClr w14:val="000000"/>
            </w14:solidFill>
            <w14:prstDash w14:val="solid"/>
            <w14:bevel/>
          </w14:textOutline>
        </w:rPr>
        <w:t>3.0.12</w:t>
      </w:r>
      <w:r>
        <w:rPr>
          <w:spacing w:val="75"/>
        </w:rPr>
        <w:t xml:space="preserve"> </w:t>
      </w:r>
      <w:r>
        <w:rPr>
          <w:spacing w:val="-1"/>
        </w:rPr>
        <w:t>平台使用期间，使用单位应进行检查及维护。</w:t>
      </w:r>
    </w:p>
    <w:p>
      <w:pPr>
        <w:spacing w:line="219" w:lineRule="auto"/>
        <w:sectPr>
          <w:headerReference w:type="default" r:id="rId18"/>
          <w:footerReference w:type="default" r:id="rId19"/>
          <w:pgSz w:w="11910" w:h="16840"/>
          <w:pgMar w:top="400" w:right="1279" w:bottom="1228" w:left="1786" w:header="0" w:footer="1049" w:gutter="0"/>
          <w:pgNumType w:start="9"/>
          <w:cols w:space="708"/>
        </w:sect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BodyText"/>
        <w:spacing w:before="91" w:line="219" w:lineRule="auto"/>
        <w:ind w:left="2651"/>
        <w:outlineLvl w:val="0"/>
        <w:rPr>
          <w:sz w:val="28"/>
          <w:szCs w:val="28"/>
        </w:rPr>
      </w:pPr>
      <w:bookmarkStart w:id="5" w:name="bookmark5"/>
      <w:bookmarkEnd w:id="5"/>
      <w:r>
        <w:rPr>
          <w:spacing w:val="-6"/>
          <w:sz w:val="28"/>
          <w:szCs w:val="28"/>
        </w:rPr>
        <w:t>4  材料、设备及构配件</w:t>
      </w:r>
    </w:p>
    <w:p>
      <w:pPr>
        <w:pStyle w:val="BodyText"/>
        <w:spacing w:before="206" w:line="220" w:lineRule="auto"/>
        <w:ind w:left="3441"/>
      </w:pPr>
      <w:r>
        <w:rPr>
          <w:spacing w:val="-4"/>
        </w:rPr>
        <w:t>4.1</w:t>
      </w:r>
      <w:r>
        <w:rPr>
          <w:spacing w:val="9"/>
        </w:rPr>
        <w:t xml:space="preserve">  </w:t>
      </w:r>
      <w:r>
        <w:rPr>
          <w:spacing w:val="-4"/>
        </w:rPr>
        <w:t>一般规定</w:t>
      </w:r>
    </w:p>
    <w:p>
      <w:pPr>
        <w:pStyle w:val="BodyText"/>
        <w:spacing w:before="181" w:line="219" w:lineRule="auto"/>
        <w:ind w:left="19"/>
      </w:pPr>
      <w:r>
        <w:rPr>
          <w:spacing w:val="-22"/>
          <w14:textOutline w14:w="4330" w14:cap="sq">
            <w14:solidFill>
              <w14:srgbClr w14:val="000000"/>
            </w14:solidFill>
            <w14:prstDash w14:val="solid"/>
            <w14:bevel/>
          </w14:textOutline>
        </w:rPr>
        <w:t>4.2.1</w:t>
      </w:r>
      <w:r>
        <w:rPr>
          <w:spacing w:val="17"/>
        </w:rPr>
        <w:t xml:space="preserve">  </w:t>
      </w:r>
      <w:r>
        <w:rPr>
          <w:spacing w:val="-22"/>
        </w:rPr>
        <w:t>进场材料、设备及构配件应有质量证明文件，经进场验收合格后方可使用。</w:t>
      </w:r>
    </w:p>
    <w:p>
      <w:pPr>
        <w:pStyle w:val="BodyText"/>
        <w:spacing w:before="183" w:line="288" w:lineRule="auto"/>
        <w:ind w:left="19" w:right="375"/>
      </w:pPr>
      <w:r>
        <w:rPr>
          <w:spacing w:val="-15"/>
          <w14:textOutline w14:w="4330" w14:cap="sq">
            <w14:solidFill>
              <w14:srgbClr w14:val="000000"/>
            </w14:solidFill>
            <w14:prstDash w14:val="solid"/>
            <w14:bevel/>
          </w14:textOutline>
        </w:rPr>
        <w:t>4.2.2</w:t>
      </w:r>
      <w:r>
        <w:rPr>
          <w:spacing w:val="-15"/>
        </w:rPr>
        <w:t xml:space="preserve">  膨胀螺栓、化学锚栓的规格、尺寸、质量及安装验收应符</w:t>
      </w:r>
      <w:r>
        <w:rPr>
          <w:spacing w:val="-16"/>
        </w:rPr>
        <w:t>合《膨胀螺栓》JB/ZQ</w:t>
      </w:r>
      <w:r>
        <w:t xml:space="preserve"> </w:t>
      </w:r>
      <w:r>
        <w:rPr>
          <w:spacing w:val="-18"/>
        </w:rPr>
        <w:t>4763</w:t>
      </w:r>
      <w:r>
        <w:rPr>
          <w:spacing w:val="-16"/>
        </w:rPr>
        <w:t xml:space="preserve"> </w:t>
      </w:r>
      <w:r>
        <w:rPr>
          <w:spacing w:val="-18"/>
        </w:rPr>
        <w:t>和《化学锚栓》JB/ZQ 4757的相关规定。</w:t>
      </w:r>
    </w:p>
    <w:p>
      <w:pPr>
        <w:pStyle w:val="BodyText"/>
        <w:spacing w:before="185" w:line="290" w:lineRule="auto"/>
        <w:ind w:left="21" w:right="366" w:hanging="2"/>
      </w:pPr>
      <w:r>
        <w:rPr>
          <w:spacing w:val="-20"/>
          <w14:textOutline w14:w="4330" w14:cap="sq">
            <w14:solidFill>
              <w14:srgbClr w14:val="000000"/>
            </w14:solidFill>
            <w14:prstDash w14:val="solid"/>
            <w14:bevel/>
          </w14:textOutline>
        </w:rPr>
        <w:t>4.2.3</w:t>
      </w:r>
      <w:r>
        <w:rPr>
          <w:spacing w:val="31"/>
        </w:rPr>
        <w:t xml:space="preserve">  </w:t>
      </w:r>
      <w:r>
        <w:rPr>
          <w:spacing w:val="-20"/>
        </w:rPr>
        <w:t>电梯井道内人员作业用安全绳宜使用棉麻绳，直径不小于16mm。安</w:t>
      </w:r>
      <w:r>
        <w:rPr>
          <w:spacing w:val="-21"/>
        </w:rPr>
        <w:t>全绳质量应符</w:t>
      </w:r>
      <w:r>
        <w:rPr>
          <w:spacing w:val="1"/>
        </w:rPr>
        <w:t xml:space="preserve"> </w:t>
      </w:r>
      <w:r>
        <w:rPr>
          <w:spacing w:val="-20"/>
        </w:rPr>
        <w:t>合《坠落防护安全绳》GB 24543的相关规定。</w:t>
      </w:r>
    </w:p>
    <w:p>
      <w:pPr>
        <w:pStyle w:val="BodyText"/>
        <w:spacing w:before="180" w:line="220" w:lineRule="auto"/>
        <w:ind w:left="3146"/>
      </w:pPr>
      <w:bookmarkStart w:id="6" w:name="bookmark6"/>
      <w:bookmarkEnd w:id="6"/>
      <w:r>
        <w:rPr>
          <w:spacing w:val="-4"/>
        </w:rPr>
        <w:t>4.2</w:t>
      </w:r>
      <w:r>
        <w:rPr>
          <w:spacing w:val="15"/>
        </w:rPr>
        <w:t xml:space="preserve">  </w:t>
      </w:r>
      <w:r>
        <w:rPr>
          <w:spacing w:val="-4"/>
        </w:rPr>
        <w:t>固定式作业平台</w:t>
      </w:r>
    </w:p>
    <w:p>
      <w:pPr>
        <w:pStyle w:val="BodyText"/>
        <w:spacing w:before="179" w:line="289" w:lineRule="auto"/>
        <w:ind w:left="23" w:right="512" w:hanging="2"/>
      </w:pPr>
      <w:r>
        <w:rPr>
          <w:spacing w:val="-11"/>
          <w14:textOutline w14:w="4330" w14:cap="sq">
            <w14:solidFill>
              <w14:srgbClr w14:val="000000"/>
            </w14:solidFill>
            <w14:prstDash w14:val="solid"/>
            <w14:bevel/>
          </w14:textOutline>
        </w:rPr>
        <w:t>4.2.4</w:t>
      </w:r>
      <w:r>
        <w:rPr>
          <w:spacing w:val="-11"/>
        </w:rPr>
        <w:t xml:space="preserve">  作业平台的钢管、扣件质量应符合国家现行标准《</w:t>
      </w:r>
      <w:r>
        <w:rPr>
          <w:spacing w:val="-12"/>
        </w:rPr>
        <w:t>建筑施工扣件式钢管脚手</w:t>
      </w:r>
      <w:r>
        <w:t xml:space="preserve"> </w:t>
      </w:r>
      <w:r>
        <w:rPr>
          <w:spacing w:val="-4"/>
        </w:rPr>
        <w:t>架安全技术规范》JGJ 130 规定。</w:t>
      </w:r>
    </w:p>
    <w:p>
      <w:pPr>
        <w:pStyle w:val="BodyText"/>
        <w:spacing w:before="182" w:line="313" w:lineRule="auto"/>
        <w:ind w:left="19" w:right="378" w:firstLine="1"/>
      </w:pPr>
      <w:r>
        <w:rPr>
          <w:spacing w:val="-8"/>
          <w14:textOutline w14:w="4330" w14:cap="sq">
            <w14:solidFill>
              <w14:srgbClr w14:val="000000"/>
            </w14:solidFill>
            <w14:prstDash w14:val="solid"/>
            <w14:bevel/>
          </w14:textOutline>
        </w:rPr>
        <w:t>4.2.5</w:t>
      </w:r>
      <w:r>
        <w:rPr>
          <w:spacing w:val="-8"/>
        </w:rPr>
        <w:t xml:space="preserve">  脚手板宜采用木质脚手板。其材质应符合现行国家标准《木结构设计规范》</w:t>
      </w:r>
      <w:r>
        <w:rPr>
          <w:spacing w:val="3"/>
        </w:rPr>
        <w:t xml:space="preserve"> </w:t>
      </w:r>
      <w:r>
        <w:rPr>
          <w:spacing w:val="-10"/>
        </w:rPr>
        <w:t>GB50005 中Ⅱ级材质的规定。脚手板厚度不应小于50mm，两端应各设置两</w:t>
      </w:r>
      <w:r>
        <w:rPr>
          <w:spacing w:val="-11"/>
        </w:rPr>
        <w:t>道直径不小</w:t>
      </w:r>
      <w:r>
        <w:t xml:space="preserve"> </w:t>
      </w:r>
      <w:r>
        <w:rPr>
          <w:spacing w:val="-12"/>
        </w:rPr>
        <w:t>于4mm的镀锌钢丝箍。</w:t>
      </w:r>
    </w:p>
    <w:p>
      <w:pPr>
        <w:pStyle w:val="BodyText"/>
        <w:spacing w:before="182" w:line="219" w:lineRule="auto"/>
        <w:ind w:left="19"/>
      </w:pPr>
      <w:r>
        <w:rPr>
          <w:spacing w:val="-18"/>
          <w14:textOutline w14:w="4330" w14:cap="sq">
            <w14:solidFill>
              <w14:srgbClr w14:val="000000"/>
            </w14:solidFill>
            <w14:prstDash w14:val="solid"/>
            <w14:bevel/>
          </w14:textOutline>
        </w:rPr>
        <w:t>4.2.6</w:t>
      </w:r>
      <w:r>
        <w:rPr>
          <w:spacing w:val="20"/>
        </w:rPr>
        <w:t xml:space="preserve">  </w:t>
      </w:r>
      <w:r>
        <w:rPr>
          <w:spacing w:val="-18"/>
        </w:rPr>
        <w:t xml:space="preserve">安全网应符合《安全网》GB5725 </w:t>
      </w:r>
      <w:r>
        <w:rPr>
          <w:spacing w:val="-19"/>
        </w:rPr>
        <w:t>的相关规定。</w:t>
      </w:r>
    </w:p>
    <w:p>
      <w:pPr>
        <w:pStyle w:val="BodyText"/>
        <w:spacing w:before="181" w:line="313" w:lineRule="auto"/>
        <w:ind w:left="24" w:right="488" w:hanging="3"/>
      </w:pPr>
      <w:r>
        <w:rPr>
          <w:spacing w:val="6"/>
          <w14:textOutline w14:w="4330" w14:cap="sq">
            <w14:solidFill>
              <w14:srgbClr w14:val="000000"/>
            </w14:solidFill>
            <w14:prstDash w14:val="solid"/>
            <w14:bevel/>
          </w14:textOutline>
        </w:rPr>
        <w:t>4.2.7</w:t>
      </w:r>
      <w:r>
        <w:rPr>
          <w:spacing w:val="6"/>
        </w:rPr>
        <w:t xml:space="preserve">  作业平</w:t>
      </w:r>
      <w:r>
        <w:rPr>
          <w:spacing w:val="-55"/>
        </w:rPr>
        <w:t xml:space="preserve"> </w:t>
      </w:r>
      <w:r>
        <w:rPr>
          <w:spacing w:val="6"/>
        </w:rPr>
        <w:t>台</w:t>
      </w:r>
      <w:r>
        <w:rPr>
          <w:spacing w:val="-68"/>
        </w:rPr>
        <w:t xml:space="preserve"> </w:t>
      </w:r>
      <w:r>
        <w:rPr>
          <w:spacing w:val="6"/>
        </w:rPr>
        <w:t>卸荷</w:t>
      </w:r>
      <w:r>
        <w:rPr>
          <w:spacing w:val="-70"/>
        </w:rPr>
        <w:t xml:space="preserve"> </w:t>
      </w:r>
      <w:r>
        <w:rPr>
          <w:spacing w:val="6"/>
        </w:rPr>
        <w:t>用钢</w:t>
      </w:r>
      <w:r>
        <w:rPr>
          <w:spacing w:val="-70"/>
        </w:rPr>
        <w:t xml:space="preserve"> </w:t>
      </w:r>
      <w:r>
        <w:rPr>
          <w:spacing w:val="6"/>
        </w:rPr>
        <w:t>丝绳应符</w:t>
      </w:r>
      <w:r>
        <w:rPr>
          <w:spacing w:val="-72"/>
        </w:rPr>
        <w:t xml:space="preserve"> </w:t>
      </w:r>
      <w:r>
        <w:rPr>
          <w:spacing w:val="6"/>
        </w:rPr>
        <w:t>合</w:t>
      </w:r>
      <w:r>
        <w:rPr>
          <w:spacing w:val="-70"/>
        </w:rPr>
        <w:t xml:space="preserve"> </w:t>
      </w:r>
      <w:r>
        <w:rPr>
          <w:spacing w:val="6"/>
        </w:rPr>
        <w:t>现</w:t>
      </w:r>
      <w:r>
        <w:rPr>
          <w:spacing w:val="-68"/>
        </w:rPr>
        <w:t xml:space="preserve"> </w:t>
      </w:r>
      <w:r>
        <w:rPr>
          <w:spacing w:val="6"/>
        </w:rPr>
        <w:t>行</w:t>
      </w:r>
      <w:r>
        <w:rPr>
          <w:spacing w:val="-51"/>
        </w:rPr>
        <w:t xml:space="preserve"> </w:t>
      </w:r>
      <w:r>
        <w:rPr>
          <w:spacing w:val="6"/>
        </w:rPr>
        <w:t>国</w:t>
      </w:r>
      <w:r>
        <w:rPr>
          <w:spacing w:val="-71"/>
        </w:rPr>
        <w:t xml:space="preserve"> </w:t>
      </w:r>
      <w:r>
        <w:rPr>
          <w:spacing w:val="6"/>
        </w:rPr>
        <w:t>家</w:t>
      </w:r>
      <w:r>
        <w:rPr>
          <w:spacing w:val="-71"/>
        </w:rPr>
        <w:t xml:space="preserve"> </w:t>
      </w:r>
      <w:r>
        <w:rPr>
          <w:spacing w:val="6"/>
        </w:rPr>
        <w:t>标</w:t>
      </w:r>
      <w:r>
        <w:rPr>
          <w:spacing w:val="-70"/>
        </w:rPr>
        <w:t xml:space="preserve"> </w:t>
      </w:r>
      <w:r>
        <w:rPr>
          <w:spacing w:val="6"/>
        </w:rPr>
        <w:t>准《</w:t>
      </w:r>
      <w:r>
        <w:rPr>
          <w:spacing w:val="-45"/>
        </w:rPr>
        <w:t xml:space="preserve"> </w:t>
      </w:r>
      <w:r>
        <w:rPr>
          <w:spacing w:val="6"/>
        </w:rPr>
        <w:t>一般</w:t>
      </w:r>
      <w:r>
        <w:rPr>
          <w:spacing w:val="-71"/>
        </w:rPr>
        <w:t xml:space="preserve"> </w:t>
      </w:r>
      <w:r>
        <w:rPr>
          <w:spacing w:val="6"/>
        </w:rPr>
        <w:t>用途钢</w:t>
      </w:r>
      <w:r>
        <w:rPr>
          <w:spacing w:val="-70"/>
        </w:rPr>
        <w:t xml:space="preserve"> </w:t>
      </w:r>
      <w:r>
        <w:rPr>
          <w:spacing w:val="6"/>
        </w:rPr>
        <w:t>丝绳</w:t>
      </w:r>
      <w:r>
        <w:t xml:space="preserve"> </w:t>
      </w:r>
      <w:r>
        <w:rPr>
          <w:spacing w:val="-6"/>
        </w:rPr>
        <w:t>吊索特性和技术条件</w:t>
      </w:r>
      <w:r>
        <w:rPr>
          <w:spacing w:val="-66"/>
        </w:rPr>
        <w:t xml:space="preserve"> </w:t>
      </w:r>
      <w:r>
        <w:rPr>
          <w:spacing w:val="-6"/>
        </w:rPr>
        <w:t>》GB/T</w:t>
      </w:r>
      <w:r>
        <w:rPr>
          <w:spacing w:val="30"/>
        </w:rPr>
        <w:t xml:space="preserve"> </w:t>
      </w:r>
      <w:r>
        <w:rPr>
          <w:spacing w:val="-6"/>
        </w:rPr>
        <w:t>16762、《重要用途钢丝绳》GB/T8</w:t>
      </w:r>
      <w:r>
        <w:rPr>
          <w:spacing w:val="-7"/>
        </w:rPr>
        <w:t>918 和《钢丝绳通</w:t>
      </w:r>
      <w:r>
        <w:t xml:space="preserve"> </w:t>
      </w:r>
      <w:r>
        <w:rPr>
          <w:spacing w:val="-15"/>
        </w:rPr>
        <w:t>用技术条件》GB/T20118 的规定。</w:t>
      </w:r>
    </w:p>
    <w:p>
      <w:pPr>
        <w:pStyle w:val="BodyText"/>
        <w:spacing w:before="181" w:line="219" w:lineRule="auto"/>
        <w:ind w:left="21"/>
      </w:pPr>
      <w:r>
        <w:rPr>
          <w14:textOutline w14:w="4330" w14:cap="sq">
            <w14:solidFill>
              <w14:srgbClr w14:val="000000"/>
            </w14:solidFill>
            <w14:prstDash w14:val="solid"/>
            <w14:bevel/>
          </w14:textOutline>
        </w:rPr>
        <w:t>4.2.8</w:t>
      </w:r>
      <w:r>
        <w:rPr>
          <w:spacing w:val="105"/>
        </w:rPr>
        <w:t xml:space="preserve"> </w:t>
      </w:r>
      <w:r>
        <w:t>作业平台用型钢应符合现行国家标准《碳素结构钢》 GB/T 700</w:t>
      </w:r>
      <w:r>
        <w:rPr>
          <w:spacing w:val="46"/>
        </w:rPr>
        <w:t xml:space="preserve"> </w:t>
      </w:r>
      <w:r>
        <w:t>或《低</w:t>
      </w:r>
    </w:p>
    <w:p>
      <w:pPr>
        <w:pStyle w:val="BodyText"/>
        <w:spacing w:before="183" w:line="219" w:lineRule="auto"/>
        <w:ind w:left="23"/>
      </w:pPr>
      <w:r>
        <w:rPr>
          <w:spacing w:val="-2"/>
        </w:rPr>
        <w:t>合金高强度结构钢》GB/T 1591</w:t>
      </w:r>
      <w:r>
        <w:rPr>
          <w:spacing w:val="37"/>
        </w:rPr>
        <w:t xml:space="preserve"> </w:t>
      </w:r>
      <w:r>
        <w:rPr>
          <w:spacing w:val="-2"/>
        </w:rPr>
        <w:t>的规定。</w:t>
      </w:r>
    </w:p>
    <w:p>
      <w:pPr>
        <w:pStyle w:val="BodyText"/>
        <w:spacing w:before="181" w:line="219" w:lineRule="auto"/>
        <w:ind w:left="21"/>
      </w:pPr>
      <w:r>
        <w:rPr>
          <w:spacing w:val="-2"/>
          <w14:textOutline w14:w="4330" w14:cap="sq">
            <w14:solidFill>
              <w14:srgbClr w14:val="000000"/>
            </w14:solidFill>
            <w14:prstDash w14:val="solid"/>
            <w14:bevel/>
          </w14:textOutline>
        </w:rPr>
        <w:t>4.2.9</w:t>
      </w:r>
      <w:r>
        <w:rPr>
          <w:spacing w:val="97"/>
        </w:rPr>
        <w:t xml:space="preserve"> </w:t>
      </w:r>
      <w:r>
        <w:rPr>
          <w:spacing w:val="-2"/>
        </w:rPr>
        <w:t>作业平台载重不应超过设计限值。</w:t>
      </w:r>
    </w:p>
    <w:p>
      <w:pPr>
        <w:pStyle w:val="BodyText"/>
        <w:spacing w:before="303" w:line="220" w:lineRule="auto"/>
        <w:ind w:left="3201"/>
      </w:pPr>
      <w:bookmarkStart w:id="7" w:name="bookmark7"/>
      <w:bookmarkEnd w:id="7"/>
      <w:r>
        <w:rPr>
          <w:spacing w:val="-1"/>
        </w:rPr>
        <w:t>4.3  移动式作业平台</w:t>
      </w:r>
    </w:p>
    <w:p>
      <w:pPr>
        <w:pStyle w:val="BodyText"/>
        <w:spacing w:before="182" w:line="294" w:lineRule="auto"/>
        <w:ind w:left="22" w:right="483" w:hanging="1"/>
      </w:pPr>
      <w:r>
        <w:rPr>
          <w:spacing w:val="-1"/>
          <w14:textOutline w14:w="4330" w14:cap="sq">
            <w14:solidFill>
              <w14:srgbClr w14:val="000000"/>
            </w14:solidFill>
            <w14:prstDash w14:val="solid"/>
            <w14:bevel/>
          </w14:textOutline>
        </w:rPr>
        <w:t>4.3.1</w:t>
      </w:r>
      <w:r>
        <w:rPr>
          <w:spacing w:val="94"/>
        </w:rPr>
        <w:t xml:space="preserve"> </w:t>
      </w:r>
      <w:r>
        <w:rPr>
          <w:spacing w:val="-1"/>
        </w:rPr>
        <w:t>作业平台的构件应符合产品图样规定,并应有生产厂家的标识及产品合格</w:t>
      </w:r>
      <w:r>
        <w:t xml:space="preserve"> </w:t>
      </w:r>
      <w:r>
        <w:rPr>
          <w:spacing w:val="-5"/>
        </w:rPr>
        <w:t>证。</w:t>
      </w:r>
    </w:p>
    <w:p>
      <w:pPr>
        <w:pStyle w:val="BodyText"/>
        <w:spacing w:before="169" w:line="288" w:lineRule="auto"/>
        <w:ind w:left="21" w:right="757"/>
      </w:pPr>
      <w:r>
        <w:rPr>
          <w:spacing w:val="-5"/>
          <w14:textOutline w14:w="4330" w14:cap="sq">
            <w14:solidFill>
              <w14:srgbClr w14:val="000000"/>
            </w14:solidFill>
            <w14:prstDash w14:val="solid"/>
            <w14:bevel/>
          </w14:textOutline>
        </w:rPr>
        <w:t>4.3.2</w:t>
      </w:r>
      <w:r>
        <w:rPr>
          <w:spacing w:val="84"/>
        </w:rPr>
        <w:t xml:space="preserve"> </w:t>
      </w:r>
      <w:r>
        <w:rPr>
          <w:spacing w:val="-5"/>
        </w:rPr>
        <w:t>构件焊接质量应符合现行行业标准《建筑机械与设备焊接件通用技术条</w:t>
      </w:r>
      <w:r>
        <w:t xml:space="preserve"> </w:t>
      </w:r>
      <w:r>
        <w:rPr>
          <w:spacing w:val="-1"/>
        </w:rPr>
        <w:t>件》JG/T 5082.1的规定。</w:t>
      </w:r>
    </w:p>
    <w:p>
      <w:pPr>
        <w:pStyle w:val="BodyText"/>
        <w:spacing w:before="186" w:line="288" w:lineRule="auto"/>
        <w:ind w:left="21" w:right="695"/>
        <w:sectPr>
          <w:headerReference w:type="default" r:id="rId20"/>
          <w:footerReference w:type="default" r:id="rId21"/>
          <w:pgSz w:w="11910" w:h="16840"/>
          <w:pgMar w:top="400" w:right="1279" w:bottom="1227" w:left="1786" w:header="0" w:footer="1049" w:gutter="0"/>
          <w:pgNumType w:start="10"/>
          <w:cols w:space="708"/>
        </w:sectPr>
      </w:pPr>
      <w:r>
        <w:rPr>
          <w:spacing w:val="-3"/>
          <w14:textOutline w14:w="4330" w14:cap="sq">
            <w14:solidFill>
              <w14:srgbClr w14:val="000000"/>
            </w14:solidFill>
            <w14:prstDash w14:val="solid"/>
            <w14:bevel/>
          </w14:textOutline>
        </w:rPr>
        <w:t>4.3.3</w:t>
      </w:r>
      <w:r>
        <w:rPr>
          <w:spacing w:val="84"/>
        </w:rPr>
        <w:t xml:space="preserve"> </w:t>
      </w:r>
      <w:r>
        <w:rPr>
          <w:spacing w:val="-3"/>
        </w:rPr>
        <w:t>曳引式驱动机应符合《电梯制造与安装安全规范》GB7588的相关规</w:t>
      </w:r>
      <w:r>
        <w:rPr>
          <w:spacing w:val="-4"/>
        </w:rPr>
        <w:t>定；</w:t>
      </w:r>
      <w:r>
        <w:t xml:space="preserve"> </w:t>
      </w:r>
      <w:r>
        <w:rPr>
          <w:spacing w:val="4"/>
        </w:rPr>
        <w:t>爬升式驱动机应符合《高处作业吊篮》</w:t>
      </w:r>
      <w:r>
        <w:t>GB</w:t>
      </w:r>
      <w:r>
        <w:rPr>
          <w:spacing w:val="4"/>
        </w:rPr>
        <w:t>/T 19155的相关规定。</w:t>
      </w:r>
    </w:p>
    <w:p>
      <w:pPr>
        <w:pStyle w:val="BodyText"/>
        <w:spacing w:before="184" w:line="289" w:lineRule="auto"/>
        <w:ind w:left="19" w:right="620" w:firstLine="1"/>
      </w:pPr>
      <w:r>
        <w:rPr>
          <w:spacing w:val="-1"/>
          <w14:textOutline w14:w="4330" w14:cap="sq">
            <w14:solidFill>
              <w14:srgbClr w14:val="000000"/>
            </w14:solidFill>
            <w14:prstDash w14:val="solid"/>
            <w14:bevel/>
          </w14:textOutline>
        </w:rPr>
        <w:t>4.3.4</w:t>
      </w:r>
      <w:r>
        <w:rPr>
          <w:spacing w:val="84"/>
        </w:rPr>
        <w:t xml:space="preserve"> </w:t>
      </w:r>
      <w:r>
        <w:rPr>
          <w:spacing w:val="-1"/>
        </w:rPr>
        <w:t>曳引式驱动机钢丝绳应符合现行国家标准《电梯制造与</w:t>
      </w:r>
      <w:r>
        <w:rPr>
          <w:spacing w:val="-2"/>
        </w:rPr>
        <w:t>安装安全规范》</w:t>
      </w:r>
      <w:r>
        <w:t xml:space="preserve"> </w:t>
      </w:r>
      <w:r>
        <w:rPr>
          <w:spacing w:val="-3"/>
        </w:rPr>
        <w:t>GB7588的规定；爬升式驱动机钢丝绳应符合现行国家标准《电梯用钢丝绳》</w:t>
      </w:r>
    </w:p>
    <w:p>
      <w:pPr>
        <w:spacing w:line="289" w:lineRule="auto"/>
        <w:sectPr>
          <w:headerReference w:type="default" r:id="rId22"/>
          <w:footerReference w:type="default" r:id="rId23"/>
          <w:type w:val="nextPage"/>
          <w:pgSz w:w="11910" w:h="16840"/>
          <w:pgMar w:top="400" w:right="1279" w:bottom="1227" w:left="1786" w:header="0" w:footer="1049" w:gutter="0"/>
          <w:pgNumType w:start="11"/>
          <w:cols w:space="708"/>
          <w:titlePg w:val="0"/>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BodyText"/>
        <w:spacing w:before="78" w:line="219" w:lineRule="auto"/>
        <w:ind w:left="19"/>
      </w:pPr>
      <w:r>
        <w:rPr>
          <w:spacing w:val="-4"/>
        </w:rPr>
        <w:t>GB/T 8903</w:t>
      </w:r>
      <w:r>
        <w:rPr>
          <w:spacing w:val="29"/>
        </w:rPr>
        <w:t xml:space="preserve"> </w:t>
      </w:r>
      <w:r>
        <w:rPr>
          <w:spacing w:val="-4"/>
        </w:rPr>
        <w:t>的规定；钢丝绳绳端的固接强度不</w:t>
      </w:r>
      <w:r>
        <w:rPr>
          <w:spacing w:val="-5"/>
        </w:rPr>
        <w:t>应小于钢丝绳破断拉力的 80%；</w:t>
      </w:r>
    </w:p>
    <w:p>
      <w:pPr>
        <w:spacing w:line="219" w:lineRule="auto"/>
        <w:sectPr>
          <w:headerReference w:type="default" r:id="rId24"/>
          <w:footerReference w:type="default" r:id="rId25"/>
          <w:pgSz w:w="11910" w:h="16840"/>
          <w:pgMar w:top="400" w:right="1279" w:bottom="1228" w:left="1786" w:header="0" w:footer="1049" w:gutter="0"/>
          <w:pgNumType w:start="12"/>
          <w:cols w:space="708"/>
        </w:sect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before="91" w:line="221" w:lineRule="auto"/>
        <w:ind w:left="3689"/>
        <w:outlineLvl w:val="0"/>
        <w:rPr>
          <w:sz w:val="28"/>
          <w:szCs w:val="28"/>
        </w:rPr>
      </w:pPr>
      <w:bookmarkStart w:id="8" w:name="bookmark8"/>
      <w:bookmarkEnd w:id="8"/>
      <w:bookmarkStart w:id="9" w:name="bookmark10"/>
      <w:bookmarkEnd w:id="9"/>
      <w:r>
        <w:rPr>
          <w:rFonts w:ascii="SimHei" w:eastAsia="SimHei" w:hAnsi="SimHei" w:cs="SimHei"/>
          <w:spacing w:val="-9"/>
          <w:sz w:val="28"/>
          <w:szCs w:val="28"/>
        </w:rPr>
        <w:t>5</w:t>
      </w:r>
      <w:r>
        <w:rPr>
          <w:rFonts w:ascii="SimHei" w:eastAsia="SimHei" w:hAnsi="SimHei" w:cs="SimHei"/>
          <w:spacing w:val="15"/>
          <w:sz w:val="28"/>
          <w:szCs w:val="28"/>
        </w:rPr>
        <w:t xml:space="preserve">  </w:t>
      </w:r>
      <w:r>
        <w:rPr>
          <w:spacing w:val="-9"/>
          <w:sz w:val="28"/>
          <w:szCs w:val="28"/>
        </w:rPr>
        <w:t>固定式作业平台</w:t>
      </w:r>
    </w:p>
    <w:p>
      <w:pPr>
        <w:pStyle w:val="BodyText"/>
        <w:spacing w:before="204" w:line="220" w:lineRule="auto"/>
        <w:ind w:left="4087"/>
      </w:pPr>
      <w:r>
        <w:rPr>
          <w:rFonts w:ascii="SimHei" w:eastAsia="SimHei" w:hAnsi="SimHei" w:cs="SimHei"/>
          <w:spacing w:val="-3"/>
        </w:rPr>
        <w:t>5.1</w:t>
      </w:r>
      <w:r>
        <w:rPr>
          <w:rFonts w:ascii="SimHei" w:eastAsia="SimHei" w:hAnsi="SimHei" w:cs="SimHei"/>
          <w:spacing w:val="16"/>
        </w:rPr>
        <w:t xml:space="preserve"> </w:t>
      </w:r>
      <w:r>
        <w:rPr>
          <w:spacing w:val="-3"/>
        </w:rPr>
        <w:t>一般规定</w:t>
      </w:r>
    </w:p>
    <w:p>
      <w:pPr>
        <w:pStyle w:val="BodyText"/>
        <w:spacing w:before="179" w:line="219" w:lineRule="auto"/>
        <w:ind w:left="485"/>
      </w:pPr>
      <w:r>
        <w:rPr>
          <w:spacing w:val="-1"/>
        </w:rPr>
        <w:t>5.1.1 作业平台应安装在电梯井相对的两侧墙体上。</w:t>
      </w:r>
    </w:p>
    <w:p>
      <w:pPr>
        <w:pStyle w:val="BodyText"/>
        <w:spacing w:before="180" w:line="219" w:lineRule="auto"/>
        <w:ind w:left="485"/>
      </w:pPr>
      <w:r>
        <w:t>5.1.2 作业平台应包括立杆、纵向水平杆、横向水平杆、扫地杆、剪刀撑、栏杆</w:t>
      </w:r>
      <w:r>
        <w:rPr>
          <w:spacing w:val="-1"/>
        </w:rPr>
        <w:t>、扣</w:t>
      </w:r>
    </w:p>
    <w:p>
      <w:pPr>
        <w:pStyle w:val="BodyText"/>
        <w:spacing w:before="183" w:line="219" w:lineRule="auto"/>
      </w:pPr>
      <w:r>
        <w:rPr>
          <w:spacing w:val="-1"/>
        </w:rPr>
        <w:t>件、脚手板、支承架、爬梯、安全网等。</w:t>
      </w:r>
    </w:p>
    <w:p>
      <w:pPr>
        <w:pStyle w:val="BodyText"/>
        <w:spacing w:before="184" w:line="359" w:lineRule="auto"/>
        <w:ind w:right="50" w:firstLine="484"/>
        <w:jc w:val="both"/>
      </w:pPr>
      <w:r>
        <w:rPr>
          <w:spacing w:val="-1"/>
        </w:rPr>
        <w:t xml:space="preserve">5.1.3 型钢支承架端部可通过预埋件、预留孔洞、锚固牛腿等方式与建(构)筑物的主 </w:t>
      </w:r>
      <w:r>
        <w:rPr>
          <w:spacing w:val="-1"/>
        </w:rPr>
        <w:t>体结构固定连接。钢构件焊接应符合现行国家标准《钢结构设计标准》GB 500</w:t>
      </w:r>
      <w:r>
        <w:rPr>
          <w:spacing w:val="-2"/>
        </w:rPr>
        <w:t>17 的规定。</w:t>
      </w:r>
    </w:p>
    <w:p>
      <w:pPr>
        <w:pStyle w:val="BodyText"/>
        <w:spacing w:line="219" w:lineRule="auto"/>
        <w:ind w:left="8"/>
      </w:pPr>
      <w:r>
        <w:rPr>
          <w:spacing w:val="-1"/>
        </w:rPr>
        <w:t>型钢支承架相关工艺和技术要求应在专项方案中予以明确。</w:t>
      </w:r>
    </w:p>
    <w:p>
      <w:pPr>
        <w:pStyle w:val="BodyText"/>
        <w:spacing w:before="181" w:line="219" w:lineRule="auto"/>
        <w:ind w:left="4097"/>
      </w:pPr>
      <w:r>
        <w:rPr>
          <w:spacing w:val="-3"/>
        </w:rPr>
        <w:t>5.2设计计算</w:t>
      </w:r>
    </w:p>
    <w:p>
      <w:pPr>
        <w:pStyle w:val="BodyText"/>
        <w:spacing w:before="183" w:line="468" w:lineRule="exact"/>
        <w:ind w:left="485"/>
      </w:pPr>
      <w:r>
        <w:rPr>
          <w:spacing w:val="-1"/>
          <w:position w:val="17"/>
        </w:rPr>
        <w:t>5.2.1 作业平台应进行设计计算，宜列入单位工程的专项施工方案 ,其内容</w:t>
      </w:r>
      <w:r>
        <w:rPr>
          <w:spacing w:val="-2"/>
          <w:position w:val="17"/>
        </w:rPr>
        <w:t>包括:</w:t>
      </w:r>
    </w:p>
    <w:p>
      <w:pPr>
        <w:pStyle w:val="BodyText"/>
        <w:spacing w:line="219" w:lineRule="auto"/>
        <w:ind w:left="1158"/>
      </w:pPr>
      <w:r>
        <w:rPr>
          <w:spacing w:val="-16"/>
        </w:rPr>
        <w:t>1</w:t>
      </w:r>
      <w:r>
        <w:rPr>
          <w:spacing w:val="107"/>
        </w:rPr>
        <w:t xml:space="preserve"> </w:t>
      </w:r>
      <w:r>
        <w:rPr>
          <w:spacing w:val="-16"/>
        </w:rPr>
        <w:t>作业平台的平面、立面图等。</w:t>
      </w:r>
    </w:p>
    <w:p>
      <w:pPr>
        <w:pStyle w:val="BodyText"/>
        <w:spacing w:before="181" w:line="465" w:lineRule="exact"/>
        <w:ind w:left="1143"/>
      </w:pPr>
      <w:r>
        <w:rPr>
          <w:spacing w:val="-2"/>
          <w:position w:val="17"/>
        </w:rPr>
        <w:t>2</w:t>
      </w:r>
      <w:r>
        <w:rPr>
          <w:spacing w:val="86"/>
          <w:position w:val="17"/>
        </w:rPr>
        <w:t xml:space="preserve"> </w:t>
      </w:r>
      <w:r>
        <w:rPr>
          <w:spacing w:val="-2"/>
          <w:position w:val="17"/>
        </w:rPr>
        <w:t>作业平台主要构件的承载能力和变形验算。</w:t>
      </w:r>
    </w:p>
    <w:p>
      <w:pPr>
        <w:pStyle w:val="BodyText"/>
        <w:spacing w:before="1" w:line="219" w:lineRule="auto"/>
        <w:ind w:left="1145"/>
      </w:pPr>
      <w:r>
        <w:rPr>
          <w:spacing w:val="-2"/>
        </w:rPr>
        <w:t>3</w:t>
      </w:r>
      <w:r>
        <w:rPr>
          <w:spacing w:val="70"/>
        </w:rPr>
        <w:t xml:space="preserve"> </w:t>
      </w:r>
      <w:r>
        <w:rPr>
          <w:spacing w:val="-2"/>
        </w:rPr>
        <w:t>作业平台基础承载力验算。</w:t>
      </w:r>
    </w:p>
    <w:p>
      <w:pPr>
        <w:pStyle w:val="BodyText"/>
        <w:spacing w:before="183" w:line="219" w:lineRule="auto"/>
        <w:ind w:left="540"/>
      </w:pPr>
      <w:r>
        <w:rPr>
          <w:spacing w:val="-1"/>
        </w:rPr>
        <w:t>5.2.2 荷载分类及包含内容应符合下列规定：</w:t>
      </w:r>
    </w:p>
    <w:p>
      <w:pPr>
        <w:pStyle w:val="BodyText"/>
        <w:spacing w:before="181" w:line="219" w:lineRule="auto"/>
        <w:ind w:left="1158"/>
      </w:pPr>
      <w:r>
        <w:rPr>
          <w:spacing w:val="-2"/>
        </w:rPr>
        <w:t>1</w:t>
      </w:r>
      <w:r>
        <w:rPr>
          <w:spacing w:val="81"/>
        </w:rPr>
        <w:t xml:space="preserve"> </w:t>
      </w:r>
      <w:r>
        <w:rPr>
          <w:spacing w:val="-2"/>
        </w:rPr>
        <w:t>荷载分为永久荷载（恒荷载）和可变荷载（活荷载）。</w:t>
      </w:r>
    </w:p>
    <w:p>
      <w:pPr>
        <w:pStyle w:val="BodyText"/>
        <w:spacing w:before="183" w:line="359" w:lineRule="auto"/>
        <w:ind w:left="425" w:right="469" w:firstLine="718"/>
      </w:pPr>
      <w:r>
        <w:rPr>
          <w:spacing w:val="4"/>
        </w:rPr>
        <w:t>2</w:t>
      </w:r>
      <w:r>
        <w:rPr>
          <w:spacing w:val="69"/>
        </w:rPr>
        <w:t xml:space="preserve"> </w:t>
      </w:r>
      <w:r>
        <w:rPr>
          <w:spacing w:val="4"/>
        </w:rPr>
        <w:t>永久荷载包括作业平台自重和构配件自重。作业平</w:t>
      </w:r>
      <w:r>
        <w:rPr>
          <w:spacing w:val="3"/>
        </w:rPr>
        <w:t>台自重包括支承架、</w:t>
      </w:r>
      <w:r>
        <w:t xml:space="preserve"> </w:t>
      </w:r>
      <w:r>
        <w:rPr>
          <w:spacing w:val="-14"/>
        </w:rPr>
        <w:t>立杆、纵向水平杆、横向水平杆、扣件等的自重；构配件自重包括脚手板、栏杆、</w:t>
      </w:r>
      <w:r>
        <w:rPr>
          <w:spacing w:val="-15"/>
        </w:rPr>
        <w:t>移动</w:t>
      </w:r>
    </w:p>
    <w:p>
      <w:pPr>
        <w:pStyle w:val="BodyText"/>
        <w:spacing w:before="1" w:line="219" w:lineRule="auto"/>
        <w:ind w:left="424"/>
      </w:pPr>
      <w:r>
        <w:rPr>
          <w:spacing w:val="-17"/>
        </w:rPr>
        <w:t>爬梯、安全网等防护设施的自重。</w:t>
      </w:r>
    </w:p>
    <w:p>
      <w:pPr>
        <w:pStyle w:val="BodyText"/>
        <w:spacing w:before="183" w:line="219" w:lineRule="auto"/>
        <w:ind w:left="1145"/>
      </w:pPr>
      <w:r>
        <w:rPr>
          <w:spacing w:val="-1"/>
        </w:rPr>
        <w:t>3</w:t>
      </w:r>
      <w:r>
        <w:rPr>
          <w:spacing w:val="71"/>
        </w:rPr>
        <w:t xml:space="preserve"> </w:t>
      </w:r>
      <w:r>
        <w:rPr>
          <w:spacing w:val="-1"/>
        </w:rPr>
        <w:t>可变荷载包括作业平台上的人员、工器具和物料等的重量。</w:t>
      </w:r>
    </w:p>
    <w:p>
      <w:pPr>
        <w:pStyle w:val="BodyText"/>
        <w:spacing w:before="181" w:line="219" w:lineRule="auto"/>
        <w:ind w:left="540"/>
      </w:pPr>
      <w:r>
        <w:rPr>
          <w:spacing w:val="-1"/>
        </w:rPr>
        <w:t>5.2.3 荷载标准值的取值及计算应符合下列规定：</w:t>
      </w:r>
    </w:p>
    <w:p>
      <w:pPr>
        <w:pStyle w:val="BodyText"/>
        <w:spacing w:before="183" w:line="465" w:lineRule="exact"/>
        <w:ind w:left="1158"/>
      </w:pPr>
      <w:r>
        <w:rPr>
          <w:spacing w:val="-1"/>
          <w:position w:val="17"/>
        </w:rPr>
        <w:t>1</w:t>
      </w:r>
      <w:r>
        <w:rPr>
          <w:spacing w:val="71"/>
          <w:position w:val="17"/>
        </w:rPr>
        <w:t xml:space="preserve"> </w:t>
      </w:r>
      <w:r>
        <w:rPr>
          <w:spacing w:val="-1"/>
          <w:position w:val="17"/>
        </w:rPr>
        <w:t>永久荷载中作业平台以及构、配件自重应按实际</w:t>
      </w:r>
      <w:r>
        <w:rPr>
          <w:spacing w:val="-2"/>
          <w:position w:val="17"/>
        </w:rPr>
        <w:t>设置情况进行计算。</w:t>
      </w:r>
    </w:p>
    <w:p>
      <w:pPr>
        <w:pStyle w:val="BodyText"/>
        <w:spacing w:before="1" w:line="218" w:lineRule="auto"/>
        <w:ind w:left="1143"/>
      </w:pPr>
      <w:r>
        <w:rPr>
          <w:spacing w:val="-13"/>
        </w:rPr>
        <w:t>2</w:t>
      </w:r>
      <w:r>
        <w:rPr>
          <w:spacing w:val="57"/>
        </w:rPr>
        <w:t xml:space="preserve"> </w:t>
      </w:r>
      <w:r>
        <w:rPr>
          <w:spacing w:val="-13"/>
        </w:rPr>
        <w:t>可变荷载按不小于</w:t>
      </w:r>
      <w:r>
        <w:rPr>
          <w:spacing w:val="-24"/>
        </w:rPr>
        <w:t xml:space="preserve"> </w:t>
      </w:r>
      <w:r>
        <w:rPr>
          <w:spacing w:val="-13"/>
        </w:rPr>
        <w:t>3kN/m</w:t>
      </w:r>
      <w:r>
        <w:rPr>
          <w:spacing w:val="-3"/>
          <w:position w:val="11"/>
          <w:sz w:val="12"/>
          <w:szCs w:val="12"/>
        </w:rPr>
        <w:t>2</w:t>
      </w:r>
      <w:r>
        <w:rPr>
          <w:spacing w:val="-31"/>
          <w:position w:val="11"/>
          <w:sz w:val="12"/>
          <w:szCs w:val="12"/>
        </w:rPr>
        <w:t xml:space="preserve"> </w:t>
      </w:r>
      <w:r>
        <w:rPr>
          <w:spacing w:val="-3"/>
        </w:rPr>
        <w:t>的等效均布荷载计算。</w:t>
      </w:r>
    </w:p>
    <w:p>
      <w:pPr>
        <w:pStyle w:val="BodyText"/>
        <w:spacing w:before="184" w:line="465" w:lineRule="exact"/>
        <w:ind w:left="1145"/>
      </w:pPr>
      <w:r>
        <w:rPr>
          <w:spacing w:val="-18"/>
          <w:position w:val="17"/>
        </w:rPr>
        <w:t>3 作业平台的承重构件设计时，应根据使用过程中最不利工况进行计算，荷载效应</w:t>
      </w:r>
    </w:p>
    <w:p>
      <w:pPr>
        <w:pStyle w:val="BodyText"/>
        <w:spacing w:before="1" w:line="219" w:lineRule="auto"/>
        <w:ind w:left="494"/>
      </w:pPr>
      <w:r>
        <w:rPr>
          <w:spacing w:val="-22"/>
        </w:rPr>
        <w:t>按永久荷载和可变荷载的组合进行计算。</w:t>
      </w:r>
    </w:p>
    <w:p>
      <w:pPr>
        <w:pStyle w:val="BodyText"/>
        <w:spacing w:before="183" w:line="465" w:lineRule="exact"/>
        <w:ind w:left="485"/>
        <w:sectPr>
          <w:headerReference w:type="default" r:id="rId26"/>
          <w:footerReference w:type="default" r:id="rId27"/>
          <w:pgSz w:w="11910" w:h="16840"/>
          <w:pgMar w:top="400" w:right="1279" w:bottom="1227" w:left="1148" w:header="0" w:footer="1049" w:gutter="0"/>
          <w:pgNumType w:start="13"/>
          <w:cols w:space="708"/>
        </w:sectPr>
      </w:pPr>
      <w:bookmarkStart w:id="10" w:name="bookmark11"/>
      <w:bookmarkEnd w:id="10"/>
      <w:r>
        <w:rPr>
          <w:spacing w:val="1"/>
          <w:position w:val="17"/>
        </w:rPr>
        <w:t>5.2.4 当采用型钢做为支承结构时，应进行下列设计计算:</w:t>
      </w:r>
    </w:p>
    <w:p>
      <w:pPr>
        <w:pStyle w:val="BodyText"/>
        <w:spacing w:before="1" w:line="219" w:lineRule="auto"/>
        <w:ind w:left="1158"/>
      </w:pPr>
      <w:r>
        <w:rPr>
          <w:spacing w:val="-23"/>
        </w:rPr>
        <w:t>1 型钢的抗弯强度、整体稳定性和挠度。</w:t>
      </w:r>
    </w:p>
    <w:p>
      <w:pPr>
        <w:pStyle w:val="BodyText"/>
        <w:spacing w:before="183" w:line="465" w:lineRule="exact"/>
        <w:ind w:left="1143"/>
      </w:pPr>
      <w:r>
        <w:rPr>
          <w:spacing w:val="-22"/>
          <w:position w:val="17"/>
        </w:rPr>
        <w:t>2 型钢锚固件及其锚固连接的强度。</w:t>
      </w:r>
    </w:p>
    <w:p>
      <w:pPr>
        <w:pStyle w:val="BodyText"/>
        <w:spacing w:before="1" w:line="219" w:lineRule="auto"/>
        <w:ind w:left="1145"/>
      </w:pPr>
      <w:r>
        <w:rPr>
          <w:spacing w:val="-22"/>
        </w:rPr>
        <w:t>3 型钢支撑结构的承载能力验算。</w:t>
      </w:r>
    </w:p>
    <w:p>
      <w:pPr>
        <w:pStyle w:val="BodyText"/>
        <w:spacing w:before="183" w:line="220" w:lineRule="auto"/>
        <w:ind w:left="4097"/>
      </w:pPr>
      <w:r>
        <w:rPr>
          <w:spacing w:val="-3"/>
        </w:rPr>
        <w:t>5.3构造要求</w:t>
      </w:r>
    </w:p>
    <w:p>
      <w:pPr>
        <w:spacing w:line="220" w:lineRule="auto"/>
        <w:sectPr>
          <w:headerReference w:type="default" r:id="rId28"/>
          <w:footerReference w:type="default" r:id="rId29"/>
          <w:type w:val="nextPage"/>
          <w:pgSz w:w="11910" w:h="16840"/>
          <w:pgMar w:top="400" w:right="1279" w:bottom="1227" w:left="1148" w:header="0" w:footer="1049" w:gutter="0"/>
          <w:pgNumType w:start="14"/>
          <w:cols w:space="708"/>
          <w:titlePg w:val="0"/>
        </w:sectPr>
      </w:pPr>
    </w:p>
    <w:p>
      <w:pPr>
        <w:spacing w:line="267" w:lineRule="auto"/>
        <w:rPr>
          <w:rFonts w:ascii="Arial"/>
          <w:sz w:val="21"/>
        </w:rPr>
      </w:pPr>
      <w:r>
        <w:drawing>
          <wp:anchor distT="0" distB="0" distL="0" distR="0" simplePos="0" relativeHeight="251659264" behindDoc="0" locked="0" layoutInCell="0" allowOverlap="1">
            <wp:simplePos x="0" y="0"/>
            <wp:positionH relativeFrom="page">
              <wp:posOffset>1420368</wp:posOffset>
            </wp:positionH>
            <wp:positionV relativeFrom="page">
              <wp:posOffset>2452113</wp:posOffset>
            </wp:positionV>
            <wp:extent cx="992123" cy="8382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30"/>
                    <a:stretch>
                      <a:fillRect/>
                    </a:stretch>
                  </pic:blipFill>
                  <pic:spPr>
                    <a:xfrm>
                      <a:off x="0" y="0"/>
                      <a:ext cx="992123" cy="838200"/>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2644139</wp:posOffset>
            </wp:positionH>
            <wp:positionV relativeFrom="page">
              <wp:posOffset>2447542</wp:posOffset>
            </wp:positionV>
            <wp:extent cx="1042416" cy="842771"/>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1"/>
                    <a:stretch>
                      <a:fillRect/>
                    </a:stretch>
                  </pic:blipFill>
                  <pic:spPr>
                    <a:xfrm>
                      <a:off x="0" y="0"/>
                      <a:ext cx="1042416" cy="842771"/>
                    </a:xfrm>
                    <a:prstGeom prst="rect">
                      <a:avLst/>
                    </a:prstGeom>
                  </pic:spPr>
                </pic:pic>
              </a:graphicData>
            </a:graphic>
          </wp:anchor>
        </w:drawing>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BodyText"/>
        <w:spacing w:before="78" w:line="219" w:lineRule="auto"/>
      </w:pPr>
      <w:r>
        <w:rPr>
          <w:spacing w:val="-2"/>
        </w:rPr>
        <w:t>5.3.1</w:t>
      </w:r>
      <w:r>
        <w:rPr>
          <w:spacing w:val="37"/>
        </w:rPr>
        <w:t xml:space="preserve"> </w:t>
      </w:r>
      <w:r>
        <w:rPr>
          <w:spacing w:val="-2"/>
        </w:rPr>
        <w:t>电梯井道作业平台基本构造应符合下列</w:t>
      </w:r>
      <w:r>
        <w:rPr>
          <w:spacing w:val="-3"/>
        </w:rPr>
        <w:t>规定：</w:t>
      </w:r>
    </w:p>
    <w:p>
      <w:pPr>
        <w:pStyle w:val="BodyText"/>
        <w:spacing w:before="182" w:line="359" w:lineRule="auto"/>
        <w:ind w:left="174" w:right="387" w:firstLine="498"/>
        <w:jc w:val="both"/>
      </w:pPr>
      <w:r>
        <w:t>1 作业平台布局及形式应根据电梯井道总体布置要求确定。作业平台可采用</w:t>
      </w:r>
      <w:r>
        <w:rPr>
          <w:spacing w:val="15"/>
        </w:rPr>
        <w:t xml:space="preserve"> </w:t>
      </w:r>
      <w:r>
        <w:rPr>
          <w:spacing w:val="-8"/>
        </w:rPr>
        <w:t>矩形或梯形等平面形式，如图 5.3.1-1 所示。作业平台四周纵横向水平杆距井道边</w:t>
      </w:r>
      <w:r>
        <w:rPr>
          <w:spacing w:val="1"/>
        </w:rPr>
        <w:t xml:space="preserve"> </w:t>
      </w:r>
      <w:r>
        <w:rPr>
          <w:spacing w:val="-6"/>
        </w:rPr>
        <w:t>缘距离，配重一侧不应大于 600mm，其它三侧不宜</w:t>
      </w:r>
      <w:r>
        <w:rPr>
          <w:spacing w:val="-7"/>
        </w:rPr>
        <w:t>大于 500mm</w:t>
      </w:r>
      <w:r>
        <w:rPr>
          <w:spacing w:val="-63"/>
        </w:rPr>
        <w:t xml:space="preserve"> </w:t>
      </w:r>
      <w:r>
        <w:rPr>
          <w:spacing w:val="-7"/>
        </w:rPr>
        <w:t>且应兼顾电梯安装要</w:t>
      </w:r>
    </w:p>
    <w:p>
      <w:pPr>
        <w:pStyle w:val="BodyText"/>
        <w:spacing w:before="1" w:line="220" w:lineRule="auto"/>
        <w:ind w:left="177"/>
      </w:pPr>
      <w:r>
        <w:rPr>
          <w:spacing w:val="-6"/>
        </w:rPr>
        <w:t>求。</w:t>
      </w:r>
    </w:p>
    <w:p>
      <w:pPr>
        <w:spacing w:line="245" w:lineRule="auto"/>
        <w:rPr>
          <w:rFonts w:ascii="Arial"/>
          <w:sz w:val="21"/>
        </w:rPr>
      </w:pPr>
    </w:p>
    <w:p>
      <w:pPr>
        <w:spacing w:line="1219" w:lineRule="exact"/>
        <w:ind w:firstLine="4663"/>
      </w:pPr>
      <w:r>
        <w:rPr>
          <w:position w:val="-24"/>
        </w:rPr>
        <w:drawing>
          <wp:inline distT="0" distB="0" distL="0" distR="0">
            <wp:extent cx="1973579" cy="77419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32"/>
                    <a:stretch>
                      <a:fillRect/>
                    </a:stretch>
                  </pic:blipFill>
                  <pic:spPr>
                    <a:xfrm>
                      <a:off x="0" y="0"/>
                      <a:ext cx="1973579" cy="774192"/>
                    </a:xfrm>
                    <a:prstGeom prst="rect">
                      <a:avLst/>
                    </a:prstGeom>
                  </pic:spPr>
                </pic:pic>
              </a:graphicData>
            </a:graphic>
          </wp:inline>
        </w:drawing>
      </w:r>
    </w:p>
    <w:p>
      <w:pPr>
        <w:spacing w:line="249" w:lineRule="auto"/>
        <w:rPr>
          <w:rFonts w:ascii="Arial"/>
          <w:sz w:val="21"/>
        </w:rPr>
      </w:pPr>
    </w:p>
    <w:p>
      <w:pPr>
        <w:pStyle w:val="BodyText"/>
        <w:spacing w:before="78" w:line="232" w:lineRule="auto"/>
        <w:ind w:left="1422"/>
      </w:pPr>
      <w:r>
        <w:rPr>
          <w:spacing w:val="13"/>
        </w:rPr>
        <w:t>（a</w:t>
      </w:r>
      <w:r>
        <w:rPr>
          <w:spacing w:val="-17"/>
        </w:rPr>
        <w:t>）</w:t>
      </w:r>
      <w:r>
        <w:rPr>
          <w:spacing w:val="12"/>
        </w:rPr>
        <w:t xml:space="preserve">         </w:t>
      </w:r>
      <w:r>
        <w:rPr>
          <w:spacing w:val="-17"/>
        </w:rPr>
        <w:t>（</w:t>
      </w:r>
      <w:r>
        <w:rPr>
          <w:spacing w:val="13"/>
        </w:rPr>
        <w:t>b</w:t>
      </w:r>
      <w:r>
        <w:rPr>
          <w:spacing w:val="-17"/>
        </w:rPr>
        <w:t>）</w:t>
      </w:r>
      <w:r>
        <w:rPr>
          <w:spacing w:val="9"/>
        </w:rPr>
        <w:t xml:space="preserve">         </w:t>
      </w:r>
      <w:r>
        <w:rPr>
          <w:spacing w:val="-17"/>
        </w:rPr>
        <w:t>（</w:t>
      </w:r>
      <w:r>
        <w:rPr>
          <w:spacing w:val="13"/>
        </w:rPr>
        <w:t>c</w:t>
      </w:r>
      <w:r>
        <w:rPr>
          <w:spacing w:val="-17"/>
        </w:rPr>
        <w:t>）</w:t>
      </w:r>
      <w:r>
        <w:rPr>
          <w:spacing w:val="9"/>
        </w:rPr>
        <w:t xml:space="preserve">            </w:t>
      </w:r>
      <w:r>
        <w:rPr>
          <w:spacing w:val="-17"/>
        </w:rPr>
        <w:t>（</w:t>
      </w:r>
      <w:r>
        <w:rPr>
          <w:spacing w:val="13"/>
        </w:rPr>
        <w:t>d）</w:t>
      </w:r>
    </w:p>
    <w:p>
      <w:pPr>
        <w:pStyle w:val="BodyText"/>
        <w:spacing w:before="233" w:line="219" w:lineRule="auto"/>
        <w:ind w:left="1521"/>
      </w:pPr>
      <w:r>
        <w:t>（a）配重后置（窄配重</w:t>
      </w:r>
      <w:r>
        <w:rPr>
          <w:spacing w:val="-11"/>
        </w:rPr>
        <w:t>）</w:t>
      </w:r>
      <w:r>
        <w:t xml:space="preserve"> </w:t>
      </w:r>
      <w:r>
        <w:rPr>
          <w:spacing w:val="-11"/>
        </w:rPr>
        <w:t>（</w:t>
      </w:r>
      <w:r>
        <w:t>b）配重后置（宽配重）</w:t>
      </w:r>
    </w:p>
    <w:p>
      <w:pPr>
        <w:spacing w:line="261" w:lineRule="auto"/>
        <w:rPr>
          <w:rFonts w:ascii="Arial"/>
          <w:sz w:val="21"/>
        </w:rPr>
      </w:pPr>
    </w:p>
    <w:p>
      <w:pPr>
        <w:pStyle w:val="BodyText"/>
        <w:spacing w:before="78" w:line="468" w:lineRule="exact"/>
        <w:ind w:left="1571"/>
      </w:pPr>
      <w:r>
        <w:rPr>
          <w:position w:val="17"/>
        </w:rPr>
        <w:t>（c）配重右置（偏后</w:t>
      </w:r>
      <w:r>
        <w:rPr>
          <w:spacing w:val="-11"/>
          <w:position w:val="17"/>
        </w:rPr>
        <w:t>）</w:t>
      </w:r>
      <w:r>
        <w:rPr>
          <w:position w:val="17"/>
        </w:rPr>
        <w:t xml:space="preserve"> </w:t>
      </w:r>
      <w:r>
        <w:rPr>
          <w:spacing w:val="-11"/>
          <w:position w:val="17"/>
        </w:rPr>
        <w:t>（</w:t>
      </w:r>
      <w:r>
        <w:rPr>
          <w:position w:val="17"/>
        </w:rPr>
        <w:t>d）配重左置（宽配重）</w:t>
      </w:r>
    </w:p>
    <w:p>
      <w:pPr>
        <w:pStyle w:val="BodyText"/>
        <w:spacing w:before="1" w:line="219" w:lineRule="auto"/>
        <w:ind w:left="1937"/>
      </w:pPr>
      <w:r>
        <w:rPr>
          <w:spacing w:val="-1"/>
        </w:rPr>
        <w:t xml:space="preserve">1-配重 2-横向水平杆 3-纵向水平杆 </w:t>
      </w:r>
      <w:r>
        <w:rPr>
          <w:spacing w:val="-2"/>
        </w:rPr>
        <w:t>4-立杆</w:t>
      </w:r>
    </w:p>
    <w:p>
      <w:pPr>
        <w:spacing w:line="264" w:lineRule="auto"/>
        <w:rPr>
          <w:rFonts w:ascii="Arial"/>
          <w:sz w:val="21"/>
        </w:rPr>
      </w:pPr>
    </w:p>
    <w:p>
      <w:pPr>
        <w:pStyle w:val="BodyText"/>
        <w:spacing w:before="78" w:line="220" w:lineRule="auto"/>
        <w:ind w:left="2253"/>
      </w:pPr>
      <w:r>
        <w:rPr>
          <w:spacing w:val="-3"/>
        </w:rPr>
        <w:t>图 5.2.1-1</w:t>
      </w:r>
      <w:r>
        <w:rPr>
          <w:spacing w:val="29"/>
        </w:rPr>
        <w:t xml:space="preserve"> </w:t>
      </w:r>
      <w:r>
        <w:rPr>
          <w:spacing w:val="-3"/>
        </w:rPr>
        <w:t>固定式作业平台的平面形式</w:t>
      </w:r>
    </w:p>
    <w:p>
      <w:pPr>
        <w:spacing w:line="260" w:lineRule="auto"/>
        <w:rPr>
          <w:rFonts w:ascii="Arial"/>
          <w:sz w:val="21"/>
        </w:rPr>
      </w:pPr>
    </w:p>
    <w:p>
      <w:pPr>
        <w:pStyle w:val="BodyText"/>
        <w:spacing w:before="78" w:line="466" w:lineRule="exact"/>
        <w:ind w:left="658"/>
      </w:pPr>
      <w:r>
        <w:rPr>
          <w:spacing w:val="-15"/>
          <w:position w:val="17"/>
        </w:rPr>
        <w:t>2</w:t>
      </w:r>
      <w:r>
        <w:rPr>
          <w:spacing w:val="56"/>
          <w:position w:val="17"/>
        </w:rPr>
        <w:t xml:space="preserve"> </w:t>
      </w:r>
      <w:r>
        <w:rPr>
          <w:spacing w:val="-15"/>
          <w:position w:val="17"/>
        </w:rPr>
        <w:t>作业平台立杆间距不应大于1.8m，当大于</w:t>
      </w:r>
      <w:r>
        <w:rPr>
          <w:spacing w:val="-52"/>
          <w:position w:val="17"/>
        </w:rPr>
        <w:t xml:space="preserve"> </w:t>
      </w:r>
      <w:r>
        <w:rPr>
          <w:spacing w:val="-15"/>
          <w:position w:val="17"/>
        </w:rPr>
        <w:t>1.8</w:t>
      </w:r>
      <w:r>
        <w:rPr>
          <w:spacing w:val="-43"/>
          <w:position w:val="17"/>
        </w:rPr>
        <w:t xml:space="preserve"> </w:t>
      </w:r>
      <w:r>
        <w:rPr>
          <w:spacing w:val="-15"/>
          <w:position w:val="17"/>
        </w:rPr>
        <w:t>m</w:t>
      </w:r>
      <w:r>
        <w:rPr>
          <w:spacing w:val="-39"/>
          <w:position w:val="17"/>
        </w:rPr>
        <w:t xml:space="preserve"> </w:t>
      </w:r>
      <w:r>
        <w:rPr>
          <w:spacing w:val="-15"/>
          <w:position w:val="17"/>
        </w:rPr>
        <w:t>时，应采</w:t>
      </w:r>
      <w:r>
        <w:rPr>
          <w:spacing w:val="-16"/>
          <w:position w:val="17"/>
        </w:rPr>
        <w:t>取加固措施。</w:t>
      </w:r>
    </w:p>
    <w:p>
      <w:pPr>
        <w:pStyle w:val="BodyText"/>
        <w:spacing w:line="219" w:lineRule="auto"/>
        <w:ind w:left="660"/>
      </w:pPr>
      <w:r>
        <w:rPr>
          <w:spacing w:val="-8"/>
        </w:rPr>
        <w:t>3</w:t>
      </w:r>
      <w:r>
        <w:rPr>
          <w:spacing w:val="76"/>
        </w:rPr>
        <w:t xml:space="preserve"> </w:t>
      </w:r>
      <w:r>
        <w:rPr>
          <w:spacing w:val="-8"/>
        </w:rPr>
        <w:t>作业平台架体搭设高度每段不应超过50m。</w:t>
      </w:r>
    </w:p>
    <w:p>
      <w:pPr>
        <w:pStyle w:val="BodyText"/>
        <w:spacing w:before="183" w:line="466" w:lineRule="exact"/>
        <w:ind w:left="654"/>
      </w:pPr>
      <w:r>
        <w:rPr>
          <w:spacing w:val="-13"/>
          <w:position w:val="17"/>
        </w:rPr>
        <w:t>4</w:t>
      </w:r>
      <w:r>
        <w:rPr>
          <w:spacing w:val="65"/>
          <w:position w:val="17"/>
        </w:rPr>
        <w:t xml:space="preserve"> </w:t>
      </w:r>
      <w:r>
        <w:rPr>
          <w:spacing w:val="-13"/>
          <w:position w:val="17"/>
        </w:rPr>
        <w:t>分段悬挑牛腿节点具体尺寸按《扣件式钢管脚手架安全技术规范》JGJ130计算确</w:t>
      </w:r>
    </w:p>
    <w:p>
      <w:pPr>
        <w:pStyle w:val="BodyText"/>
        <w:spacing w:line="219" w:lineRule="auto"/>
        <w:ind w:left="840"/>
        <w:sectPr>
          <w:headerReference w:type="default" r:id="rId33"/>
          <w:footerReference w:type="default" r:id="rId34"/>
          <w:pgSz w:w="11910" w:h="16840"/>
          <w:pgMar w:top="400" w:right="1279" w:bottom="1228" w:left="1634" w:header="0" w:footer="1049" w:gutter="0"/>
          <w:pgNumType w:start="15"/>
          <w:cols w:space="708"/>
        </w:sectPr>
      </w:pPr>
      <w:r>
        <w:rPr>
          <w:spacing w:val="-13"/>
        </w:rPr>
        <w:t>定，并应满足图5.3.1-2构造要求。</w:t>
      </w:r>
    </w:p>
    <w:p>
      <w:pPr>
        <w:spacing w:before="146" w:line="2954" w:lineRule="exact"/>
        <w:ind w:firstLine="1197"/>
      </w:pPr>
      <w:r>
        <w:rPr>
          <w:position w:val="-59"/>
        </w:rPr>
        <w:drawing>
          <wp:inline distT="0" distB="0" distL="0" distR="0">
            <wp:extent cx="3877054" cy="1876044"/>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35"/>
                    <a:stretch>
                      <a:fillRect/>
                    </a:stretch>
                  </pic:blipFill>
                  <pic:spPr>
                    <a:xfrm>
                      <a:off x="0" y="0"/>
                      <a:ext cx="3877054" cy="1876044"/>
                    </a:xfrm>
                    <a:prstGeom prst="rect">
                      <a:avLst/>
                    </a:prstGeom>
                  </pic:spPr>
                </pic:pic>
              </a:graphicData>
            </a:graphic>
          </wp:inline>
        </w:drawing>
      </w:r>
    </w:p>
    <w:p>
      <w:pPr>
        <w:pStyle w:val="BodyText"/>
        <w:spacing w:before="167" w:line="232" w:lineRule="auto"/>
        <w:ind w:left="1686"/>
      </w:pPr>
      <w:r>
        <w:rPr>
          <w:spacing w:val="3"/>
        </w:rPr>
        <w:t>（a</w:t>
      </w:r>
      <w:r>
        <w:rPr>
          <w:spacing w:val="-17"/>
        </w:rPr>
        <w:t>）</w:t>
      </w:r>
      <w:r>
        <w:t xml:space="preserve">                              </w:t>
      </w:r>
      <w:r>
        <w:rPr>
          <w:spacing w:val="-17"/>
        </w:rPr>
        <w:t>（</w:t>
      </w:r>
      <w:r>
        <w:rPr>
          <w:spacing w:val="3"/>
        </w:rPr>
        <w:t>b）</w:t>
      </w:r>
    </w:p>
    <w:p>
      <w:pPr>
        <w:pStyle w:val="BodyText"/>
        <w:spacing w:before="167" w:line="219" w:lineRule="auto"/>
        <w:ind w:left="1091"/>
      </w:pPr>
      <w:r>
        <w:rPr>
          <w:spacing w:val="-1"/>
        </w:rPr>
        <w:t>（a）悬挑牛腿锚固示意图 （b）悬挑牛腿与支承型钢剖面图</w:t>
      </w:r>
    </w:p>
    <w:p>
      <w:pPr>
        <w:pStyle w:val="BodyText"/>
        <w:spacing w:before="181" w:line="219" w:lineRule="auto"/>
        <w:ind w:left="1217"/>
      </w:pPr>
      <w:r>
        <w:rPr>
          <w:spacing w:val="-1"/>
        </w:rPr>
        <w:t>1-化学锚栓 2-定位点钢筋 3-型钢 4-型钢与牛腿点焊固定</w:t>
      </w:r>
    </w:p>
    <w:p>
      <w:pPr>
        <w:pStyle w:val="BodyText"/>
        <w:spacing w:before="181" w:line="220" w:lineRule="auto"/>
        <w:ind w:left="2243"/>
      </w:pPr>
      <w:r>
        <w:rPr>
          <w:spacing w:val="-2"/>
        </w:rPr>
        <w:t>图 5.2.1-2  分段悬挑牛腿节点示意图</w:t>
      </w:r>
    </w:p>
    <w:p>
      <w:pPr>
        <w:spacing w:line="220" w:lineRule="auto"/>
        <w:sectPr>
          <w:headerReference w:type="default" r:id="rId36"/>
          <w:footerReference w:type="default" r:id="rId37"/>
          <w:type w:val="nextPage"/>
          <w:pgSz w:w="11910" w:h="16840"/>
          <w:pgMar w:top="400" w:right="1279" w:bottom="1228" w:left="1634" w:header="0" w:footer="1049" w:gutter="0"/>
          <w:pgNumType w:start="16"/>
          <w:cols w:space="708"/>
          <w:titlePg w:val="0"/>
        </w:sect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pStyle w:val="BodyText"/>
        <w:spacing w:before="78" w:line="219" w:lineRule="auto"/>
        <w:ind w:left="725"/>
      </w:pPr>
      <w:r>
        <w:t>5.3.2 纵向水平杆、横向水平杆、脚手</w:t>
      </w:r>
      <w:r>
        <w:rPr>
          <w:spacing w:val="-1"/>
        </w:rPr>
        <w:t>板、安全网的设置应符合下列规定：</w:t>
      </w:r>
    </w:p>
    <w:p>
      <w:pPr>
        <w:pStyle w:val="BodyText"/>
        <w:spacing w:before="181" w:line="360" w:lineRule="auto"/>
        <w:ind w:left="665" w:right="487" w:firstLine="492"/>
        <w:jc w:val="both"/>
      </w:pPr>
      <w:r>
        <w:rPr>
          <w:spacing w:val="-5"/>
        </w:rPr>
        <w:t>1</w:t>
      </w:r>
      <w:r>
        <w:rPr>
          <w:spacing w:val="65"/>
        </w:rPr>
        <w:t xml:space="preserve"> </w:t>
      </w:r>
      <w:r>
        <w:rPr>
          <w:spacing w:val="-5"/>
        </w:rPr>
        <w:t>水平杆宜设置在立杆内侧，其中一端应与井道顶紧。作</w:t>
      </w:r>
      <w:r>
        <w:rPr>
          <w:spacing w:val="-6"/>
        </w:rPr>
        <w:t>业平台上非主节点</w:t>
      </w:r>
      <w:r>
        <w:t xml:space="preserve"> </w:t>
      </w:r>
      <w:r>
        <w:rPr>
          <w:spacing w:val="-15"/>
        </w:rPr>
        <w:t>处的纵向水平杆、横向水平杆根据脚手板铺设的需要按等间距设置</w:t>
      </w:r>
      <w:r>
        <w:rPr>
          <w:spacing w:val="-16"/>
        </w:rPr>
        <w:t>，最大间距应不大</w:t>
      </w:r>
    </w:p>
    <w:p>
      <w:pPr>
        <w:pStyle w:val="BodyText"/>
        <w:spacing w:line="219" w:lineRule="auto"/>
        <w:ind w:left="664"/>
      </w:pPr>
      <w:r>
        <w:rPr>
          <w:spacing w:val="-8"/>
        </w:rPr>
        <w:t>于650mm。详见图</w:t>
      </w:r>
      <w:r>
        <w:rPr>
          <w:spacing w:val="-26"/>
        </w:rPr>
        <w:t xml:space="preserve"> </w:t>
      </w:r>
      <w:r>
        <w:rPr>
          <w:spacing w:val="-8"/>
        </w:rPr>
        <w:t>5.3.2。</w:t>
      </w:r>
    </w:p>
    <w:p>
      <w:pPr>
        <w:spacing w:line="302" w:lineRule="auto"/>
        <w:rPr>
          <w:rFonts w:ascii="Arial"/>
          <w:sz w:val="21"/>
        </w:rPr>
      </w:pPr>
    </w:p>
    <w:p>
      <w:pPr>
        <w:spacing w:line="4411" w:lineRule="exact"/>
        <w:ind w:firstLine="2266"/>
      </w:pPr>
      <w:r>
        <w:rPr>
          <w:position w:val="-88"/>
        </w:rPr>
        <w:drawing>
          <wp:inline distT="0" distB="0" distL="0" distR="0">
            <wp:extent cx="2807207" cy="2801112"/>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38"/>
                    <a:stretch>
                      <a:fillRect/>
                    </a:stretch>
                  </pic:blipFill>
                  <pic:spPr>
                    <a:xfrm>
                      <a:off x="0" y="0"/>
                      <a:ext cx="2807207" cy="2801112"/>
                    </a:xfrm>
                    <a:prstGeom prst="rect">
                      <a:avLst/>
                    </a:prstGeom>
                  </pic:spPr>
                </pic:pic>
              </a:graphicData>
            </a:graphic>
          </wp:inline>
        </w:drawing>
      </w:r>
    </w:p>
    <w:p>
      <w:pPr>
        <w:spacing w:line="360" w:lineRule="auto"/>
        <w:rPr>
          <w:rFonts w:ascii="Arial"/>
          <w:sz w:val="21"/>
        </w:rPr>
      </w:pPr>
    </w:p>
    <w:p>
      <w:pPr>
        <w:pStyle w:val="BodyText"/>
        <w:spacing w:before="78" w:line="219" w:lineRule="auto"/>
        <w:ind w:left="2887"/>
        <w:outlineLvl w:val="1"/>
      </w:pPr>
      <w:r>
        <w:rPr>
          <w:spacing w:val="-2"/>
        </w:rPr>
        <w:t>图 5.3.2 非主节点水平杆铺设示意图</w:t>
      </w:r>
    </w:p>
    <w:p>
      <w:pPr>
        <w:spacing w:line="261" w:lineRule="auto"/>
        <w:rPr>
          <w:rFonts w:ascii="Arial"/>
          <w:sz w:val="21"/>
        </w:rPr>
      </w:pPr>
    </w:p>
    <w:p>
      <w:pPr>
        <w:pStyle w:val="BodyText"/>
        <w:spacing w:before="78" w:line="466" w:lineRule="exact"/>
        <w:ind w:left="1143"/>
      </w:pPr>
      <w:r>
        <w:rPr>
          <w:spacing w:val="-7"/>
          <w:position w:val="17"/>
        </w:rPr>
        <w:t>2</w:t>
      </w:r>
      <w:r>
        <w:rPr>
          <w:spacing w:val="90"/>
          <w:position w:val="17"/>
        </w:rPr>
        <w:t xml:space="preserve"> </w:t>
      </w:r>
      <w:r>
        <w:rPr>
          <w:spacing w:val="-7"/>
          <w:position w:val="17"/>
        </w:rPr>
        <w:t>同一水平面内主节点处水平杆应交错与井道顶紧，同一立面相邻水平杆应</w:t>
      </w:r>
    </w:p>
    <w:p>
      <w:pPr>
        <w:pStyle w:val="BodyText"/>
        <w:spacing w:line="219" w:lineRule="auto"/>
        <w:ind w:left="665"/>
      </w:pPr>
      <w:r>
        <w:rPr>
          <w:spacing w:val="-2"/>
        </w:rPr>
        <w:t>交错与井道顶紧。</w:t>
      </w:r>
    </w:p>
    <w:p>
      <w:pPr>
        <w:pStyle w:val="BodyText"/>
        <w:spacing w:before="184" w:line="219" w:lineRule="auto"/>
        <w:ind w:left="1145"/>
      </w:pPr>
      <w:r>
        <w:rPr>
          <w:spacing w:val="-2"/>
        </w:rPr>
        <w:t>3</w:t>
      </w:r>
      <w:r>
        <w:rPr>
          <w:spacing w:val="110"/>
        </w:rPr>
        <w:t xml:space="preserve"> </w:t>
      </w:r>
      <w:r>
        <w:rPr>
          <w:spacing w:val="-2"/>
        </w:rPr>
        <w:t>同一井道安装多台电梯时，相邻作业平台应用横向水平杆相互连接固定。</w:t>
      </w:r>
    </w:p>
    <w:p>
      <w:pPr>
        <w:pStyle w:val="BodyText"/>
        <w:spacing w:before="182" w:line="466" w:lineRule="exact"/>
        <w:ind w:left="1139"/>
      </w:pPr>
      <w:r>
        <w:rPr>
          <w:spacing w:val="-8"/>
          <w:position w:val="17"/>
        </w:rPr>
        <w:t>4</w:t>
      </w:r>
      <w:r>
        <w:rPr>
          <w:spacing w:val="67"/>
          <w:position w:val="17"/>
        </w:rPr>
        <w:t xml:space="preserve"> </w:t>
      </w:r>
      <w:r>
        <w:rPr>
          <w:spacing w:val="-8"/>
          <w:position w:val="17"/>
        </w:rPr>
        <w:t>作业层上应铺设脚手板。脚手板应避开导轨及配重架位置，并与水平杆可</w:t>
      </w:r>
    </w:p>
    <w:p>
      <w:pPr>
        <w:pStyle w:val="BodyText"/>
        <w:spacing w:line="220" w:lineRule="auto"/>
        <w:ind w:left="661"/>
      </w:pPr>
      <w:r>
        <w:rPr>
          <w:spacing w:val="-3"/>
        </w:rPr>
        <w:t>靠固定。</w:t>
      </w:r>
    </w:p>
    <w:p>
      <w:pPr>
        <w:pStyle w:val="BodyText"/>
        <w:spacing w:before="183" w:line="219" w:lineRule="auto"/>
        <w:ind w:left="1145"/>
      </w:pPr>
      <w:r>
        <w:rPr>
          <w:spacing w:val="-1"/>
        </w:rPr>
        <w:t>5</w:t>
      </w:r>
      <w:r>
        <w:rPr>
          <w:spacing w:val="78"/>
        </w:rPr>
        <w:t xml:space="preserve"> </w:t>
      </w:r>
      <w:r>
        <w:rPr>
          <w:spacing w:val="-1"/>
        </w:rPr>
        <w:t>纵向水平杆、横向水平杆端部应预留电梯轨道、厅门安装样线等安装位置。</w:t>
      </w:r>
    </w:p>
    <w:p>
      <w:pPr>
        <w:pStyle w:val="BodyText"/>
        <w:spacing w:before="180" w:line="468" w:lineRule="exact"/>
        <w:jc w:val="right"/>
      </w:pPr>
      <w:r>
        <w:rPr>
          <w:spacing w:val="-1"/>
          <w:position w:val="17"/>
        </w:rPr>
        <w:t>6</w:t>
      </w:r>
      <w:r>
        <w:rPr>
          <w:spacing w:val="-38"/>
          <w:position w:val="17"/>
        </w:rPr>
        <w:t xml:space="preserve"> </w:t>
      </w:r>
      <w:r>
        <w:rPr>
          <w:spacing w:val="-1"/>
          <w:position w:val="17"/>
        </w:rPr>
        <w:t>扫地杆向上第一道水平杆处应张挂水平安全网，以上每隔两个楼层（垂直方向</w:t>
      </w:r>
    </w:p>
    <w:p>
      <w:pPr>
        <w:pStyle w:val="BodyText"/>
        <w:spacing w:before="1" w:line="218" w:lineRule="auto"/>
        <w:ind w:left="1324"/>
      </w:pPr>
      <w:r>
        <w:t>不超过10m）在楼地板处张挂水平安全网</w:t>
      </w:r>
      <w:r>
        <w:rPr>
          <w:spacing w:val="-1"/>
        </w:rPr>
        <w:t>，安全网应与纵横向水平杆绑扎牢</w:t>
      </w:r>
    </w:p>
    <w:p>
      <w:pPr>
        <w:pStyle w:val="BodyText"/>
        <w:spacing w:before="184" w:line="220" w:lineRule="auto"/>
        <w:ind w:left="1341"/>
      </w:pPr>
      <w:r>
        <w:rPr>
          <w:spacing w:val="-16"/>
        </w:rPr>
        <w:t>固。</w:t>
      </w:r>
    </w:p>
    <w:p>
      <w:pPr>
        <w:pStyle w:val="BodyText"/>
        <w:spacing w:before="180" w:line="219" w:lineRule="auto"/>
        <w:ind w:left="725"/>
        <w:sectPr>
          <w:headerReference w:type="default" r:id="rId39"/>
          <w:footerReference w:type="default" r:id="rId40"/>
          <w:pgSz w:w="11910" w:h="16840"/>
          <w:pgMar w:top="400" w:right="1289" w:bottom="400" w:left="1148" w:header="0" w:footer="0" w:gutter="0"/>
          <w:pgNumType w:start="17"/>
          <w:cols w:space="708"/>
        </w:sectPr>
      </w:pPr>
      <w:r>
        <w:rPr>
          <w:spacing w:val="-1"/>
        </w:rPr>
        <w:t>5.3.3 立杆设置应符合下列规定：</w:t>
      </w:r>
    </w:p>
    <w:p>
      <w:pPr>
        <w:pStyle w:val="BodyText"/>
        <w:spacing w:before="180" w:line="359" w:lineRule="auto"/>
        <w:ind w:left="659" w:right="499" w:firstLine="498"/>
        <w:jc w:val="both"/>
      </w:pPr>
      <w:r>
        <w:rPr>
          <w:spacing w:val="-5"/>
        </w:rPr>
        <w:t>1</w:t>
      </w:r>
      <w:r>
        <w:rPr>
          <w:spacing w:val="62"/>
        </w:rPr>
        <w:t xml:space="preserve"> </w:t>
      </w:r>
      <w:r>
        <w:rPr>
          <w:spacing w:val="-5"/>
        </w:rPr>
        <w:t>立杆以对接扣件连接，两根相邻立杆的接头不应设置在同一高</w:t>
      </w:r>
      <w:r>
        <w:rPr>
          <w:spacing w:val="-6"/>
        </w:rPr>
        <w:t>度内，错开</w:t>
      </w:r>
      <w:r>
        <w:t xml:space="preserve"> </w:t>
      </w:r>
      <w:r>
        <w:rPr>
          <w:spacing w:val="-5"/>
        </w:rPr>
        <w:t>距离应大于500mm，且与主节点的最小距离</w:t>
      </w:r>
      <w:r>
        <w:rPr>
          <w:spacing w:val="-6"/>
        </w:rPr>
        <w:t>不宜大于步距的 1/3。上部的轿厢拼装</w:t>
      </w:r>
    </w:p>
    <w:p>
      <w:pPr>
        <w:pStyle w:val="BodyText"/>
        <w:spacing w:before="1" w:line="219" w:lineRule="auto"/>
        <w:ind w:left="665"/>
      </w:pPr>
      <w:r>
        <w:rPr>
          <w:spacing w:val="-2"/>
        </w:rPr>
        <w:t>处，立杆接头可在同一平面内。</w:t>
      </w:r>
    </w:p>
    <w:p>
      <w:pPr>
        <w:pStyle w:val="BodyText"/>
        <w:spacing w:before="183" w:line="219" w:lineRule="auto"/>
        <w:ind w:left="1143"/>
      </w:pPr>
      <w:r>
        <w:rPr>
          <w:spacing w:val="-2"/>
        </w:rPr>
        <w:t>2</w:t>
      </w:r>
      <w:r>
        <w:rPr>
          <w:spacing w:val="72"/>
        </w:rPr>
        <w:t xml:space="preserve"> </w:t>
      </w:r>
      <w:r>
        <w:rPr>
          <w:spacing w:val="-2"/>
        </w:rPr>
        <w:t>立杆底部基础应牢固可靠。</w:t>
      </w:r>
    </w:p>
    <w:p>
      <w:pPr>
        <w:pStyle w:val="BodyText"/>
        <w:spacing w:before="297" w:line="188" w:lineRule="auto"/>
        <w:rPr>
          <w:sz w:val="19"/>
          <w:szCs w:val="19"/>
        </w:rPr>
      </w:pPr>
      <w:r>
        <w:rPr>
          <w:sz w:val="19"/>
          <w:szCs w:val="19"/>
        </w:rPr>
        <w:t>99</w:t>
      </w:r>
    </w:p>
    <w:p>
      <w:pPr>
        <w:pStyle w:val="BodyText"/>
        <w:spacing w:line="183" w:lineRule="auto"/>
        <w:ind w:right="5"/>
        <w:jc w:val="right"/>
        <w:rPr>
          <w:sz w:val="18"/>
          <w:szCs w:val="18"/>
        </w:rPr>
      </w:pPr>
      <w:r>
        <w:rPr>
          <w:sz w:val="18"/>
          <w:szCs w:val="18"/>
        </w:rPr>
        <w:t>9</w:t>
      </w:r>
    </w:p>
    <w:p>
      <w:pPr>
        <w:spacing w:line="183" w:lineRule="auto"/>
        <w:rPr>
          <w:sz w:val="18"/>
          <w:szCs w:val="18"/>
        </w:rPr>
        <w:sectPr>
          <w:headerReference w:type="default" r:id="rId41"/>
          <w:footerReference w:type="default" r:id="rId42"/>
          <w:type w:val="nextPage"/>
          <w:pgSz w:w="11910" w:h="16840"/>
          <w:pgMar w:top="400" w:right="1289" w:bottom="400" w:left="1148" w:header="0" w:footer="0" w:gutter="0"/>
          <w:pgNumType w:start="18"/>
          <w:cols w:space="708"/>
          <w:titlePg w:val="0"/>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BodyText"/>
        <w:spacing w:before="78" w:line="465" w:lineRule="exact"/>
        <w:ind w:left="1140"/>
      </w:pPr>
      <w:r>
        <w:rPr>
          <w:spacing w:val="3"/>
          <w:position w:val="17"/>
        </w:rPr>
        <w:t>3</w:t>
      </w:r>
      <w:r>
        <w:rPr>
          <w:spacing w:val="76"/>
          <w:position w:val="17"/>
        </w:rPr>
        <w:t xml:space="preserve"> </w:t>
      </w:r>
      <w:r>
        <w:rPr>
          <w:spacing w:val="3"/>
          <w:position w:val="17"/>
        </w:rPr>
        <w:t>作业平台应设置纵向和横向扫地杆。扫地杆应采用直角扣件固定于立杆</w:t>
      </w:r>
    </w:p>
    <w:p>
      <w:pPr>
        <w:pStyle w:val="BodyText"/>
        <w:spacing w:line="219" w:lineRule="auto"/>
        <w:ind w:left="658"/>
      </w:pPr>
      <w:r>
        <w:rPr>
          <w:spacing w:val="-8"/>
        </w:rPr>
        <w:t>上，连接点应设置在距离立杆底端不大于200mm</w:t>
      </w:r>
      <w:r>
        <w:rPr>
          <w:spacing w:val="-9"/>
        </w:rPr>
        <w:t>处。</w:t>
      </w:r>
    </w:p>
    <w:p>
      <w:pPr>
        <w:pStyle w:val="BodyText"/>
        <w:spacing w:before="180" w:line="219" w:lineRule="auto"/>
        <w:ind w:left="720"/>
      </w:pPr>
      <w:r>
        <w:rPr>
          <w:spacing w:val="-1"/>
        </w:rPr>
        <w:t>5.3.4 型钢支承架设置应符合下列规定：</w:t>
      </w:r>
    </w:p>
    <w:p>
      <w:pPr>
        <w:pStyle w:val="BodyText"/>
        <w:spacing w:before="183" w:line="468" w:lineRule="exact"/>
        <w:ind w:left="1153"/>
      </w:pPr>
      <w:r>
        <w:rPr>
          <w:spacing w:val="-3"/>
          <w:position w:val="17"/>
        </w:rPr>
        <w:t>1</w:t>
      </w:r>
      <w:r>
        <w:rPr>
          <w:spacing w:val="67"/>
          <w:position w:val="17"/>
        </w:rPr>
        <w:t xml:space="preserve"> </w:t>
      </w:r>
      <w:r>
        <w:rPr>
          <w:spacing w:val="-3"/>
          <w:position w:val="17"/>
        </w:rPr>
        <w:t>作业平台分段悬挑时，立杆底部支承型钢宜采用型钢、双拼槽钢等轴对</w:t>
      </w:r>
    </w:p>
    <w:p>
      <w:pPr>
        <w:pStyle w:val="BodyText"/>
        <w:spacing w:line="219" w:lineRule="auto"/>
        <w:ind w:left="655"/>
      </w:pPr>
      <w:r>
        <w:rPr>
          <w:spacing w:val="-4"/>
        </w:rPr>
        <w:t>称截面的构件。立杆与型钢应有可靠固定的定位</w:t>
      </w:r>
      <w:r>
        <w:rPr>
          <w:spacing w:val="-5"/>
        </w:rPr>
        <w:t>点，详见图 5.3.4。</w:t>
      </w:r>
    </w:p>
    <w:p>
      <w:pPr>
        <w:spacing w:before="153" w:line="3710" w:lineRule="exact"/>
        <w:ind w:firstLine="1157"/>
      </w:pPr>
      <w:r>
        <w:rPr>
          <w:position w:val="-74"/>
        </w:rPr>
        <w:drawing>
          <wp:inline distT="0" distB="0" distL="0" distR="0">
            <wp:extent cx="4536949" cy="2356103"/>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3"/>
                    <a:stretch>
                      <a:fillRect/>
                    </a:stretch>
                  </pic:blipFill>
                  <pic:spPr>
                    <a:xfrm>
                      <a:off x="0" y="0"/>
                      <a:ext cx="4536949" cy="2356103"/>
                    </a:xfrm>
                    <a:prstGeom prst="rect">
                      <a:avLst/>
                    </a:prstGeom>
                  </pic:spPr>
                </pic:pic>
              </a:graphicData>
            </a:graphic>
          </wp:inline>
        </w:drawing>
      </w:r>
    </w:p>
    <w:p>
      <w:pPr>
        <w:pStyle w:val="BodyText"/>
        <w:spacing w:before="210" w:line="219" w:lineRule="auto"/>
        <w:ind w:left="3198"/>
      </w:pPr>
      <w:r>
        <w:rPr>
          <w:spacing w:val="-3"/>
        </w:rPr>
        <w:t>1-钢管脚手架 2-型钢</w:t>
      </w:r>
      <w:r>
        <w:rPr>
          <w:spacing w:val="19"/>
        </w:rPr>
        <w:t xml:space="preserve"> </w:t>
      </w:r>
      <w:r>
        <w:rPr>
          <w:spacing w:val="-3"/>
        </w:rPr>
        <w:t>3-牛腿</w:t>
      </w:r>
    </w:p>
    <w:p>
      <w:pPr>
        <w:pStyle w:val="BodyText"/>
        <w:spacing w:before="189" w:line="219" w:lineRule="auto"/>
        <w:ind w:left="2844"/>
      </w:pPr>
      <w:r>
        <w:rPr>
          <w:spacing w:val="-2"/>
        </w:rPr>
        <w:t>图5.3.4   型钢上焊定位点剖面示意图</w:t>
      </w:r>
    </w:p>
    <w:p>
      <w:pPr>
        <w:spacing w:line="304" w:lineRule="auto"/>
        <w:rPr>
          <w:rFonts w:ascii="Arial"/>
          <w:sz w:val="21"/>
        </w:rPr>
      </w:pPr>
    </w:p>
    <w:p>
      <w:pPr>
        <w:pStyle w:val="BodyText"/>
        <w:spacing w:before="78" w:line="468" w:lineRule="exact"/>
        <w:ind w:left="1139"/>
      </w:pPr>
      <w:r>
        <w:rPr>
          <w:spacing w:val="-6"/>
          <w:position w:val="17"/>
        </w:rPr>
        <w:t>2</w:t>
      </w:r>
      <w:r>
        <w:rPr>
          <w:spacing w:val="87"/>
          <w:position w:val="17"/>
        </w:rPr>
        <w:t xml:space="preserve"> </w:t>
      </w:r>
      <w:r>
        <w:rPr>
          <w:spacing w:val="-6"/>
          <w:position w:val="17"/>
        </w:rPr>
        <w:t>型钢支承架可以根据需要的方向设置，两端固定在建(构) 筑物的主体结</w:t>
      </w:r>
    </w:p>
    <w:p>
      <w:pPr>
        <w:pStyle w:val="BodyText"/>
        <w:spacing w:before="1" w:line="219" w:lineRule="auto"/>
        <w:ind w:left="659"/>
      </w:pPr>
      <w:r>
        <w:rPr>
          <w:spacing w:val="-2"/>
        </w:rPr>
        <w:t>构上，并保证稳定可靠。</w:t>
      </w:r>
    </w:p>
    <w:p>
      <w:pPr>
        <w:pStyle w:val="BodyText"/>
        <w:spacing w:before="180" w:line="468" w:lineRule="exact"/>
        <w:ind w:left="696"/>
      </w:pPr>
      <w:r>
        <w:rPr>
          <w:spacing w:val="-7"/>
          <w:position w:val="17"/>
        </w:rPr>
        <w:t>5.3.5 固定式作业平台应沿竖向在作业层立杆高度1/2</w:t>
      </w:r>
      <w:r>
        <w:rPr>
          <w:spacing w:val="-8"/>
          <w:position w:val="17"/>
        </w:rPr>
        <w:t>处设置水平杆。护栏底部应</w:t>
      </w:r>
    </w:p>
    <w:p>
      <w:pPr>
        <w:pStyle w:val="BodyText"/>
        <w:spacing w:before="1" w:line="216" w:lineRule="auto"/>
      </w:pPr>
      <w:bookmarkStart w:id="11" w:name="bookmark12"/>
      <w:bookmarkEnd w:id="11"/>
      <w:r>
        <w:rPr>
          <w:spacing w:val="-14"/>
        </w:rPr>
        <w:t>设有高度不小于 180mm挡板,挡板与作业</w:t>
      </w:r>
      <w:r>
        <w:rPr>
          <w:spacing w:val="-15"/>
        </w:rPr>
        <w:t>平台底板间隙不应大于</w:t>
      </w:r>
      <w:r>
        <w:rPr>
          <w:spacing w:val="-34"/>
        </w:rPr>
        <w:t xml:space="preserve"> </w:t>
      </w:r>
      <w:r>
        <w:rPr>
          <w:spacing w:val="-15"/>
        </w:rPr>
        <w:t>5mm。</w:t>
      </w:r>
    </w:p>
    <w:p>
      <w:pPr>
        <w:pStyle w:val="BodyText"/>
        <w:spacing w:before="184" w:line="219" w:lineRule="auto"/>
        <w:ind w:left="3252"/>
      </w:pPr>
      <w:r>
        <w:rPr>
          <w:spacing w:val="-1"/>
        </w:rPr>
        <w:t>5.4 安装、验收、使用与拆除</w:t>
      </w:r>
    </w:p>
    <w:p>
      <w:pPr>
        <w:pStyle w:val="BodyText"/>
        <w:spacing w:before="184" w:line="219" w:lineRule="auto"/>
        <w:ind w:left="720"/>
      </w:pPr>
      <w:r>
        <w:rPr>
          <w:spacing w:val="-1"/>
        </w:rPr>
        <w:t>5.4.1 作业平台安装前，应设置电梯的安装样线。</w:t>
      </w:r>
    </w:p>
    <w:p>
      <w:pPr>
        <w:pStyle w:val="BodyText"/>
        <w:spacing w:before="181" w:line="219" w:lineRule="auto"/>
        <w:ind w:left="720"/>
      </w:pPr>
      <w:r>
        <w:rPr>
          <w:spacing w:val="-1"/>
        </w:rPr>
        <w:t>5.4.2 作业平台安装应符合下列规定：</w:t>
      </w:r>
    </w:p>
    <w:p>
      <w:pPr>
        <w:pStyle w:val="BodyText"/>
        <w:spacing w:before="183" w:line="465" w:lineRule="exact"/>
        <w:ind w:left="1153"/>
      </w:pPr>
      <w:r>
        <w:rPr>
          <w:spacing w:val="-6"/>
          <w:position w:val="17"/>
        </w:rPr>
        <w:t>1</w:t>
      </w:r>
      <w:r>
        <w:rPr>
          <w:spacing w:val="63"/>
          <w:position w:val="17"/>
        </w:rPr>
        <w:t xml:space="preserve"> </w:t>
      </w:r>
      <w:r>
        <w:rPr>
          <w:spacing w:val="-6"/>
          <w:position w:val="17"/>
        </w:rPr>
        <w:t>作业平台安装应按专项施工方案的要求放线定位，并</w:t>
      </w:r>
      <w:r>
        <w:rPr>
          <w:spacing w:val="-7"/>
          <w:position w:val="17"/>
        </w:rPr>
        <w:t>按照规定的尺寸构造</w:t>
      </w:r>
    </w:p>
    <w:p>
      <w:pPr>
        <w:pStyle w:val="BodyText"/>
        <w:spacing w:line="220" w:lineRule="auto"/>
        <w:ind w:left="657"/>
      </w:pPr>
      <w:r>
        <w:rPr>
          <w:spacing w:val="-3"/>
        </w:rPr>
        <w:t>要求和顺序进行。</w:t>
      </w:r>
    </w:p>
    <w:p>
      <w:pPr>
        <w:pStyle w:val="BodyText"/>
        <w:spacing w:before="182" w:line="468" w:lineRule="exact"/>
        <w:ind w:left="1139"/>
      </w:pPr>
      <w:r>
        <w:rPr>
          <w:spacing w:val="5"/>
          <w:position w:val="17"/>
        </w:rPr>
        <w:t>2  支撑架应分段安装，安装过程中应根据专项施工方案要</w:t>
      </w:r>
      <w:r>
        <w:rPr>
          <w:spacing w:val="4"/>
          <w:position w:val="17"/>
        </w:rPr>
        <w:t>求及时校正四</w:t>
      </w:r>
    </w:p>
    <w:p>
      <w:pPr>
        <w:pStyle w:val="BodyText"/>
        <w:spacing w:before="1" w:line="219" w:lineRule="auto"/>
        <w:ind w:left="177"/>
        <w:sectPr>
          <w:headerReference w:type="default" r:id="rId44"/>
          <w:footerReference w:type="default" r:id="rId45"/>
          <w:pgSz w:w="11910" w:h="16840"/>
          <w:pgMar w:top="400" w:right="1303" w:bottom="989" w:left="1153" w:header="0" w:footer="809" w:gutter="0"/>
          <w:pgNumType w:start="19"/>
          <w:cols w:space="708"/>
        </w:sectPr>
      </w:pPr>
      <w:r>
        <w:rPr>
          <w:spacing w:val="4"/>
        </w:rPr>
        <w:t>周水平杆与井道壁的距离。</w:t>
      </w:r>
    </w:p>
    <w:p>
      <w:pPr>
        <w:pStyle w:val="BodyText"/>
        <w:spacing w:before="180" w:line="466" w:lineRule="exact"/>
        <w:ind w:left="1140"/>
      </w:pPr>
      <w:r>
        <w:rPr>
          <w:spacing w:val="4"/>
          <w:position w:val="17"/>
        </w:rPr>
        <w:t>3</w:t>
      </w:r>
      <w:r>
        <w:rPr>
          <w:spacing w:val="131"/>
          <w:position w:val="17"/>
        </w:rPr>
        <w:t xml:space="preserve"> </w:t>
      </w:r>
      <w:r>
        <w:rPr>
          <w:spacing w:val="4"/>
          <w:position w:val="17"/>
        </w:rPr>
        <w:t>作业平台安装应符合《建筑施工扣件式钢管脚手架安全技术规范》</w:t>
      </w:r>
    </w:p>
    <w:p>
      <w:pPr>
        <w:pStyle w:val="BodyText"/>
        <w:spacing w:before="1" w:line="217" w:lineRule="auto"/>
        <w:ind w:left="1135"/>
      </w:pPr>
      <w:r>
        <w:rPr>
          <w:spacing w:val="-2"/>
        </w:rPr>
        <w:t>JGJ</w:t>
      </w:r>
      <w:r>
        <w:rPr>
          <w:spacing w:val="34"/>
        </w:rPr>
        <w:t xml:space="preserve"> </w:t>
      </w:r>
      <w:r>
        <w:rPr>
          <w:spacing w:val="-2"/>
        </w:rPr>
        <w:t>130规定。</w:t>
      </w:r>
    </w:p>
    <w:p>
      <w:pPr>
        <w:pStyle w:val="BodyText"/>
        <w:spacing w:before="185" w:line="219" w:lineRule="auto"/>
        <w:ind w:left="720"/>
      </w:pPr>
      <w:r>
        <w:rPr>
          <w:spacing w:val="-1"/>
        </w:rPr>
        <w:t>5.4.3 作业平台验收应符合下列规定：</w:t>
      </w:r>
    </w:p>
    <w:p>
      <w:pPr>
        <w:spacing w:line="374" w:lineRule="auto"/>
        <w:rPr>
          <w:rFonts w:ascii="Arial"/>
          <w:sz w:val="21"/>
        </w:rPr>
      </w:pPr>
    </w:p>
    <w:p>
      <w:pPr>
        <w:pStyle w:val="BodyText"/>
        <w:spacing w:before="62" w:line="178" w:lineRule="auto"/>
        <w:ind w:left="9"/>
        <w:rPr>
          <w:sz w:val="19"/>
          <w:szCs w:val="19"/>
        </w:rPr>
      </w:pPr>
      <w:r>
        <w:rPr>
          <w:spacing w:val="-1"/>
          <w:sz w:val="19"/>
          <w:szCs w:val="19"/>
        </w:rPr>
        <w:t>1010</w:t>
      </w:r>
    </w:p>
    <w:p>
      <w:pPr>
        <w:spacing w:line="178" w:lineRule="auto"/>
        <w:rPr>
          <w:sz w:val="19"/>
          <w:szCs w:val="19"/>
        </w:rPr>
        <w:sectPr>
          <w:headerReference w:type="default" r:id="rId46"/>
          <w:footerReference w:type="default" r:id="rId47"/>
          <w:type w:val="nextPage"/>
          <w:pgSz w:w="11910" w:h="16840"/>
          <w:pgMar w:top="400" w:right="1303" w:bottom="989" w:left="1153" w:header="0" w:footer="809" w:gutter="0"/>
          <w:pgNumType w:start="20"/>
          <w:cols w:space="708"/>
          <w:titlePg w:val="0"/>
        </w:sect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BodyText"/>
        <w:spacing w:before="78" w:line="219" w:lineRule="auto"/>
        <w:ind w:left="1144"/>
      </w:pPr>
      <w:r>
        <w:rPr>
          <w:spacing w:val="-2"/>
        </w:rPr>
        <w:t>1</w:t>
      </w:r>
      <w:r>
        <w:rPr>
          <w:spacing w:val="87"/>
        </w:rPr>
        <w:t xml:space="preserve"> </w:t>
      </w:r>
      <w:r>
        <w:rPr>
          <w:spacing w:val="-2"/>
        </w:rPr>
        <w:t>支撑架分段安装完毕，经验收合格后，方可进行下一段安装。</w:t>
      </w:r>
    </w:p>
    <w:p>
      <w:pPr>
        <w:pStyle w:val="BodyText"/>
        <w:spacing w:before="180" w:line="466" w:lineRule="exact"/>
        <w:ind w:left="1129"/>
      </w:pPr>
      <w:r>
        <w:rPr>
          <w:spacing w:val="3"/>
          <w:position w:val="17"/>
        </w:rPr>
        <w:t>2</w:t>
      </w:r>
      <w:r>
        <w:rPr>
          <w:spacing w:val="77"/>
          <w:position w:val="17"/>
        </w:rPr>
        <w:t xml:space="preserve"> </w:t>
      </w:r>
      <w:r>
        <w:rPr>
          <w:spacing w:val="3"/>
          <w:position w:val="17"/>
        </w:rPr>
        <w:t>作业平台完成安装后，按照专项施工方案和附录A表 A-1</w:t>
      </w:r>
      <w:r>
        <w:rPr>
          <w:spacing w:val="38"/>
          <w:position w:val="17"/>
        </w:rPr>
        <w:t xml:space="preserve"> </w:t>
      </w:r>
      <w:r>
        <w:rPr>
          <w:spacing w:val="3"/>
          <w:position w:val="17"/>
        </w:rPr>
        <w:t>的要求进行</w:t>
      </w:r>
    </w:p>
    <w:p>
      <w:pPr>
        <w:pStyle w:val="BodyText"/>
        <w:spacing w:line="219" w:lineRule="auto"/>
        <w:ind w:left="645"/>
      </w:pPr>
      <w:r>
        <w:rPr>
          <w:spacing w:val="4"/>
        </w:rPr>
        <w:t>验收，验收合格后方可投入使用。</w:t>
      </w:r>
    </w:p>
    <w:p>
      <w:pPr>
        <w:pStyle w:val="BodyText"/>
        <w:spacing w:before="183" w:line="219" w:lineRule="auto"/>
        <w:ind w:left="1131"/>
      </w:pPr>
      <w:r>
        <w:rPr>
          <w:spacing w:val="4"/>
        </w:rPr>
        <w:t>3</w:t>
      </w:r>
      <w:r>
        <w:rPr>
          <w:spacing w:val="82"/>
        </w:rPr>
        <w:t xml:space="preserve"> </w:t>
      </w:r>
      <w:r>
        <w:rPr>
          <w:spacing w:val="4"/>
        </w:rPr>
        <w:t>作业平台局部拆除恢复后应重新验收，合格后方可使用。</w:t>
      </w:r>
    </w:p>
    <w:p>
      <w:pPr>
        <w:pStyle w:val="BodyText"/>
        <w:spacing w:before="183" w:line="219" w:lineRule="auto"/>
        <w:ind w:left="711"/>
      </w:pPr>
      <w:r>
        <w:rPr>
          <w:spacing w:val="-1"/>
        </w:rPr>
        <w:t>5.4.4 作业平台使用应符合下列规定：</w:t>
      </w:r>
    </w:p>
    <w:p>
      <w:pPr>
        <w:pStyle w:val="BodyText"/>
        <w:spacing w:before="180" w:line="468" w:lineRule="exact"/>
        <w:ind w:left="1144"/>
      </w:pPr>
      <w:r>
        <w:rPr>
          <w:spacing w:val="4"/>
          <w:position w:val="17"/>
        </w:rPr>
        <w:t>1</w:t>
      </w:r>
      <w:r>
        <w:rPr>
          <w:spacing w:val="90"/>
          <w:position w:val="17"/>
        </w:rPr>
        <w:t xml:space="preserve"> </w:t>
      </w:r>
      <w:r>
        <w:rPr>
          <w:spacing w:val="4"/>
          <w:position w:val="17"/>
        </w:rPr>
        <w:t>作业平台使用前 ,平台安装单位应对平台使用单位进行安全技术交</w:t>
      </w:r>
    </w:p>
    <w:p>
      <w:pPr>
        <w:pStyle w:val="BodyText"/>
        <w:spacing w:before="1" w:line="220" w:lineRule="auto"/>
        <w:ind w:left="645"/>
      </w:pPr>
      <w:r>
        <w:rPr>
          <w:spacing w:val="-5"/>
        </w:rPr>
        <w:t>底。</w:t>
      </w:r>
    </w:p>
    <w:p>
      <w:pPr>
        <w:pStyle w:val="BodyText"/>
        <w:spacing w:before="178" w:line="468" w:lineRule="exact"/>
        <w:ind w:left="1129"/>
      </w:pPr>
      <w:r>
        <w:rPr>
          <w:spacing w:val="5"/>
          <w:position w:val="17"/>
        </w:rPr>
        <w:t>2</w:t>
      </w:r>
      <w:r>
        <w:rPr>
          <w:spacing w:val="58"/>
          <w:position w:val="17"/>
        </w:rPr>
        <w:t xml:space="preserve"> </w:t>
      </w:r>
      <w:r>
        <w:rPr>
          <w:spacing w:val="5"/>
          <w:position w:val="17"/>
        </w:rPr>
        <w:t>作业平台使用过程中，平台使用单位应每月至少对</w:t>
      </w:r>
      <w:r>
        <w:rPr>
          <w:spacing w:val="4"/>
          <w:position w:val="17"/>
        </w:rPr>
        <w:t>作业平台进行1次维</w:t>
      </w:r>
    </w:p>
    <w:p>
      <w:pPr>
        <w:pStyle w:val="BodyText"/>
        <w:spacing w:before="1" w:line="219" w:lineRule="auto"/>
        <w:ind w:left="647"/>
      </w:pPr>
      <w:r>
        <w:t>护检查。</w:t>
      </w:r>
    </w:p>
    <w:p>
      <w:pPr>
        <w:pStyle w:val="BodyText"/>
        <w:spacing w:before="180" w:line="468" w:lineRule="exact"/>
        <w:ind w:left="1131"/>
      </w:pPr>
      <w:r>
        <w:rPr>
          <w:spacing w:val="5"/>
          <w:position w:val="17"/>
        </w:rPr>
        <w:t>3</w:t>
      </w:r>
      <w:r>
        <w:rPr>
          <w:spacing w:val="59"/>
          <w:position w:val="17"/>
        </w:rPr>
        <w:t xml:space="preserve"> </w:t>
      </w:r>
      <w:r>
        <w:rPr>
          <w:spacing w:val="5"/>
          <w:position w:val="17"/>
        </w:rPr>
        <w:t>作业平台停用时间超过 2 个月或受损后恢复使用</w:t>
      </w:r>
      <w:r>
        <w:rPr>
          <w:spacing w:val="4"/>
          <w:position w:val="17"/>
        </w:rPr>
        <w:t>，平台使用单位应按</w:t>
      </w:r>
    </w:p>
    <w:p>
      <w:pPr>
        <w:pStyle w:val="BodyText"/>
        <w:spacing w:before="1" w:line="218" w:lineRule="auto"/>
        <w:ind w:left="665"/>
      </w:pPr>
      <w:r>
        <w:rPr>
          <w:spacing w:val="4"/>
        </w:rPr>
        <w:t>附录 A要求重新进行验收，合格后方可投入使用。</w:t>
      </w:r>
    </w:p>
    <w:p>
      <w:pPr>
        <w:pStyle w:val="BodyText"/>
        <w:spacing w:before="181" w:line="219" w:lineRule="auto"/>
        <w:ind w:left="1125"/>
      </w:pPr>
      <w:r>
        <w:rPr>
          <w:spacing w:val="-1"/>
        </w:rPr>
        <w:t>4</w:t>
      </w:r>
      <w:r>
        <w:rPr>
          <w:spacing w:val="82"/>
        </w:rPr>
        <w:t xml:space="preserve"> </w:t>
      </w:r>
      <w:r>
        <w:rPr>
          <w:spacing w:val="-1"/>
        </w:rPr>
        <w:t>使用中如进行局部调整，应对作业平台采取必要的加固、卸荷等措施。</w:t>
      </w:r>
    </w:p>
    <w:p>
      <w:pPr>
        <w:pStyle w:val="BodyText"/>
        <w:spacing w:before="184" w:line="465" w:lineRule="exact"/>
        <w:ind w:left="1131"/>
      </w:pPr>
      <w:r>
        <w:rPr>
          <w:spacing w:val="3"/>
          <w:position w:val="17"/>
        </w:rPr>
        <w:t>5</w:t>
      </w:r>
      <w:r>
        <w:rPr>
          <w:spacing w:val="77"/>
          <w:position w:val="17"/>
        </w:rPr>
        <w:t xml:space="preserve"> </w:t>
      </w:r>
      <w:r>
        <w:rPr>
          <w:spacing w:val="3"/>
          <w:position w:val="17"/>
        </w:rPr>
        <w:t>作业平台进行局部拆除作业过程中，应避免拆除人员交叉作业</w:t>
      </w:r>
      <w:r>
        <w:rPr>
          <w:spacing w:val="45"/>
          <w:position w:val="17"/>
        </w:rPr>
        <w:t xml:space="preserve"> </w:t>
      </w:r>
      <w:r>
        <w:rPr>
          <w:spacing w:val="3"/>
          <w:position w:val="17"/>
        </w:rPr>
        <w:t>。拆除</w:t>
      </w:r>
    </w:p>
    <w:p>
      <w:pPr>
        <w:pStyle w:val="BodyText"/>
        <w:spacing w:before="1" w:line="216" w:lineRule="auto"/>
        <w:ind w:left="647"/>
      </w:pPr>
      <w:r>
        <w:rPr>
          <w:spacing w:val="5"/>
        </w:rPr>
        <w:t>作业中 ,除拆除人员外 ,作业平台上不得有其他人员或施 加其他施工荷载。</w:t>
      </w:r>
    </w:p>
    <w:p>
      <w:pPr>
        <w:pStyle w:val="BodyText"/>
        <w:spacing w:before="187" w:line="468" w:lineRule="exact"/>
        <w:ind w:left="1128"/>
      </w:pPr>
      <w:r>
        <w:rPr>
          <w:spacing w:val="4"/>
          <w:position w:val="17"/>
        </w:rPr>
        <w:t>6</w:t>
      </w:r>
      <w:r>
        <w:rPr>
          <w:spacing w:val="89"/>
          <w:position w:val="17"/>
        </w:rPr>
        <w:t xml:space="preserve"> </w:t>
      </w:r>
      <w:r>
        <w:rPr>
          <w:spacing w:val="4"/>
          <w:position w:val="17"/>
        </w:rPr>
        <w:t>因施工需要对作业平台主节点部件进行局部拆除作业时，平台使用单</w:t>
      </w:r>
    </w:p>
    <w:p>
      <w:pPr>
        <w:pStyle w:val="BodyText"/>
        <w:spacing w:line="216" w:lineRule="auto"/>
        <w:ind w:left="646"/>
      </w:pPr>
      <w:r>
        <w:rPr>
          <w:spacing w:val="4"/>
        </w:rPr>
        <w:t>位尚应制定局部拆除方案 ,经批准后实施。</w:t>
      </w:r>
    </w:p>
    <w:p>
      <w:pPr>
        <w:pStyle w:val="BodyText"/>
        <w:spacing w:before="185" w:line="219" w:lineRule="auto"/>
        <w:ind w:left="711"/>
      </w:pPr>
      <w:r>
        <w:rPr>
          <w:spacing w:val="-1"/>
        </w:rPr>
        <w:t>5.4.5 作业平台拆除应符合下列规定：</w:t>
      </w:r>
    </w:p>
    <w:p>
      <w:pPr>
        <w:pStyle w:val="BodyText"/>
        <w:spacing w:before="181" w:line="219" w:lineRule="auto"/>
        <w:ind w:left="1144"/>
      </w:pPr>
      <w:r>
        <w:rPr>
          <w:spacing w:val="-11"/>
        </w:rPr>
        <w:t>1  拆除作业平台前，拆除单位应向施工</w:t>
      </w:r>
      <w:r>
        <w:rPr>
          <w:spacing w:val="-12"/>
        </w:rPr>
        <w:t>作业人员进行安全技术交底。</w:t>
      </w:r>
    </w:p>
    <w:p>
      <w:pPr>
        <w:pStyle w:val="BodyText"/>
        <w:spacing w:before="183" w:line="468" w:lineRule="exact"/>
        <w:ind w:left="1129"/>
      </w:pPr>
      <w:r>
        <w:rPr>
          <w:position w:val="17"/>
        </w:rPr>
        <w:t>2 拆除单位应全面检查所有连接件安装质量</w:t>
      </w:r>
      <w:r>
        <w:rPr>
          <w:spacing w:val="-1"/>
          <w:position w:val="17"/>
        </w:rPr>
        <w:t>及型钢支撑架的固定设施的可靠</w:t>
      </w:r>
    </w:p>
    <w:p>
      <w:pPr>
        <w:pStyle w:val="BodyText"/>
        <w:spacing w:before="1" w:line="220" w:lineRule="auto"/>
        <w:ind w:left="649"/>
      </w:pPr>
      <w:r>
        <w:rPr>
          <w:spacing w:val="-7"/>
        </w:rPr>
        <w:t>性。</w:t>
      </w:r>
    </w:p>
    <w:p>
      <w:pPr>
        <w:pStyle w:val="BodyText"/>
        <w:spacing w:before="178" w:line="219" w:lineRule="auto"/>
        <w:ind w:left="1131"/>
      </w:pPr>
      <w:r>
        <w:rPr>
          <w:spacing w:val="-1"/>
        </w:rPr>
        <w:t>3 拆除单位应清除架体上的材料、杂物及作业面的障碍物。</w:t>
      </w:r>
    </w:p>
    <w:p>
      <w:pPr>
        <w:pStyle w:val="BodyText"/>
        <w:spacing w:before="183" w:line="466" w:lineRule="exact"/>
        <w:ind w:left="1125"/>
      </w:pPr>
      <w:r>
        <w:rPr>
          <w:position w:val="17"/>
        </w:rPr>
        <w:t>4 采用固定式作业平台时,电梯轿厢和配重安装完成后,作业平台才可拆除。拆</w:t>
      </w:r>
    </w:p>
    <w:p>
      <w:pPr>
        <w:pStyle w:val="BodyText"/>
        <w:spacing w:before="1" w:line="216" w:lineRule="auto"/>
        <w:ind w:left="661"/>
      </w:pPr>
      <w:r>
        <w:rPr>
          <w:spacing w:val="-1"/>
        </w:rPr>
        <w:t>除作业应自上而下逐层进行,不得上下层同时拆</w:t>
      </w:r>
      <w:r>
        <w:rPr>
          <w:spacing w:val="-2"/>
        </w:rPr>
        <w:t>除。</w:t>
      </w:r>
    </w:p>
    <w:p>
      <w:pPr>
        <w:pStyle w:val="BodyText"/>
        <w:spacing w:before="186" w:line="466" w:lineRule="exact"/>
        <w:ind w:right="46"/>
        <w:jc w:val="right"/>
      </w:pPr>
      <w:r>
        <w:rPr>
          <w:position w:val="17"/>
        </w:rPr>
        <w:t>5 井道顶部预留孔洞应封闭可靠,各层门应安</w:t>
      </w:r>
      <w:r>
        <w:rPr>
          <w:spacing w:val="-1"/>
          <w:position w:val="17"/>
        </w:rPr>
        <w:t>装完毕 ,且孔洞处应设置安全警戒</w:t>
      </w:r>
    </w:p>
    <w:p>
      <w:pPr>
        <w:pStyle w:val="BodyText"/>
        <w:spacing w:line="216" w:lineRule="auto"/>
        <w:ind w:left="649"/>
      </w:pPr>
      <w:r>
        <w:rPr>
          <w:spacing w:val="-1"/>
        </w:rPr>
        <w:t>线、警戒标志,并派专人监护。</w:t>
      </w:r>
    </w:p>
    <w:p>
      <w:pPr>
        <w:pStyle w:val="BodyText"/>
        <w:spacing w:before="187" w:line="466" w:lineRule="exact"/>
        <w:ind w:right="46"/>
        <w:jc w:val="right"/>
        <w:sectPr>
          <w:headerReference w:type="default" r:id="rId48"/>
          <w:footerReference w:type="default" r:id="rId49"/>
          <w:pgSz w:w="11910" w:h="16840"/>
          <w:pgMar w:top="400" w:right="1303" w:bottom="989" w:left="1162" w:header="0" w:footer="809" w:gutter="0"/>
          <w:pgNumType w:start="21"/>
          <w:cols w:space="708"/>
        </w:sectPr>
      </w:pPr>
      <w:r>
        <w:rPr>
          <w:position w:val="17"/>
        </w:rPr>
        <w:t>6 拆除时应有可靠的高处坠落防护措施。作业平台</w:t>
      </w:r>
      <w:r>
        <w:rPr>
          <w:spacing w:val="-1"/>
          <w:position w:val="17"/>
        </w:rPr>
        <w:t>构配件 应通过楼梯或施工电</w:t>
      </w:r>
    </w:p>
    <w:p>
      <w:pPr>
        <w:pStyle w:val="BodyText"/>
        <w:spacing w:line="216" w:lineRule="auto"/>
        <w:ind w:left="645"/>
      </w:pPr>
      <w:r>
        <w:rPr>
          <w:spacing w:val="-1"/>
        </w:rPr>
        <w:t>梯转运,不得高空抛掷。</w:t>
      </w: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BodyText"/>
        <w:spacing w:before="62" w:line="178" w:lineRule="auto"/>
        <w:rPr>
          <w:sz w:val="19"/>
          <w:szCs w:val="19"/>
        </w:rPr>
      </w:pPr>
      <w:r>
        <w:rPr>
          <w:spacing w:val="-1"/>
          <w:sz w:val="19"/>
          <w:szCs w:val="19"/>
        </w:rPr>
        <w:t>1111</w:t>
      </w:r>
    </w:p>
    <w:p>
      <w:pPr>
        <w:spacing w:line="178" w:lineRule="auto"/>
        <w:rPr>
          <w:sz w:val="19"/>
          <w:szCs w:val="19"/>
        </w:rPr>
        <w:sectPr>
          <w:headerReference w:type="default" r:id="rId50"/>
          <w:footerReference w:type="default" r:id="rId51"/>
          <w:type w:val="nextPage"/>
          <w:pgSz w:w="11910" w:h="16840"/>
          <w:pgMar w:top="400" w:right="1303" w:bottom="989" w:left="1162" w:header="0" w:footer="809" w:gutter="0"/>
          <w:pgNumType w:start="22"/>
          <w:cols w:space="708"/>
          <w:titlePg w:val="0"/>
        </w:sectPr>
      </w:pPr>
    </w:p>
    <w:p>
      <w:pPr>
        <w:spacing w:line="295" w:lineRule="auto"/>
        <w:rPr>
          <w:rFonts w:ascii="Arial"/>
          <w:sz w:val="21"/>
        </w:rPr>
      </w:pPr>
    </w:p>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BodyText"/>
        <w:spacing w:before="91" w:line="221" w:lineRule="auto"/>
        <w:ind w:left="3624"/>
        <w:outlineLvl w:val="0"/>
        <w:rPr>
          <w:sz w:val="28"/>
          <w:szCs w:val="28"/>
        </w:rPr>
      </w:pPr>
      <w:bookmarkStart w:id="12" w:name="bookmark13"/>
      <w:bookmarkEnd w:id="12"/>
      <w:bookmarkStart w:id="13" w:name="bookmark14"/>
      <w:bookmarkEnd w:id="13"/>
      <w:r>
        <w:rPr>
          <w:rFonts w:ascii="SimHei" w:eastAsia="SimHei" w:hAnsi="SimHei" w:cs="SimHei"/>
          <w:spacing w:val="-4"/>
          <w:sz w:val="28"/>
          <w:szCs w:val="28"/>
        </w:rPr>
        <w:t>6</w:t>
      </w:r>
      <w:r>
        <w:rPr>
          <w:rFonts w:ascii="SimHei" w:eastAsia="SimHei" w:hAnsi="SimHei" w:cs="SimHei"/>
          <w:spacing w:val="-4"/>
          <w:sz w:val="28"/>
          <w:szCs w:val="28"/>
        </w:rPr>
        <w:t xml:space="preserve">  </w:t>
      </w:r>
      <w:r>
        <w:rPr>
          <w:spacing w:val="-4"/>
          <w:sz w:val="28"/>
          <w:szCs w:val="28"/>
        </w:rPr>
        <w:t>移动式作业平台</w:t>
      </w:r>
    </w:p>
    <w:p>
      <w:pPr>
        <w:pStyle w:val="BodyText"/>
        <w:spacing w:before="204" w:line="220" w:lineRule="auto"/>
        <w:ind w:left="4091"/>
      </w:pPr>
      <w:r>
        <w:rPr>
          <w:rFonts w:ascii="SimHei" w:eastAsia="SimHei" w:hAnsi="SimHei" w:cs="SimHei"/>
          <w:spacing w:val="-4"/>
        </w:rPr>
        <w:t>6.1</w:t>
      </w:r>
      <w:r>
        <w:rPr>
          <w:rFonts w:ascii="SimHei" w:eastAsia="SimHei" w:hAnsi="SimHei" w:cs="SimHei"/>
          <w:spacing w:val="18"/>
        </w:rPr>
        <w:t xml:space="preserve"> </w:t>
      </w:r>
      <w:r>
        <w:rPr>
          <w:spacing w:val="-4"/>
        </w:rPr>
        <w:t>一般规定</w:t>
      </w:r>
    </w:p>
    <w:p>
      <w:pPr>
        <w:pStyle w:val="BodyText"/>
        <w:spacing w:before="179" w:line="219" w:lineRule="auto"/>
        <w:ind w:left="661"/>
      </w:pPr>
      <w:r>
        <w:rPr>
          <w:spacing w:val="-1"/>
          <w14:textOutline w14:w="4330" w14:cap="sq">
            <w14:solidFill>
              <w14:srgbClr w14:val="000000"/>
            </w14:solidFill>
            <w14:prstDash w14:val="solid"/>
            <w14:bevel/>
          </w14:textOutline>
        </w:rPr>
        <w:t>6.1.1</w:t>
      </w:r>
      <w:r>
        <w:rPr>
          <w:spacing w:val="-1"/>
        </w:rPr>
        <w:t xml:space="preserve">  移动式作业平台宜在底层安装。</w:t>
      </w:r>
    </w:p>
    <w:p>
      <w:pPr>
        <w:pStyle w:val="BodyText"/>
        <w:spacing w:before="183" w:line="219" w:lineRule="auto"/>
        <w:ind w:left="661"/>
      </w:pPr>
      <w:r>
        <w:rPr>
          <w:spacing w:val="-1"/>
          <w14:textOutline w14:w="4330" w14:cap="sq">
            <w14:solidFill>
              <w14:srgbClr w14:val="000000"/>
            </w14:solidFill>
            <w14:prstDash w14:val="solid"/>
            <w14:bevel/>
          </w14:textOutline>
        </w:rPr>
        <w:t>6.1.2</w:t>
      </w:r>
      <w:r>
        <w:rPr>
          <w:spacing w:val="-1"/>
        </w:rPr>
        <w:t xml:space="preserve">  移动式作业平台宜停靠至首层。</w:t>
      </w:r>
    </w:p>
    <w:p>
      <w:pPr>
        <w:pStyle w:val="BodyText"/>
        <w:spacing w:before="183" w:line="219" w:lineRule="auto"/>
        <w:ind w:left="3971"/>
      </w:pPr>
      <w:bookmarkStart w:id="14" w:name="bookmark15"/>
      <w:bookmarkEnd w:id="14"/>
      <w:r>
        <w:rPr>
          <w:rFonts w:ascii="SimHei" w:eastAsia="SimHei" w:hAnsi="SimHei" w:cs="SimHei"/>
          <w:spacing w:val="-1"/>
        </w:rPr>
        <w:t>6.2</w:t>
      </w:r>
      <w:r>
        <w:rPr>
          <w:rFonts w:ascii="SimHei" w:eastAsia="SimHei" w:hAnsi="SimHei" w:cs="SimHei"/>
          <w:spacing w:val="-1"/>
        </w:rPr>
        <w:t xml:space="preserve"> </w:t>
      </w:r>
      <w:r>
        <w:rPr>
          <w:spacing w:val="-1"/>
        </w:rPr>
        <w:t>设计计算要求</w:t>
      </w:r>
    </w:p>
    <w:p>
      <w:pPr>
        <w:pStyle w:val="BodyText"/>
        <w:spacing w:before="180" w:line="219" w:lineRule="auto"/>
        <w:ind w:left="661"/>
      </w:pPr>
      <w:r>
        <w:t>6.2.1  设计计算应包括悬挂机构及作</w:t>
      </w:r>
      <w:r>
        <w:rPr>
          <w:spacing w:val="-1"/>
        </w:rPr>
        <w:t>业平台的强度和刚度等内容。</w:t>
      </w:r>
    </w:p>
    <w:p>
      <w:pPr>
        <w:pStyle w:val="BodyText"/>
        <w:spacing w:before="183" w:line="219" w:lineRule="auto"/>
        <w:ind w:left="661"/>
      </w:pPr>
      <w:r>
        <w:rPr>
          <w:spacing w:val="-1"/>
        </w:rPr>
        <w:t>6.2.2  悬挂机构应符合下列要求：</w:t>
      </w:r>
    </w:p>
    <w:p>
      <w:pPr>
        <w:pStyle w:val="BodyText"/>
        <w:spacing w:before="182" w:line="465" w:lineRule="exact"/>
        <w:ind w:left="1157"/>
      </w:pPr>
      <w:r>
        <w:rPr>
          <w:spacing w:val="-12"/>
          <w:position w:val="17"/>
        </w:rPr>
        <w:t>1  悬挂机构应具备足够的强度和刚度。悬吊平台时, 悬挂机构应能</w:t>
      </w:r>
      <w:r>
        <w:rPr>
          <w:spacing w:val="-13"/>
          <w:position w:val="17"/>
        </w:rPr>
        <w:t>承担平台的</w:t>
      </w:r>
    </w:p>
    <w:p>
      <w:pPr>
        <w:pStyle w:val="BodyText"/>
        <w:spacing w:before="1" w:line="218" w:lineRule="auto"/>
        <w:ind w:left="660"/>
      </w:pPr>
      <w:r>
        <w:rPr>
          <w:spacing w:val="-14"/>
        </w:rPr>
        <w:t>额定载重量和平台、附属设备、钢丝绳和电缆的自重等荷载。</w:t>
      </w:r>
    </w:p>
    <w:p>
      <w:pPr>
        <w:pStyle w:val="BodyText"/>
        <w:spacing w:before="184" w:line="468" w:lineRule="exact"/>
        <w:ind w:left="1142"/>
      </w:pPr>
      <w:r>
        <w:rPr>
          <w:position w:val="17"/>
        </w:rPr>
        <w:t>2  悬挂机构作用于建构筑物上的荷载不应超过结构的承载能力。当悬挂机</w:t>
      </w:r>
    </w:p>
    <w:p>
      <w:pPr>
        <w:pStyle w:val="BodyText"/>
        <w:spacing w:line="216" w:lineRule="auto"/>
        <w:ind w:left="662"/>
      </w:pPr>
      <w:r>
        <w:rPr>
          <w:spacing w:val="-1"/>
        </w:rPr>
        <w:t>构的载荷由屋面预埋件传递时,其预埋件的安全系数不应小于3.0。</w:t>
      </w:r>
    </w:p>
    <w:p>
      <w:pPr>
        <w:pStyle w:val="BodyText"/>
        <w:spacing w:before="185" w:line="468" w:lineRule="exact"/>
        <w:ind w:left="1144"/>
      </w:pPr>
      <w:r>
        <w:rPr>
          <w:spacing w:val="-2"/>
          <w:position w:val="17"/>
        </w:rPr>
        <w:t>3  采用曳引驱动式作业平台时,配重块应固定在配重框架内,</w:t>
      </w:r>
      <w:r>
        <w:rPr>
          <w:spacing w:val="-3"/>
          <w:position w:val="17"/>
        </w:rPr>
        <w:t>配重块数量应</w:t>
      </w:r>
    </w:p>
    <w:p>
      <w:pPr>
        <w:pStyle w:val="BodyText"/>
        <w:spacing w:line="219" w:lineRule="auto"/>
        <w:ind w:left="660"/>
      </w:pPr>
      <w:r>
        <w:rPr>
          <w:spacing w:val="-1"/>
        </w:rPr>
        <w:t>根据曳引驱动式平台的要求确定。</w:t>
      </w:r>
    </w:p>
    <w:p>
      <w:pPr>
        <w:pStyle w:val="BodyText"/>
        <w:spacing w:before="180" w:line="468" w:lineRule="exact"/>
        <w:ind w:left="690"/>
      </w:pPr>
      <w:r>
        <w:rPr>
          <w:spacing w:val="-12"/>
          <w:position w:val="17"/>
        </w:rPr>
        <w:t>6.2.3</w:t>
      </w:r>
      <w:r>
        <w:rPr>
          <w:spacing w:val="102"/>
          <w:position w:val="17"/>
        </w:rPr>
        <w:t xml:space="preserve"> </w:t>
      </w:r>
      <w:r>
        <w:rPr>
          <w:spacing w:val="-12"/>
          <w:position w:val="17"/>
        </w:rPr>
        <w:t>平台应有足够的强度和刚度,当承受 2 倍均</w:t>
      </w:r>
      <w:r>
        <w:rPr>
          <w:spacing w:val="-13"/>
          <w:position w:val="17"/>
        </w:rPr>
        <w:t>布额定载重量时,不得出现焊缝</w:t>
      </w:r>
    </w:p>
    <w:p>
      <w:pPr>
        <w:pStyle w:val="BodyText"/>
        <w:spacing w:before="1" w:line="219" w:lineRule="auto"/>
      </w:pPr>
      <w:r>
        <w:rPr>
          <w:spacing w:val="-19"/>
        </w:rPr>
        <w:t>裂纹、螺栓（铆钉）松动或构件变形破坏等现象。</w:t>
      </w:r>
    </w:p>
    <w:p>
      <w:pPr>
        <w:pStyle w:val="BodyText"/>
        <w:spacing w:before="180" w:line="220" w:lineRule="auto"/>
        <w:ind w:left="4091"/>
      </w:pPr>
      <w:bookmarkStart w:id="15" w:name="bookmark16"/>
      <w:bookmarkEnd w:id="15"/>
      <w:r>
        <w:rPr>
          <w:rFonts w:ascii="SimHei" w:eastAsia="SimHei" w:hAnsi="SimHei" w:cs="SimHei"/>
          <w:spacing w:val="-3"/>
        </w:rPr>
        <w:t>6.3</w:t>
      </w:r>
      <w:r>
        <w:rPr>
          <w:rFonts w:ascii="SimHei" w:eastAsia="SimHei" w:hAnsi="SimHei" w:cs="SimHei"/>
          <w:spacing w:val="12"/>
        </w:rPr>
        <w:t xml:space="preserve"> </w:t>
      </w:r>
      <w:r>
        <w:rPr>
          <w:spacing w:val="-3"/>
        </w:rPr>
        <w:t>构造要求</w:t>
      </w:r>
    </w:p>
    <w:p>
      <w:pPr>
        <w:pStyle w:val="BodyText"/>
        <w:spacing w:before="183" w:line="219" w:lineRule="auto"/>
        <w:ind w:left="661"/>
      </w:pPr>
      <w:r>
        <w:rPr>
          <w:spacing w:val="-2"/>
          <w14:textOutline w14:w="4330" w14:cap="sq">
            <w14:solidFill>
              <w14:srgbClr w14:val="000000"/>
            </w14:solidFill>
            <w14:prstDash w14:val="solid"/>
            <w14:bevel/>
          </w14:textOutline>
        </w:rPr>
        <w:t>6.3.1</w:t>
      </w:r>
      <w:r>
        <w:rPr>
          <w:spacing w:val="-30"/>
        </w:rPr>
        <w:t xml:space="preserve"> </w:t>
      </w:r>
      <w:r>
        <w:rPr>
          <w:spacing w:val="-2"/>
        </w:rPr>
        <w:t>作业平台构造应符合下列规定：</w:t>
      </w:r>
    </w:p>
    <w:p>
      <w:pPr>
        <w:pStyle w:val="BodyText"/>
        <w:spacing w:before="180" w:line="468" w:lineRule="exact"/>
        <w:ind w:left="1140"/>
      </w:pPr>
      <w:r>
        <w:rPr>
          <w:spacing w:val="-4"/>
          <w:position w:val="17"/>
        </w:rPr>
        <w:t>1  曳引驱动式轿厢顶部作业平台(图 6.3.1-1)应设置成上</w:t>
      </w:r>
      <w:r>
        <w:rPr>
          <w:spacing w:val="-5"/>
          <w:position w:val="17"/>
        </w:rPr>
        <w:t>、下二层，高度不宜</w:t>
      </w:r>
    </w:p>
    <w:p>
      <w:pPr>
        <w:pStyle w:val="BodyText"/>
        <w:spacing w:before="1" w:line="220" w:lineRule="auto"/>
        <w:ind w:left="659"/>
      </w:pPr>
      <w:r>
        <w:rPr>
          <w:spacing w:val="-4"/>
        </w:rPr>
        <w:t>超过</w:t>
      </w:r>
      <w:r>
        <w:rPr>
          <w:spacing w:val="10"/>
        </w:rPr>
        <w:t xml:space="preserve"> </w:t>
      </w:r>
      <w:r>
        <w:rPr>
          <w:spacing w:val="-4"/>
        </w:rPr>
        <w:t>4m。</w:t>
      </w: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r>
        <w:rPr>
          <w:rFonts w:ascii="Arial"/>
          <w:sz w:val="21"/>
        </w:rPr>
        <w:br/>
      </w:r>
      <w:r>
        <w:rPr>
          <w:rFonts w:ascii="Arial"/>
          <w:sz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2" w:history="1">
        <w:r>
          <w:rPr>
            <w:rFonts w:ascii="SimSun" w:eastAsia="SimSun" w:hAnsi="SimSun" w:cs="SimSun"/>
            <w:b/>
            <w:bCs/>
            <w:noProof w:val="0"/>
            <w:snapToGrid/>
            <w:color w:val="0000EE"/>
            <w:kern w:val="0"/>
            <w:sz w:val="30"/>
            <w:szCs w:val="30"/>
            <w:u w:val="single" w:color="0000EE"/>
          </w:rPr>
          <w:t>https://d.book118.com/466220054123010051</w:t>
        </w:r>
      </w:hyperlink>
    </w:p>
    <w:p>
      <w:pPr>
        <w:spacing w:line="244" w:lineRule="auto"/>
        <w:rPr>
          <w:rFonts w:ascii="Arial"/>
          <w:sz w:val="21"/>
        </w:rPr>
      </w:pPr>
    </w:p>
    <w:sectPr>
      <w:headerReference w:type="default" r:id="rId53"/>
      <w:footerReference w:type="default" r:id="rId54"/>
      <w:pgSz w:w="11910" w:h="16840"/>
      <w:pgMar w:top="400" w:right="1303" w:bottom="400" w:left="1149" w:header="0" w:footer="0" w:gutter="0"/>
      <w:pgNumType w:start="2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jc w:val="right"/>
      <w:rPr>
        <w:sz w:val="18"/>
        <w:szCs w:val="18"/>
      </w:rPr>
    </w:pPr>
    <w:r>
      <w:rPr>
        <w:spacing w:val="-21"/>
        <w:sz w:val="18"/>
        <w:szCs w:val="18"/>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10"/>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10"/>
        <w:sz w:val="18"/>
        <w:szCs w:val="18"/>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11"/>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11"/>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7"/>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jc w:val="right"/>
      <w:rPr>
        <w:sz w:val="18"/>
        <w:szCs w:val="18"/>
      </w:rPr>
    </w:pPr>
    <w:r>
      <w:rPr>
        <w:spacing w:val="-11"/>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jc w:val="right"/>
      <w:rPr>
        <w:sz w:val="18"/>
        <w:szCs w:val="18"/>
      </w:rPr>
    </w:pPr>
    <w:r>
      <w:rPr>
        <w:spacing w:val="-11"/>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9"/>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jc w:val="right"/>
      <w:rPr>
        <w:sz w:val="18"/>
        <w:szCs w:val="18"/>
      </w:rPr>
    </w:pPr>
    <w:r>
      <w:rPr>
        <w:spacing w:val="-12"/>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1" w:lineRule="auto"/>
      <w:jc w:val="right"/>
      <w:rPr>
        <w:sz w:val="18"/>
        <w:szCs w:val="18"/>
      </w:rPr>
    </w:pPr>
    <w:r>
      <w:rPr>
        <w:spacing w:val="-12"/>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8"/>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2" w:lineRule="auto"/>
      <w:jc w:val="right"/>
      <w:rPr>
        <w:sz w:val="18"/>
        <w:szCs w:val="18"/>
      </w:rPr>
    </w:pPr>
    <w:r>
      <w:rPr>
        <w:spacing w:val="-8"/>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jc w:val="right"/>
      <w:rPr>
        <w:sz w:val="18"/>
        <w:szCs w:val="18"/>
      </w:rPr>
    </w:pPr>
    <w:r>
      <w:rPr>
        <w:spacing w:val="-10"/>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jc w:val="right"/>
      <w:rPr>
        <w:sz w:val="18"/>
        <w:szCs w:val="18"/>
      </w:rPr>
    </w:pPr>
    <w:r>
      <w:rPr>
        <w:spacing w:val="-10"/>
        <w:sz w:val="18"/>
        <w:szCs w:val="18"/>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jc w:val="right"/>
      <w:rPr>
        <w:sz w:val="18"/>
        <w:szCs w:val="18"/>
      </w:rPr>
    </w:pPr>
    <w:r>
      <w:rPr>
        <w:spacing w:val="-10"/>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jc w:val="right"/>
      <w:rPr>
        <w:sz w:val="18"/>
        <w:szCs w:val="18"/>
      </w:rPr>
    </w:pPr>
    <w:r>
      <w:rPr>
        <w:spacing w:val="-10"/>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24"/>
      <w:szCs w:val="24"/>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image" Target="media/image1.png" /><Relationship Id="rId31" Type="http://schemas.openxmlformats.org/officeDocument/2006/relationships/image" Target="media/image2.png" /><Relationship Id="rId32" Type="http://schemas.openxmlformats.org/officeDocument/2006/relationships/image" Target="media/image3.jpeg"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image" Target="media/image4.png"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image" Target="media/image5.jpeg" /><Relationship Id="rId39" Type="http://schemas.openxmlformats.org/officeDocument/2006/relationships/header" Target="header16.xml" /><Relationship Id="rId4" Type="http://schemas.openxmlformats.org/officeDocument/2006/relationships/header" Target="header1.xml" /><Relationship Id="rId40" Type="http://schemas.openxmlformats.org/officeDocument/2006/relationships/footer" Target="footer16.xml" /><Relationship Id="rId41" Type="http://schemas.openxmlformats.org/officeDocument/2006/relationships/header" Target="header17.xml" /><Relationship Id="rId42" Type="http://schemas.openxmlformats.org/officeDocument/2006/relationships/footer" Target="footer17.xml" /><Relationship Id="rId43" Type="http://schemas.openxmlformats.org/officeDocument/2006/relationships/image" Target="media/image6.jpeg" /><Relationship Id="rId44" Type="http://schemas.openxmlformats.org/officeDocument/2006/relationships/header" Target="header18.xml" /><Relationship Id="rId45" Type="http://schemas.openxmlformats.org/officeDocument/2006/relationships/footer" Target="footer18.xml" /><Relationship Id="rId46" Type="http://schemas.openxmlformats.org/officeDocument/2006/relationships/header" Target="header19.xml" /><Relationship Id="rId47" Type="http://schemas.openxmlformats.org/officeDocument/2006/relationships/footer" Target="footer19.xml" /><Relationship Id="rId48" Type="http://schemas.openxmlformats.org/officeDocument/2006/relationships/header" Target="header20.xml" /><Relationship Id="rId49" Type="http://schemas.openxmlformats.org/officeDocument/2006/relationships/footer" Target="footer20.xml" /><Relationship Id="rId5" Type="http://schemas.openxmlformats.org/officeDocument/2006/relationships/footer" Target="footer1.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hyperlink" Target="https://d.book118.com/466220054123010051" TargetMode="External" /><Relationship Id="rId53" Type="http://schemas.openxmlformats.org/officeDocument/2006/relationships/header" Target="header22.xml" /><Relationship Id="rId54" Type="http://schemas.openxmlformats.org/officeDocument/2006/relationships/footer" Target="footer22.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张惠丽</dc:creator>
  <cp:revision>0</cp:revision>
  <dcterms:created xsi:type="dcterms:W3CDTF">2024-02-22T15:00:44Z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2024-02-22T15:04:32Z</vt:filetime>
  </property>
  <property fmtid="{D5CDD505-2E9C-101B-9397-08002B2CF9AE}" pid="3" name="CRO">
    <vt:lpwstr>wqlLaW5nc29mdCBQREYgdG8gV1BTIDkw</vt:lpwstr>
  </property>
</Properties>
</file>