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体外诊断试剂产品相关行业公司成立报告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61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_Toc13617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43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_Toc14743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_Toc18404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4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_Toc12340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99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_Toc19599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_Toc2764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_Toc7321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62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_Toc11862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6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_Toc23967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32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_Toc13432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_Toc2883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_Toc6289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29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_Toc4229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3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_Toc2623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_Toc29890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8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_Toc30928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_Toc465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04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_Toc18304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5" w:history="1">
        <w:r>
          <w:rPr>
            <w:rFonts w:ascii="仿宋" w:eastAsia="仿宋" w:hAnsi="仿宋" w:cs="仿宋" w:hint="eastAsia"/>
            <w:lang w:eastAsia="zh-CN"/>
          </w:rPr>
          <w:t>(一)、体外诊断试剂产品项目选址原则</w:t>
        </w:r>
        <w:r>
          <w:tab/>
        </w:r>
        <w:r>
          <w:fldChar w:fldCharType="begin"/>
        </w:r>
        <w:r>
          <w:instrText xml:space="preserve"> PAGEREF _Toc13265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_Toc22647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_Toc2215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8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_Toc19682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9" w:history="1">
        <w:r>
          <w:rPr>
            <w:rFonts w:ascii="仿宋" w:eastAsia="仿宋" w:hAnsi="仿宋" w:cs="仿宋" w:hint="eastAsia"/>
            <w:lang w:eastAsia="zh-CN"/>
          </w:rPr>
          <w:t>(五)、体外诊断试剂产品项目选址综合评价</w:t>
        </w:r>
        <w:r>
          <w:tab/>
        </w:r>
        <w:r>
          <w:fldChar w:fldCharType="begin"/>
        </w:r>
        <w:r>
          <w:instrText xml:space="preserve"> PAGEREF _Toc13379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3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_Toc2713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_Toc10269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9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_Toc23599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7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_Toc3979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_Toc26218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0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_Toc12260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_Toc18022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22" w:history="1">
        <w:r>
          <w:rPr>
            <w:rFonts w:ascii="仿宋" w:eastAsia="仿宋" w:hAnsi="仿宋" w:cs="仿宋" w:hint="eastAsia"/>
            <w:lang w:eastAsia="zh-CN"/>
          </w:rPr>
          <w:t>(七)、体外诊断试剂产品项目建设必要性分析</w:t>
        </w:r>
        <w:r>
          <w:tab/>
        </w:r>
        <w:r>
          <w:fldChar w:fldCharType="begin"/>
        </w:r>
        <w:r>
          <w:instrText xml:space="preserve"> PAGEREF _Toc21122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7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_Toc1527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2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_Toc20523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9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_Toc16395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1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_Toc20581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_Toc23828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08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_Toc9408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18" w:history="1">
        <w:r>
          <w:rPr>
            <w:rFonts w:ascii="仿宋" w:eastAsia="仿宋" w:hAnsi="仿宋" w:cs="仿宋" w:hint="eastAsia"/>
            <w:lang w:eastAsia="zh-CN"/>
          </w:rPr>
          <w:t>(一)、体外诊断试剂产品项目背景分析</w:t>
        </w:r>
        <w:r>
          <w:tab/>
        </w:r>
        <w:r>
          <w:fldChar w:fldCharType="begin"/>
        </w:r>
        <w:r>
          <w:instrText xml:space="preserve"> PAGEREF _Toc20418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3" w:history="1">
        <w:r>
          <w:rPr>
            <w:rFonts w:ascii="仿宋" w:eastAsia="仿宋" w:hAnsi="仿宋" w:cs="仿宋" w:hint="eastAsia"/>
            <w:lang w:eastAsia="zh-CN"/>
          </w:rPr>
          <w:t>(二)、体外诊断试剂产品项目建设必要性分析</w:t>
        </w:r>
        <w:r>
          <w:tab/>
        </w:r>
        <w:r>
          <w:fldChar w:fldCharType="begin"/>
        </w:r>
        <w:r>
          <w:instrText xml:space="preserve"> PAGEREF _Toc10013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10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_Toc15510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08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_Toc31608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44" w:history="1">
        <w:r>
          <w:rPr>
            <w:rFonts w:ascii="仿宋" w:eastAsia="仿宋" w:hAnsi="仿宋" w:cs="仿宋" w:hint="eastAsia"/>
            <w:lang w:eastAsia="zh-CN"/>
          </w:rPr>
          <w:t>八、体外诊断试剂产品项目经济效益</w:t>
        </w:r>
        <w:r>
          <w:tab/>
        </w:r>
        <w:r>
          <w:fldChar w:fldCharType="begin"/>
        </w:r>
        <w:r>
          <w:instrText xml:space="preserve"> PAGEREF _Toc2844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_Toc22724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_Toc5571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94" w:history="1">
        <w:r>
          <w:rPr>
            <w:rFonts w:ascii="仿宋" w:eastAsia="仿宋" w:hAnsi="仿宋" w:cs="仿宋" w:hint="eastAsia"/>
            <w:lang w:eastAsia="zh-CN"/>
          </w:rPr>
          <w:t>(三)、体外诊断试剂产品项目盈利能力分析</w:t>
        </w:r>
        <w:r>
          <w:tab/>
        </w:r>
        <w:r>
          <w:fldChar w:fldCharType="begin"/>
        </w:r>
        <w:r>
          <w:instrText xml:space="preserve"> PAGEREF _Toc22994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53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_Toc5553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_Toc7780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5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_Toc4615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5" w:history="1">
        <w:r>
          <w:rPr>
            <w:rFonts w:ascii="仿宋" w:eastAsia="仿宋" w:hAnsi="仿宋" w:cs="仿宋" w:hint="eastAsia"/>
            <w:lang w:eastAsia="zh-CN"/>
          </w:rPr>
          <w:t>九、体外诊断试剂产品项目风险分析</w:t>
        </w:r>
        <w:r>
          <w:tab/>
        </w:r>
        <w:r>
          <w:fldChar w:fldCharType="begin"/>
        </w:r>
        <w:r>
          <w:instrText xml:space="preserve"> PAGEREF _Toc1495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3" w:history="1">
        <w:r>
          <w:rPr>
            <w:rFonts w:ascii="仿宋" w:eastAsia="仿宋" w:hAnsi="仿宋" w:cs="仿宋" w:hint="eastAsia"/>
            <w:lang w:eastAsia="zh-CN"/>
          </w:rPr>
          <w:t>(一)、体外诊断试剂产品项目风险分析</w:t>
        </w:r>
        <w:r>
          <w:tab/>
        </w:r>
        <w:r>
          <w:fldChar w:fldCharType="begin"/>
        </w:r>
        <w:r>
          <w:instrText xml:space="preserve"> PAGEREF _Toc5743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30" w:history="1">
        <w:r>
          <w:rPr>
            <w:rFonts w:ascii="仿宋" w:eastAsia="仿宋" w:hAnsi="仿宋" w:cs="仿宋" w:hint="eastAsia"/>
            <w:lang w:eastAsia="zh-CN"/>
          </w:rPr>
          <w:t>(二)、体外诊断试剂产品项目风险对策</w:t>
        </w:r>
        <w:r>
          <w:tab/>
        </w:r>
        <w:r>
          <w:fldChar w:fldCharType="begin"/>
        </w:r>
        <w:r>
          <w:instrText xml:space="preserve"> PAGEREF _Toc22530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25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_Toc21225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_Toc5700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_Toc5937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3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_Toc15835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2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_Toc28220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7" w:history="1">
        <w:r>
          <w:rPr>
            <w:rFonts w:ascii="仿宋" w:eastAsia="仿宋" w:hAnsi="仿宋" w:cs="仿宋" w:hint="eastAsia"/>
            <w:lang w:eastAsia="zh-CN"/>
          </w:rPr>
          <w:t>(五)、体外诊断试剂产品项目总投资</w:t>
        </w:r>
        <w:r>
          <w:tab/>
        </w:r>
        <w:r>
          <w:fldChar w:fldCharType="begin"/>
        </w:r>
        <w:r>
          <w:instrText xml:space="preserve"> PAGEREF _Toc19947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_Toc659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61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_Toc14061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6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_Toc31386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7" w:history="1">
        <w:r>
          <w:rPr>
            <w:rFonts w:ascii="仿宋" w:eastAsia="仿宋" w:hAnsi="仿宋" w:cs="仿宋" w:hint="eastAsia"/>
            <w:lang w:eastAsia="zh-CN"/>
          </w:rPr>
          <w:t>(二)、合作体外诊断试剂产品项目</w:t>
        </w:r>
        <w:r>
          <w:tab/>
        </w:r>
        <w:r>
          <w:fldChar w:fldCharType="begin"/>
        </w:r>
        <w:r>
          <w:instrText xml:space="preserve"> PAGEREF _Toc18007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7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_Toc13317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05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_Toc30905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98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_Toc16398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9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_Toc11695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99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_Toc19999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6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_Toc21576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49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_Toc24849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32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_Toc7132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61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743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8404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340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https://d.book118.com/467063044154006042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体外诊断试剂产品相关行业公司成立报告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体外诊断试剂产品相关行业公司成立报告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体外诊断试剂产品相关行业公司成立报告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体外诊断试剂产品相关行业公司成立报告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体外诊断试剂产品相关行业公司成立报告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67063044154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2024-02-10T02:14:00Z</dcterms:created>
  <dcterms:modified xsi:type="dcterms:W3CDTF">2024-02-10T02:14:45Z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A6716351E25B4FF2B9D7D9E18F0388B9_11</vt:lpwstr>
  </property>
  <property fmtid="{D5CDD505-2E9C-101B-9397-08002B2CF9AE}" pid="3" name="KSOProductBuildVer">
    <vt:lpwstr>2052-12.1.0.16250</vt:lpwstr>
  </property>
</Properties>
</file>