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脑病医院行业企业战略风险管理报告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9" w:history="1">
        <w:r>
          <w:rPr>
            <w:rFonts w:ascii="仿宋" w:eastAsia="仿宋" w:hAnsi="仿宋" w:cs="仿宋" w:hint="eastAsia"/>
            <w:lang w:eastAsia="zh-CN"/>
          </w:rPr>
          <w:t>一、建筑工程可行性分析</w:t>
        </w:r>
        <w:r>
          <w:tab/>
        </w:r>
        <w:r>
          <w:fldChar w:fldCharType="begin"/>
        </w:r>
        <w:r>
          <w:instrText xml:space="preserve"> PAGEREF _Toc16729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(一)、脑病医院项目工程设计总体要求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5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_Toc23465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二、社交媒体与在线营销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4" w:history="1">
        <w:r>
          <w:rPr>
            <w:rFonts w:ascii="仿宋" w:eastAsia="仿宋" w:hAnsi="仿宋" w:cs="仿宋" w:hint="eastAsia"/>
            <w:lang w:eastAsia="zh-CN"/>
          </w:rPr>
          <w:t>三、土建工程方案</w:t>
        </w:r>
        <w:r>
          <w:tab/>
        </w:r>
        <w:r>
          <w:fldChar w:fldCharType="begin"/>
        </w:r>
        <w:r>
          <w:instrText xml:space="preserve"> PAGEREF _Toc21134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(二)、脑病医院项目总平面设计要求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四、员工沟通技巧培训与人际关系管理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0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五、脑病医院项目工程方案分析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_Toc29558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1" w:history="1">
        <w:r>
          <w:rPr>
            <w:rFonts w:ascii="仿宋" w:eastAsia="仿宋" w:hAnsi="仿宋" w:cs="仿宋" w:hint="eastAsia"/>
            <w:lang w:eastAsia="zh-CN"/>
          </w:rPr>
          <w:t>六、脑病医院项目概论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9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8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七、产品规划分析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9" w:history="1">
        <w:r>
          <w:rPr>
            <w:rFonts w:ascii="仿宋" w:eastAsia="仿宋" w:hAnsi="仿宋" w:cs="仿宋" w:hint="eastAsia"/>
            <w:lang w:eastAsia="zh-CN"/>
          </w:rPr>
          <w:t>八、员工社会责任履行及参与公益活动</w:t>
        </w:r>
        <w:r>
          <w:tab/>
        </w:r>
        <w:r>
          <w:fldChar w:fldCharType="begin"/>
        </w:r>
        <w:r>
          <w:instrText xml:space="preserve"> PAGEREF _Toc17209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2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_Toc29622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4" w:history="1">
        <w:r>
          <w:rPr>
            <w:rFonts w:ascii="仿宋" w:eastAsia="仿宋" w:hAnsi="仿宋" w:cs="仿宋" w:hint="eastAsia"/>
            <w:lang w:eastAsia="zh-CN"/>
          </w:rPr>
          <w:t>九、脑病医院人才招聘与发展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0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_Toc12270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4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_Toc20834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_Toc15776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十二、公司机构优势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十三、营销和销售分析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2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_Toc31522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0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十四、产品规划及建设规模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4" w:history="1">
        <w:r>
          <w:rPr>
            <w:rFonts w:ascii="仿宋" w:eastAsia="仿宋" w:hAnsi="仿宋" w:cs="仿宋" w:hint="eastAsia"/>
            <w:lang w:eastAsia="zh-CN"/>
          </w:rPr>
          <w:t>十五、库存控制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2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_Toc24682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十六、脑病医院项目监督与评估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(一)、脑病医院项目监督体系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_Toc4119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十七、生产控制的方式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十八、公司文化与社会责任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eastAsia="zh-CN"/>
          </w:rPr>
          <w:t>十九、法律法规及合规性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(二)、脑病医院项目合规性评估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0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_Toc22880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二十、资源开发及综合利用分析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二十一、知识管理与信息共享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0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0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_Toc24490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二十二供应链管理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_Toc10734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29"/>
      <w:r>
        <w:rPr>
          <w:rFonts w:ascii="仿宋" w:eastAsia="仿宋" w:hAnsi="仿宋" w:cs="仿宋" w:hint="eastAsia"/>
          <w:sz w:val="28"/>
          <w:lang w:eastAsia="zh-CN"/>
        </w:rPr>
        <w:t>一、建筑工程可行性分析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18"/>
      <w:r>
        <w:rPr>
          <w:rFonts w:ascii="仿宋" w:eastAsia="仿宋" w:hAnsi="仿宋" w:cs="仿宋" w:hint="eastAsia"/>
          <w:lang w:eastAsia="zh-CN"/>
        </w:rPr>
        <w:t>(一)、脑病医院项目工程设计总体要求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脑病医院项目工程设计的总体要求如下：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建筑结构设计原则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我们将坚持在脑病医院项目工程设计阶段遵循“经济、实用和美观”的原则，并综合考虑当地地质和地形条件，以确保建筑结构的合理性和稳定性。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工艺生产需求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为满足工艺生产的需要，我们将设计工艺布局，使其便于操作、检修和管理。我们将注重厂房一体化设计，特别关注竖向组合，以最大程度地减少管线长度，从而降低能耗、节约用地和降低总体投资。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主厂房设计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https://d.book118.com/467104132161006044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脑病医院行业企业战略风险管理报告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脑病医院行业企业战略风险管理报告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脑病医院行业企业战略风险管理报告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脑病医院行业企业战略风险管理报告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脑病医院行业企业战略风险管理报告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6A7E32"/>
    <w:rsid w:val="4593521B"/>
    <w:rsid w:val="706A7E3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7104132161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2024-02-26T23:08:00Z</dcterms:created>
  <dcterms:modified xsi:type="dcterms:W3CDTF">2024-02-26T23:09:18Z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3241607FEB5D4FE6AD2D8EF0AA7316D6_11</vt:lpwstr>
  </property>
  <property fmtid="{D5CDD505-2E9C-101B-9397-08002B2CF9AE}" pid="3" name="KSOProductBuildVer">
    <vt:lpwstr>2052-12.1.0.16250</vt:lpwstr>
  </property>
</Properties>
</file>