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
      </w:pPr>
    </w:p>
    <w:p>
      <w:pPr>
        <w:sectPr>
          <w:pgSz w:w="11905" w:h="16836"/>
          <w:pgMar w:top="1431" w:right="1785" w:bottom="0" w:left="1714" w:header="0" w:footer="0" w:gutter="0"/>
          <w:cols w:num="1" w:space="708" w:equalWidth="0">
            <w:col w:w="8404" w:space="0"/>
          </w:cols>
        </w:sectPr>
      </w:pPr>
    </w:p>
    <w:p>
      <w:pPr>
        <w:spacing w:before="47" w:line="185" w:lineRule="auto"/>
        <w:rPr>
          <w:rFonts w:ascii="Times New Roman" w:eastAsia="Times New Roman" w:hAnsi="Times New Roman" w:cs="Times New Roman"/>
          <w:sz w:val="24"/>
          <w:szCs w:val="24"/>
        </w:rPr>
      </w:pPr>
      <w:r>
        <w:rPr>
          <w:rFonts w:ascii="SimSun" w:eastAsia="SimSun" w:hAnsi="SimSun" w:cs="SimSun"/>
          <w:spacing w:val="-7"/>
          <w:sz w:val="24"/>
          <w:szCs w:val="24"/>
          <w14:textOutline w14:w="4354">
            <w14:solidFill>
              <w14:srgbClr w14:val="000000"/>
            </w14:solidFill>
            <w14:prstDash w14:val="solid"/>
            <w14:miter w14:lim="10"/>
          </w14:textOutline>
        </w:rPr>
        <w:t>证券代码：</w:t>
      </w:r>
      <w:r>
        <w:rPr>
          <w:rFonts w:ascii="SimSun" w:eastAsia="SimSun" w:hAnsi="SimSun" w:cs="SimSun"/>
          <w:spacing w:val="-16"/>
          <w:sz w:val="24"/>
          <w:szCs w:val="24"/>
        </w:rPr>
        <w:t xml:space="preserve"> </w:t>
      </w:r>
      <w:r>
        <w:rPr>
          <w:rFonts w:ascii="Times New Roman" w:eastAsia="Times New Roman" w:hAnsi="Times New Roman" w:cs="Times New Roman"/>
          <w:b/>
          <w:bCs/>
          <w:spacing w:val="-7"/>
          <w:sz w:val="24"/>
          <w:szCs w:val="24"/>
        </w:rPr>
        <w:t>301220</w:t>
      </w:r>
    </w:p>
    <w:p>
      <w:pPr>
        <w:pStyle w:val="BodyText"/>
        <w:spacing w:line="14" w:lineRule="auto"/>
        <w:rPr>
          <w:sz w:val="2"/>
        </w:rPr>
      </w:pPr>
      <w:r>
        <w:rPr>
          <w:sz w:val="2"/>
          <w:szCs w:val="2"/>
        </w:rPr>
        <w:br w:type="column"/>
      </w:r>
    </w:p>
    <w:p>
      <w:pPr>
        <w:spacing w:before="46" w:line="185" w:lineRule="auto"/>
        <w:rPr>
          <w:rFonts w:ascii="SimSun" w:eastAsia="SimSun" w:hAnsi="SimSun" w:cs="SimSun"/>
          <w:sz w:val="24"/>
          <w:szCs w:val="24"/>
        </w:rPr>
      </w:pPr>
      <w:r>
        <w:rPr>
          <w:rFonts w:ascii="SimSun" w:eastAsia="SimSun" w:hAnsi="SimSun" w:cs="SimSun"/>
          <w:spacing w:val="-8"/>
          <w:sz w:val="24"/>
          <w:szCs w:val="24"/>
          <w14:textOutline w14:w="4354">
            <w14:solidFill>
              <w14:srgbClr w14:val="000000"/>
            </w14:solidFill>
            <w14:prstDash w14:val="solid"/>
            <w14:miter w14:lim="10"/>
          </w14:textOutline>
        </w:rPr>
        <w:t>证券简称：</w:t>
      </w:r>
      <w:r>
        <w:rPr>
          <w:rFonts w:ascii="SimSun" w:eastAsia="SimSun" w:hAnsi="SimSun" w:cs="SimSun"/>
          <w:spacing w:val="-8"/>
          <w:sz w:val="24"/>
          <w:szCs w:val="24"/>
        </w:rPr>
        <w:t xml:space="preserve"> </w:t>
      </w:r>
      <w:r>
        <w:rPr>
          <w:rFonts w:ascii="SimSun" w:eastAsia="SimSun" w:hAnsi="SimSun" w:cs="SimSun"/>
          <w:spacing w:val="-8"/>
          <w:sz w:val="24"/>
          <w:szCs w:val="24"/>
          <w14:textOutline w14:w="4354">
            <w14:solidFill>
              <w14:srgbClr w14:val="000000"/>
            </w14:solidFill>
            <w14:prstDash w14:val="solid"/>
            <w14:miter w14:lim="10"/>
          </w14:textOutline>
        </w:rPr>
        <w:t>亚香股份</w:t>
      </w:r>
    </w:p>
    <w:p>
      <w:pPr>
        <w:spacing w:line="185" w:lineRule="auto"/>
        <w:rPr>
          <w:rFonts w:ascii="SimSun" w:eastAsia="SimSun" w:hAnsi="SimSun" w:cs="SimSun"/>
          <w:sz w:val="24"/>
          <w:szCs w:val="24"/>
        </w:rPr>
        <w:sectPr>
          <w:type w:val="continuous"/>
          <w:pgSz w:w="11905" w:h="16836"/>
          <w:pgMar w:top="1431" w:right="1785" w:bottom="0" w:left="1714" w:header="0" w:footer="0" w:gutter="0"/>
          <w:pgNumType w:start="2"/>
          <w:cols w:num="2" w:space="708" w:equalWidth="0">
            <w:col w:w="5907" w:space="100"/>
            <w:col w:w="2398" w:space="0"/>
          </w:cols>
        </w:sectPr>
      </w:pP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line="2568" w:lineRule="exact"/>
        <w:ind w:firstLine="2353"/>
      </w:pPr>
      <w:r>
        <w:rPr>
          <w:position w:val="-51"/>
        </w:rPr>
        <w:drawing>
          <wp:inline distT="0" distB="0" distL="0" distR="0">
            <wp:extent cx="2354579" cy="16306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354579" cy="1630679"/>
                    </a:xfrm>
                    <a:prstGeom prst="rect">
                      <a:avLst/>
                    </a:prstGeom>
                  </pic:spPr>
                </pic:pic>
              </a:graphicData>
            </a:graphic>
          </wp:inline>
        </w:drawing>
      </w:r>
    </w:p>
    <w:p>
      <w:pPr>
        <w:pStyle w:val="BodyText"/>
        <w:spacing w:line="428" w:lineRule="auto"/>
      </w:pPr>
    </w:p>
    <w:p>
      <w:pPr>
        <w:spacing w:before="156" w:line="220" w:lineRule="auto"/>
        <w:ind w:left="1413"/>
        <w:outlineLvl w:val="0"/>
        <w:rPr>
          <w:rFonts w:ascii="SimSun" w:eastAsia="SimSun" w:hAnsi="SimSun" w:cs="SimSun"/>
          <w:sz w:val="48"/>
          <w:szCs w:val="48"/>
        </w:rPr>
      </w:pPr>
      <w:r>
        <w:rPr>
          <w:rFonts w:ascii="SimSun" w:eastAsia="SimSun" w:hAnsi="SimSun" w:cs="SimSun"/>
          <w:spacing w:val="-2"/>
          <w:sz w:val="48"/>
          <w:szCs w:val="48"/>
          <w14:textOutline w14:w="8717">
            <w14:solidFill>
              <w14:srgbClr w14:val="000000"/>
            </w14:solidFill>
            <w14:prstDash w14:val="solid"/>
            <w14:miter w14:lim="10"/>
          </w14:textOutline>
        </w:rPr>
        <w:t>昆山亚香香料股份有限公司</w:t>
      </w:r>
    </w:p>
    <w:p>
      <w:pPr>
        <w:spacing w:before="151" w:line="469" w:lineRule="exact"/>
        <w:ind w:left="2409"/>
        <w:rPr>
          <w:rFonts w:ascii="Times New Roman" w:eastAsia="Times New Roman" w:hAnsi="Times New Roman" w:cs="Times New Roman"/>
          <w:sz w:val="27"/>
          <w:szCs w:val="27"/>
        </w:rPr>
      </w:pPr>
      <w:r>
        <w:rPr>
          <w:rFonts w:ascii="Times New Roman" w:eastAsia="Times New Roman" w:hAnsi="Times New Roman" w:cs="Times New Roman"/>
          <w:position w:val="18"/>
          <w:sz w:val="27"/>
          <w:szCs w:val="27"/>
        </w:rPr>
        <w:t>Kunshan</w:t>
      </w:r>
      <w:r>
        <w:rPr>
          <w:rFonts w:ascii="Times New Roman" w:eastAsia="Times New Roman" w:hAnsi="Times New Roman" w:cs="Times New Roman"/>
          <w:spacing w:val="-8"/>
          <w:position w:val="18"/>
          <w:sz w:val="27"/>
          <w:szCs w:val="27"/>
        </w:rPr>
        <w:t xml:space="preserve"> </w:t>
      </w:r>
      <w:r>
        <w:rPr>
          <w:rFonts w:ascii="Times New Roman" w:eastAsia="Times New Roman" w:hAnsi="Times New Roman" w:cs="Times New Roman"/>
          <w:position w:val="18"/>
          <w:sz w:val="27"/>
          <w:szCs w:val="27"/>
        </w:rPr>
        <w:t>Asia</w:t>
      </w:r>
      <w:r>
        <w:rPr>
          <w:rFonts w:ascii="Times New Roman" w:eastAsia="Times New Roman" w:hAnsi="Times New Roman" w:cs="Times New Roman"/>
          <w:spacing w:val="15"/>
          <w:position w:val="18"/>
          <w:sz w:val="27"/>
          <w:szCs w:val="27"/>
        </w:rPr>
        <w:t xml:space="preserve"> </w:t>
      </w:r>
      <w:r>
        <w:rPr>
          <w:rFonts w:ascii="Times New Roman" w:eastAsia="Times New Roman" w:hAnsi="Times New Roman" w:cs="Times New Roman"/>
          <w:position w:val="18"/>
          <w:sz w:val="27"/>
          <w:szCs w:val="27"/>
        </w:rPr>
        <w:t>Aroma</w:t>
      </w:r>
      <w:r>
        <w:rPr>
          <w:rFonts w:ascii="Times New Roman" w:eastAsia="Times New Roman" w:hAnsi="Times New Roman" w:cs="Times New Roman"/>
          <w:spacing w:val="15"/>
          <w:position w:val="18"/>
          <w:sz w:val="27"/>
          <w:szCs w:val="27"/>
        </w:rPr>
        <w:t xml:space="preserve"> </w:t>
      </w:r>
      <w:r>
        <w:rPr>
          <w:rFonts w:ascii="Times New Roman" w:eastAsia="Times New Roman" w:hAnsi="Times New Roman" w:cs="Times New Roman"/>
          <w:position w:val="18"/>
          <w:sz w:val="27"/>
          <w:szCs w:val="27"/>
        </w:rPr>
        <w:t>Corp</w:t>
      </w:r>
      <w:r>
        <w:rPr>
          <w:rFonts w:ascii="Times New Roman" w:eastAsia="Times New Roman" w:hAnsi="Times New Roman" w:cs="Times New Roman"/>
          <w:spacing w:val="15"/>
          <w:position w:val="18"/>
          <w:sz w:val="27"/>
          <w:szCs w:val="27"/>
        </w:rPr>
        <w:t>.,</w:t>
      </w:r>
      <w:r>
        <w:rPr>
          <w:rFonts w:ascii="Times New Roman" w:eastAsia="Times New Roman" w:hAnsi="Times New Roman" w:cs="Times New Roman"/>
          <w:spacing w:val="13"/>
          <w:position w:val="18"/>
          <w:sz w:val="27"/>
          <w:szCs w:val="27"/>
        </w:rPr>
        <w:t xml:space="preserve"> </w:t>
      </w:r>
      <w:r>
        <w:rPr>
          <w:rFonts w:ascii="Times New Roman" w:eastAsia="Times New Roman" w:hAnsi="Times New Roman" w:cs="Times New Roman"/>
          <w:position w:val="18"/>
          <w:sz w:val="27"/>
          <w:szCs w:val="27"/>
        </w:rPr>
        <w:t>Ltd</w:t>
      </w:r>
      <w:r>
        <w:rPr>
          <w:rFonts w:ascii="Times New Roman" w:eastAsia="Times New Roman" w:hAnsi="Times New Roman" w:cs="Times New Roman"/>
          <w:spacing w:val="15"/>
          <w:position w:val="18"/>
          <w:sz w:val="27"/>
          <w:szCs w:val="27"/>
        </w:rPr>
        <w:t>.</w:t>
      </w:r>
    </w:p>
    <w:p>
      <w:pPr>
        <w:spacing w:line="219" w:lineRule="auto"/>
        <w:ind w:left="2456"/>
        <w:rPr>
          <w:rFonts w:ascii="SimSun" w:eastAsia="SimSun" w:hAnsi="SimSun" w:cs="SimSun"/>
          <w:sz w:val="24"/>
          <w:szCs w:val="24"/>
        </w:rPr>
      </w:pPr>
      <w:r>
        <w:rPr>
          <w:rFonts w:ascii="SimSun" w:eastAsia="SimSun" w:hAnsi="SimSun" w:cs="SimSun"/>
          <w:spacing w:val="-2"/>
          <w:sz w:val="24"/>
          <w:szCs w:val="24"/>
        </w:rPr>
        <w:t>（昆山市千灯镇汶浦中路</w:t>
      </w:r>
      <w:r>
        <w:rPr>
          <w:rFonts w:ascii="SimSun" w:eastAsia="SimSun" w:hAnsi="SimSun" w:cs="SimSun"/>
          <w:spacing w:val="-57"/>
          <w:sz w:val="24"/>
          <w:szCs w:val="24"/>
        </w:rPr>
        <w:t xml:space="preserve"> </w:t>
      </w:r>
      <w:r>
        <w:rPr>
          <w:rFonts w:ascii="Times New Roman" w:eastAsia="Times New Roman" w:hAnsi="Times New Roman" w:cs="Times New Roman"/>
          <w:spacing w:val="-2"/>
          <w:sz w:val="24"/>
          <w:szCs w:val="24"/>
        </w:rPr>
        <w:t>269</w:t>
      </w:r>
      <w:r>
        <w:rPr>
          <w:rFonts w:ascii="Times New Roman" w:eastAsia="Times New Roman" w:hAnsi="Times New Roman" w:cs="Times New Roman"/>
          <w:spacing w:val="15"/>
          <w:sz w:val="24"/>
          <w:szCs w:val="24"/>
        </w:rPr>
        <w:t xml:space="preserve"> </w:t>
      </w:r>
      <w:r>
        <w:rPr>
          <w:rFonts w:ascii="SimSun" w:eastAsia="SimSun" w:hAnsi="SimSun" w:cs="SimSun"/>
          <w:spacing w:val="-2"/>
          <w:sz w:val="24"/>
          <w:szCs w:val="24"/>
        </w:rPr>
        <w:t>号）</w:t>
      </w:r>
    </w:p>
    <w:p>
      <w:pPr>
        <w:pStyle w:val="BodyText"/>
        <w:spacing w:line="283" w:lineRule="auto"/>
      </w:pPr>
    </w:p>
    <w:p>
      <w:pPr>
        <w:pStyle w:val="BodyText"/>
        <w:spacing w:line="283" w:lineRule="auto"/>
      </w:pPr>
    </w:p>
    <w:p>
      <w:pPr>
        <w:pStyle w:val="BodyText"/>
        <w:spacing w:line="284" w:lineRule="auto"/>
      </w:pPr>
    </w:p>
    <w:p>
      <w:pPr>
        <w:pStyle w:val="BodyText"/>
        <w:spacing w:line="284" w:lineRule="auto"/>
      </w:pPr>
    </w:p>
    <w:p>
      <w:pPr>
        <w:spacing w:before="157" w:line="660" w:lineRule="exact"/>
        <w:ind w:left="448"/>
        <w:rPr>
          <w:rFonts w:ascii="SimSun" w:eastAsia="SimSun" w:hAnsi="SimSun" w:cs="SimSun"/>
          <w:sz w:val="48"/>
          <w:szCs w:val="48"/>
        </w:rPr>
      </w:pPr>
      <w:r>
        <w:rPr>
          <w:rFonts w:ascii="SimSun" w:eastAsia="SimSun" w:hAnsi="SimSun" w:cs="SimSun"/>
          <w:spacing w:val="-1"/>
          <w:position w:val="12"/>
          <w:sz w:val="48"/>
          <w:szCs w:val="48"/>
          <w14:textOutline w14:w="8717">
            <w14:solidFill>
              <w14:srgbClr w14:val="000000"/>
            </w14:solidFill>
            <w14:prstDash w14:val="solid"/>
            <w14:miter w14:lim="10"/>
          </w14:textOutline>
        </w:rPr>
        <w:t>以简易程序向特定对象发行股票方案</w:t>
      </w:r>
    </w:p>
    <w:p>
      <w:pPr>
        <w:spacing w:before="1" w:line="218" w:lineRule="auto"/>
        <w:ind w:left="2800"/>
        <w:rPr>
          <w:rFonts w:ascii="SimSun" w:eastAsia="SimSun" w:hAnsi="SimSun" w:cs="SimSun"/>
          <w:sz w:val="48"/>
          <w:szCs w:val="48"/>
        </w:rPr>
      </w:pPr>
      <w:r>
        <w:rPr>
          <w:rFonts w:ascii="SimSun" w:eastAsia="SimSun" w:hAnsi="SimSun" w:cs="SimSun"/>
          <w:spacing w:val="4"/>
          <w:sz w:val="48"/>
          <w:szCs w:val="48"/>
          <w14:textOutline w14:w="8717">
            <w14:solidFill>
              <w14:srgbClr w14:val="000000"/>
            </w14:solidFill>
            <w14:prstDash w14:val="solid"/>
            <w14:miter w14:lim="10"/>
          </w14:textOutline>
        </w:rPr>
        <w:t>论证分析报告</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sectPr>
          <w:type w:val="continuous"/>
          <w:pgSz w:w="11905" w:h="16836"/>
          <w:pgMar w:top="1431" w:right="1785" w:bottom="0" w:left="1714" w:header="0" w:footer="0" w:gutter="0"/>
          <w:pgNumType w:start="3"/>
          <w:cols w:num="1" w:space="708" w:equalWidth="0">
            <w:col w:w="8404" w:space="0"/>
          </w:cols>
        </w:sectPr>
      </w:pPr>
    </w:p>
    <w:p>
      <w:pPr>
        <w:pStyle w:val="BodyText"/>
        <w:spacing w:line="255" w:lineRule="auto"/>
      </w:pPr>
    </w:p>
    <w:p>
      <w:pPr>
        <w:pStyle w:val="BodyText"/>
        <w:spacing w:line="255" w:lineRule="auto"/>
      </w:pPr>
    </w:p>
    <w:p>
      <w:pPr>
        <w:pStyle w:val="BodyText"/>
        <w:spacing w:line="255" w:lineRule="auto"/>
      </w:pPr>
    </w:p>
    <w:p>
      <w:pPr>
        <w:spacing w:before="105" w:line="187" w:lineRule="auto"/>
        <w:ind w:left="3119"/>
        <w:rPr>
          <w:rFonts w:ascii="SimSun" w:eastAsia="SimSun" w:hAnsi="SimSun" w:cs="SimSun"/>
          <w:sz w:val="32"/>
          <w:szCs w:val="32"/>
        </w:rPr>
      </w:pPr>
      <w:r>
        <w:rPr>
          <w:rFonts w:ascii="SimSun" w:eastAsia="SimSun" w:hAnsi="SimSun" w:cs="SimSun"/>
          <w:spacing w:val="5"/>
          <w:sz w:val="32"/>
          <w:szCs w:val="32"/>
          <w14:textOutline w14:w="5887">
            <w14:solidFill>
              <w14:srgbClr w14:val="000000"/>
            </w14:solidFill>
            <w14:prstDash w14:val="solid"/>
            <w14:miter w14:lim="10"/>
          </w14:textOutline>
        </w:rPr>
        <w:t>二〇二四年二月</w:t>
      </w:r>
    </w:p>
    <w:p>
      <w:pPr>
        <w:spacing w:line="187" w:lineRule="auto"/>
        <w:rPr>
          <w:rFonts w:ascii="SimSun" w:eastAsia="SimSun" w:hAnsi="SimSun" w:cs="SimSun"/>
          <w:sz w:val="32"/>
          <w:szCs w:val="32"/>
        </w:rPr>
        <w:sectPr>
          <w:type w:val="nextPage"/>
          <w:pgSz w:w="11905" w:h="16836"/>
          <w:pgMar w:top="1431" w:right="1785" w:bottom="0" w:left="1714" w:header="0" w:footer="0" w:gutter="0"/>
          <w:pgNumType w:start="4"/>
          <w:cols w:num="1" w:space="708" w:equalWidth="0">
            <w:col w:w="8404" w:space="0"/>
          </w:cols>
          <w:titlePg w:val="0"/>
        </w:sectPr>
      </w:pPr>
    </w:p>
    <w:p>
      <w:pPr>
        <w:spacing w:before="189" w:line="360" w:lineRule="auto"/>
        <w:ind w:left="24" w:right="200" w:firstLine="510"/>
        <w:jc w:val="both"/>
        <w:rPr>
          <w:rFonts w:ascii="SimSun" w:eastAsia="SimSun" w:hAnsi="SimSun" w:cs="SimSun"/>
          <w:sz w:val="24"/>
          <w:szCs w:val="24"/>
        </w:rPr>
      </w:pPr>
      <w:r>
        <w:rPr>
          <w:rFonts w:ascii="SimSun" w:eastAsia="SimSun" w:hAnsi="SimSun" w:cs="SimSun"/>
          <w:spacing w:val="-13"/>
          <w:sz w:val="24"/>
          <w:szCs w:val="24"/>
        </w:rPr>
        <w:t>昆山亚香香料股份有限公司（以下简称“亚香股份</w:t>
      </w:r>
      <w:r>
        <w:rPr>
          <w:rFonts w:ascii="SimSun" w:eastAsia="SimSun" w:hAnsi="SimSun" w:cs="SimSun"/>
          <w:spacing w:val="-89"/>
          <w:sz w:val="24"/>
          <w:szCs w:val="24"/>
        </w:rPr>
        <w:t xml:space="preserve"> </w:t>
      </w:r>
      <w:r>
        <w:rPr>
          <w:rFonts w:ascii="SimSun" w:eastAsia="SimSun" w:hAnsi="SimSun" w:cs="SimSun"/>
          <w:spacing w:val="-13"/>
          <w:sz w:val="24"/>
          <w:szCs w:val="24"/>
        </w:rPr>
        <w:t>”、“公司</w:t>
      </w:r>
      <w:r>
        <w:rPr>
          <w:rFonts w:ascii="SimSun" w:eastAsia="SimSun" w:hAnsi="SimSun" w:cs="SimSun"/>
          <w:spacing w:val="-89"/>
          <w:sz w:val="24"/>
          <w:szCs w:val="24"/>
        </w:rPr>
        <w:t xml:space="preserve"> </w:t>
      </w:r>
      <w:r>
        <w:rPr>
          <w:rFonts w:ascii="SimSun" w:eastAsia="SimSun" w:hAnsi="SimSun" w:cs="SimSun"/>
          <w:spacing w:val="-13"/>
          <w:sz w:val="24"/>
          <w:szCs w:val="24"/>
        </w:rPr>
        <w:t>”）为满足公司</w:t>
      </w:r>
      <w:r>
        <w:rPr>
          <w:rFonts w:ascii="SimSun" w:eastAsia="SimSun" w:hAnsi="SimSun" w:cs="SimSun"/>
          <w:sz w:val="24"/>
          <w:szCs w:val="24"/>
        </w:rPr>
        <w:t xml:space="preserve"> </w:t>
      </w:r>
      <w:r>
        <w:rPr>
          <w:rFonts w:ascii="SimSun" w:eastAsia="SimSun" w:hAnsi="SimSun" w:cs="SimSun"/>
          <w:spacing w:val="-3"/>
          <w:sz w:val="24"/>
          <w:szCs w:val="24"/>
        </w:rPr>
        <w:t>业务发展的资金需求，增强公司资本实力，提升盈利能力，根据《公司法》《证</w:t>
      </w:r>
      <w:r>
        <w:rPr>
          <w:rFonts w:ascii="SimSun" w:eastAsia="SimSun" w:hAnsi="SimSun" w:cs="SimSun"/>
          <w:spacing w:val="3"/>
          <w:sz w:val="24"/>
          <w:szCs w:val="24"/>
        </w:rPr>
        <w:t xml:space="preserve"> </w:t>
      </w:r>
      <w:r>
        <w:rPr>
          <w:rFonts w:ascii="SimSun" w:eastAsia="SimSun" w:hAnsi="SimSun" w:cs="SimSun"/>
          <w:spacing w:val="-3"/>
          <w:sz w:val="24"/>
          <w:szCs w:val="24"/>
        </w:rPr>
        <w:t>券法》《公司章程》和中国证监会颁布的《上市公司证券发行注册管理办法》等</w:t>
      </w:r>
      <w:r>
        <w:rPr>
          <w:rFonts w:ascii="SimSun" w:eastAsia="SimSun" w:hAnsi="SimSun" w:cs="SimSun"/>
          <w:sz w:val="24"/>
          <w:szCs w:val="24"/>
        </w:rPr>
        <w:t xml:space="preserve"> </w:t>
      </w:r>
      <w:r>
        <w:rPr>
          <w:rFonts w:ascii="SimSun" w:eastAsia="SimSun" w:hAnsi="SimSun" w:cs="SimSun"/>
          <w:spacing w:val="-7"/>
          <w:sz w:val="24"/>
          <w:szCs w:val="24"/>
        </w:rPr>
        <w:t>有关法律、法规和规范性文件的规定，公司拟募集资金不超过</w:t>
      </w:r>
      <w:r>
        <w:rPr>
          <w:rFonts w:ascii="SimSun" w:eastAsia="SimSun" w:hAnsi="SimSun" w:cs="SimSun"/>
          <w:spacing w:val="-25"/>
          <w:sz w:val="24"/>
          <w:szCs w:val="24"/>
        </w:rPr>
        <w:t xml:space="preserve"> </w:t>
      </w:r>
      <w:r>
        <w:rPr>
          <w:rFonts w:ascii="Times New Roman" w:eastAsia="Times New Roman" w:hAnsi="Times New Roman" w:cs="Times New Roman"/>
          <w:spacing w:val="-7"/>
          <w:sz w:val="24"/>
          <w:szCs w:val="24"/>
        </w:rPr>
        <w:t>18,000.00</w:t>
      </w:r>
      <w:r>
        <w:rPr>
          <w:rFonts w:ascii="Times New Roman" w:eastAsia="Times New Roman" w:hAnsi="Times New Roman" w:cs="Times New Roman"/>
          <w:spacing w:val="15"/>
          <w:w w:val="101"/>
          <w:sz w:val="24"/>
          <w:szCs w:val="24"/>
        </w:rPr>
        <w:t xml:space="preserve"> </w:t>
      </w:r>
      <w:r>
        <w:rPr>
          <w:rFonts w:ascii="SimSun" w:eastAsia="SimSun" w:hAnsi="SimSun" w:cs="SimSun"/>
          <w:spacing w:val="-7"/>
          <w:sz w:val="24"/>
          <w:szCs w:val="24"/>
        </w:rPr>
        <w:t>万元（含</w:t>
      </w:r>
    </w:p>
    <w:p>
      <w:pPr>
        <w:spacing w:before="1" w:line="218" w:lineRule="auto"/>
        <w:ind w:left="26"/>
        <w:rPr>
          <w:rFonts w:ascii="SimSun" w:eastAsia="SimSun" w:hAnsi="SimSun" w:cs="SimSun"/>
          <w:sz w:val="24"/>
          <w:szCs w:val="24"/>
        </w:rPr>
      </w:pPr>
      <w:r>
        <w:rPr>
          <w:rFonts w:ascii="SimSun" w:eastAsia="SimSun" w:hAnsi="SimSun" w:cs="SimSun"/>
          <w:sz w:val="24"/>
          <w:szCs w:val="24"/>
        </w:rPr>
        <w:t>本数</w:t>
      </w:r>
      <w:r>
        <w:rPr>
          <w:rFonts w:ascii="SimSun" w:eastAsia="SimSun" w:hAnsi="SimSun" w:cs="SimSun"/>
          <w:spacing w:val="-63"/>
          <w:sz w:val="24"/>
          <w:szCs w:val="24"/>
        </w:rPr>
        <w:t>），</w:t>
      </w:r>
      <w:r>
        <w:rPr>
          <w:rFonts w:ascii="SimSun" w:eastAsia="SimSun" w:hAnsi="SimSun" w:cs="SimSun"/>
          <w:sz w:val="24"/>
          <w:szCs w:val="24"/>
        </w:rPr>
        <w:t>扣除发行费用后的募集资金将用于以下项目：</w:t>
      </w:r>
    </w:p>
    <w:p>
      <w:pPr>
        <w:spacing w:line="126" w:lineRule="exact"/>
      </w:pPr>
    </w:p>
    <w:tbl>
      <w:tblPr>
        <w:tblStyle w:val="TableNormal0"/>
        <w:tblW w:w="7964"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79"/>
        <w:gridCol w:w="2871"/>
        <w:gridCol w:w="2414"/>
        <w:gridCol w:w="2000"/>
      </w:tblGrid>
      <w:tr>
        <w:tblPrEx>
          <w:tblW w:w="7964"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0"/>
        </w:trPr>
        <w:tc>
          <w:tcPr>
            <w:tcW w:w="679" w:type="dxa"/>
            <w:tcBorders>
              <w:top w:val="single" w:sz="8" w:space="0" w:color="000000"/>
              <w:left w:val="nil"/>
            </w:tcBorders>
            <w:vAlign w:val="top"/>
          </w:tcPr>
          <w:p>
            <w:pPr>
              <w:spacing w:before="214" w:line="226" w:lineRule="auto"/>
              <w:ind w:left="127"/>
              <w:rPr>
                <w:rFonts w:ascii="SimSun" w:eastAsia="SimSun" w:hAnsi="SimSun" w:cs="SimSun"/>
                <w:sz w:val="21"/>
                <w:szCs w:val="21"/>
              </w:rPr>
            </w:pPr>
            <w:r>
              <w:rPr>
                <w:rFonts w:ascii="SimSun" w:eastAsia="SimSun" w:hAnsi="SimSun" w:cs="SimSun"/>
                <w:spacing w:val="8"/>
                <w:sz w:val="21"/>
                <w:szCs w:val="21"/>
                <w14:textOutline w14:w="3918">
                  <w14:solidFill>
                    <w14:srgbClr w14:val="000000"/>
                  </w14:solidFill>
                  <w14:prstDash w14:val="solid"/>
                  <w14:miter w14:lim="10"/>
                </w14:textOutline>
              </w:rPr>
              <w:t>序号</w:t>
            </w:r>
          </w:p>
        </w:tc>
        <w:tc>
          <w:tcPr>
            <w:tcW w:w="2871" w:type="dxa"/>
            <w:tcBorders>
              <w:top w:val="single" w:sz="8" w:space="0" w:color="000000"/>
            </w:tcBorders>
            <w:vAlign w:val="top"/>
          </w:tcPr>
          <w:p>
            <w:pPr>
              <w:spacing w:before="213" w:line="226" w:lineRule="auto"/>
              <w:ind w:left="1009"/>
              <w:rPr>
                <w:rFonts w:ascii="SimSun" w:eastAsia="SimSun" w:hAnsi="SimSun" w:cs="SimSun"/>
                <w:sz w:val="21"/>
                <w:szCs w:val="21"/>
              </w:rPr>
            </w:pPr>
            <w:r>
              <w:rPr>
                <w:rFonts w:ascii="SimSun" w:eastAsia="SimSun" w:hAnsi="SimSun" w:cs="SimSun"/>
                <w:spacing w:val="8"/>
                <w:sz w:val="21"/>
                <w:szCs w:val="21"/>
                <w14:textOutline w14:w="3918">
                  <w14:solidFill>
                    <w14:srgbClr w14:val="000000"/>
                  </w14:solidFill>
                  <w14:prstDash w14:val="solid"/>
                  <w14:miter w14:lim="10"/>
                </w14:textOutline>
              </w:rPr>
              <w:t>项目名称</w:t>
            </w:r>
          </w:p>
        </w:tc>
        <w:tc>
          <w:tcPr>
            <w:tcW w:w="2414" w:type="dxa"/>
            <w:tcBorders>
              <w:top w:val="single" w:sz="8" w:space="0" w:color="000000"/>
            </w:tcBorders>
            <w:vAlign w:val="top"/>
          </w:tcPr>
          <w:p>
            <w:pPr>
              <w:spacing w:before="58" w:line="312" w:lineRule="exact"/>
              <w:ind w:left="780"/>
              <w:rPr>
                <w:rFonts w:ascii="SimSun" w:eastAsia="SimSun" w:hAnsi="SimSun" w:cs="SimSun"/>
                <w:sz w:val="21"/>
                <w:szCs w:val="21"/>
              </w:rPr>
            </w:pPr>
            <w:r>
              <w:rPr>
                <w:rFonts w:ascii="SimSun" w:eastAsia="SimSun" w:hAnsi="SimSun" w:cs="SimSun"/>
                <w:spacing w:val="9"/>
                <w:position w:val="7"/>
                <w:sz w:val="21"/>
                <w:szCs w:val="21"/>
                <w14:textOutline w14:w="3918">
                  <w14:solidFill>
                    <w14:srgbClr w14:val="000000"/>
                  </w14:solidFill>
                  <w14:prstDash w14:val="solid"/>
                  <w14:miter w14:lim="10"/>
                </w14:textOutline>
              </w:rPr>
              <w:t>投资总额</w:t>
            </w:r>
          </w:p>
          <w:p>
            <w:pPr>
              <w:spacing w:line="225" w:lineRule="auto"/>
              <w:ind w:left="786"/>
              <w:rPr>
                <w:rFonts w:ascii="SimSun" w:eastAsia="SimSun" w:hAnsi="SimSun" w:cs="SimSun"/>
                <w:sz w:val="21"/>
                <w:szCs w:val="21"/>
              </w:rPr>
            </w:pPr>
            <w:r>
              <w:rPr>
                <w:rFonts w:ascii="SimSun" w:eastAsia="SimSun" w:hAnsi="SimSun" w:cs="SimSun"/>
                <w:spacing w:val="3"/>
                <w:sz w:val="21"/>
                <w:szCs w:val="21"/>
                <w14:textOutline w14:w="3918">
                  <w14:solidFill>
                    <w14:srgbClr w14:val="000000"/>
                  </w14:solidFill>
                  <w14:prstDash w14:val="solid"/>
                  <w14:miter w14:lim="10"/>
                </w14:textOutline>
              </w:rPr>
              <w:t>（万元）</w:t>
            </w:r>
          </w:p>
        </w:tc>
        <w:tc>
          <w:tcPr>
            <w:tcW w:w="2000" w:type="dxa"/>
            <w:tcBorders>
              <w:top w:val="single" w:sz="8" w:space="0" w:color="000000"/>
              <w:right w:val="nil"/>
            </w:tcBorders>
            <w:vAlign w:val="top"/>
          </w:tcPr>
          <w:p>
            <w:pPr>
              <w:spacing w:before="57" w:line="250" w:lineRule="auto"/>
              <w:ind w:left="453" w:right="134" w:hanging="312"/>
              <w:rPr>
                <w:rFonts w:ascii="SimSun" w:eastAsia="SimSun" w:hAnsi="SimSun" w:cs="SimSun"/>
                <w:sz w:val="21"/>
                <w:szCs w:val="21"/>
              </w:rPr>
            </w:pPr>
            <w:r>
              <w:rPr>
                <w:rFonts w:ascii="SimSun" w:eastAsia="SimSun" w:hAnsi="SimSun" w:cs="SimSun"/>
                <w:spacing w:val="4"/>
                <w:sz w:val="21"/>
                <w:szCs w:val="21"/>
                <w14:textOutline w14:w="3918">
                  <w14:solidFill>
                    <w14:srgbClr w14:val="000000"/>
                  </w14:solidFill>
                  <w14:prstDash w14:val="solid"/>
                  <w14:miter w14:lim="10"/>
                </w14:textOutline>
              </w:rPr>
              <w:t>拟使用募集资金金</w:t>
            </w:r>
            <w:r>
              <w:rPr>
                <w:rFonts w:ascii="SimSun" w:eastAsia="SimSun" w:hAnsi="SimSun" w:cs="SimSun"/>
                <w:spacing w:val="6"/>
                <w:sz w:val="21"/>
                <w:szCs w:val="21"/>
              </w:rPr>
              <w:t xml:space="preserve"> </w:t>
            </w:r>
            <w:r>
              <w:rPr>
                <w:rFonts w:ascii="SimSun" w:eastAsia="SimSun" w:hAnsi="SimSun" w:cs="SimSun"/>
                <w:spacing w:val="7"/>
                <w:sz w:val="21"/>
                <w:szCs w:val="21"/>
                <w14:textOutline w14:w="3918">
                  <w14:solidFill>
                    <w14:srgbClr w14:val="000000"/>
                  </w14:solidFill>
                  <w14:prstDash w14:val="solid"/>
                  <w14:miter w14:lim="10"/>
                </w14:textOutline>
              </w:rPr>
              <w:t>额（万元）</w:t>
            </w:r>
          </w:p>
        </w:tc>
      </w:tr>
      <w:tr>
        <w:tblPrEx>
          <w:tblW w:w="7964" w:type="dxa"/>
          <w:tblInd w:w="184" w:type="dxa"/>
          <w:tblLayout w:type="fixed"/>
        </w:tblPrEx>
        <w:trPr>
          <w:trHeight w:val="621"/>
        </w:trPr>
        <w:tc>
          <w:tcPr>
            <w:tcW w:w="679" w:type="dxa"/>
            <w:tcBorders>
              <w:left w:val="nil"/>
            </w:tcBorders>
            <w:vAlign w:val="top"/>
          </w:tcPr>
          <w:p>
            <w:pPr>
              <w:spacing w:before="238" w:line="192" w:lineRule="auto"/>
              <w:ind w:left="313"/>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871" w:type="dxa"/>
            <w:vAlign w:val="top"/>
          </w:tcPr>
          <w:p>
            <w:pPr>
              <w:spacing w:before="44" w:line="249" w:lineRule="auto"/>
              <w:ind w:left="117" w:right="87"/>
              <w:rPr>
                <w:rFonts w:ascii="SimSun" w:eastAsia="SimSun" w:hAnsi="SimSun" w:cs="SimSun"/>
                <w:sz w:val="21"/>
                <w:szCs w:val="21"/>
              </w:rPr>
            </w:pPr>
            <w:r>
              <w:rPr>
                <w:rFonts w:ascii="SimSun" w:eastAsia="SimSun" w:hAnsi="SimSun" w:cs="SimSun"/>
                <w:spacing w:val="-7"/>
                <w:sz w:val="21"/>
                <w:szCs w:val="21"/>
              </w:rPr>
              <w:t>年产</w:t>
            </w:r>
            <w:r>
              <w:rPr>
                <w:rFonts w:ascii="SimSun" w:eastAsia="SimSun" w:hAnsi="SimSun" w:cs="SimSun"/>
                <w:spacing w:val="-45"/>
                <w:sz w:val="21"/>
                <w:szCs w:val="21"/>
              </w:rPr>
              <w:t xml:space="preserve"> </w:t>
            </w:r>
            <w:r>
              <w:rPr>
                <w:rFonts w:ascii="Times New Roman" w:eastAsia="Times New Roman" w:hAnsi="Times New Roman" w:cs="Times New Roman"/>
                <w:spacing w:val="-7"/>
                <w:sz w:val="21"/>
                <w:szCs w:val="21"/>
              </w:rPr>
              <w:t>432</w:t>
            </w:r>
            <w:r>
              <w:rPr>
                <w:rFonts w:ascii="Times New Roman" w:eastAsia="Times New Roman" w:hAnsi="Times New Roman" w:cs="Times New Roman"/>
                <w:spacing w:val="14"/>
                <w:w w:val="101"/>
                <w:sz w:val="21"/>
                <w:szCs w:val="21"/>
              </w:rPr>
              <w:t xml:space="preserve"> </w:t>
            </w:r>
            <w:r>
              <w:rPr>
                <w:rFonts w:ascii="SimSun" w:eastAsia="SimSun" w:hAnsi="SimSun" w:cs="SimSun"/>
                <w:spacing w:val="-7"/>
                <w:sz w:val="21"/>
                <w:szCs w:val="21"/>
              </w:rPr>
              <w:t>吨香精、香料、食品</w:t>
            </w:r>
            <w:r>
              <w:rPr>
                <w:rFonts w:ascii="SimSun" w:eastAsia="SimSun" w:hAnsi="SimSun" w:cs="SimSun"/>
                <w:sz w:val="21"/>
                <w:szCs w:val="21"/>
              </w:rPr>
              <w:t xml:space="preserve"> </w:t>
            </w:r>
            <w:r>
              <w:rPr>
                <w:rFonts w:ascii="SimSun" w:eastAsia="SimSun" w:hAnsi="SimSun" w:cs="SimSun"/>
                <w:spacing w:val="3"/>
                <w:sz w:val="21"/>
                <w:szCs w:val="21"/>
              </w:rPr>
              <w:t>添加剂系列产品项目</w:t>
            </w:r>
          </w:p>
        </w:tc>
        <w:tc>
          <w:tcPr>
            <w:tcW w:w="2414" w:type="dxa"/>
            <w:vAlign w:val="top"/>
          </w:tcPr>
          <w:p>
            <w:pPr>
              <w:spacing w:before="236" w:line="206" w:lineRule="auto"/>
              <w:ind w:left="14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23,309.13</w:t>
            </w:r>
          </w:p>
        </w:tc>
        <w:tc>
          <w:tcPr>
            <w:tcW w:w="2000" w:type="dxa"/>
            <w:tcBorders>
              <w:right w:val="nil"/>
            </w:tcBorders>
            <w:vAlign w:val="top"/>
          </w:tcPr>
          <w:p>
            <w:pPr>
              <w:spacing w:before="236" w:line="206" w:lineRule="auto"/>
              <w:ind w:left="10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13,000.00</w:t>
            </w:r>
          </w:p>
        </w:tc>
      </w:tr>
      <w:tr>
        <w:tblPrEx>
          <w:tblW w:w="7964" w:type="dxa"/>
          <w:tblInd w:w="184" w:type="dxa"/>
          <w:tblLayout w:type="fixed"/>
        </w:tblPrEx>
        <w:trPr>
          <w:trHeight w:val="442"/>
        </w:trPr>
        <w:tc>
          <w:tcPr>
            <w:tcW w:w="679" w:type="dxa"/>
            <w:tcBorders>
              <w:left w:val="nil"/>
            </w:tcBorders>
            <w:vAlign w:val="top"/>
          </w:tcPr>
          <w:p>
            <w:pPr>
              <w:spacing w:before="148" w:line="192" w:lineRule="auto"/>
              <w:ind w:left="29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871" w:type="dxa"/>
            <w:vAlign w:val="top"/>
          </w:tcPr>
          <w:p>
            <w:pPr>
              <w:spacing w:before="109" w:line="226" w:lineRule="auto"/>
              <w:ind w:left="117"/>
              <w:rPr>
                <w:rFonts w:ascii="SimSun" w:eastAsia="SimSun" w:hAnsi="SimSun" w:cs="SimSun"/>
                <w:sz w:val="21"/>
                <w:szCs w:val="21"/>
              </w:rPr>
            </w:pPr>
            <w:r>
              <w:rPr>
                <w:rFonts w:ascii="SimSun" w:eastAsia="SimSun" w:hAnsi="SimSun" w:cs="SimSun"/>
                <w:spacing w:val="4"/>
                <w:sz w:val="21"/>
                <w:szCs w:val="21"/>
              </w:rPr>
              <w:t>补充流动资金</w:t>
            </w:r>
          </w:p>
        </w:tc>
        <w:tc>
          <w:tcPr>
            <w:tcW w:w="2414" w:type="dxa"/>
            <w:vAlign w:val="top"/>
          </w:tcPr>
          <w:p>
            <w:pPr>
              <w:spacing w:before="148" w:line="193" w:lineRule="auto"/>
              <w:ind w:left="15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5,000.00</w:t>
            </w:r>
          </w:p>
        </w:tc>
        <w:tc>
          <w:tcPr>
            <w:tcW w:w="2000" w:type="dxa"/>
            <w:tcBorders>
              <w:right w:val="nil"/>
            </w:tcBorders>
            <w:vAlign w:val="top"/>
          </w:tcPr>
          <w:p>
            <w:pPr>
              <w:spacing w:before="148" w:line="193" w:lineRule="auto"/>
              <w:ind w:left="112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5,000.00</w:t>
            </w:r>
          </w:p>
        </w:tc>
      </w:tr>
      <w:tr>
        <w:tblPrEx>
          <w:tblW w:w="7964" w:type="dxa"/>
          <w:tblInd w:w="184" w:type="dxa"/>
          <w:tblLayout w:type="fixed"/>
        </w:tblPrEx>
        <w:trPr>
          <w:trHeight w:val="472"/>
        </w:trPr>
        <w:tc>
          <w:tcPr>
            <w:tcW w:w="3550" w:type="dxa"/>
            <w:gridSpan w:val="2"/>
            <w:tcBorders>
              <w:left w:val="nil"/>
              <w:bottom w:val="single" w:sz="8" w:space="0" w:color="000000"/>
            </w:tcBorders>
            <w:vAlign w:val="top"/>
          </w:tcPr>
          <w:p>
            <w:pPr>
              <w:spacing w:before="127" w:line="226" w:lineRule="auto"/>
              <w:ind w:left="1558"/>
              <w:rPr>
                <w:rFonts w:ascii="SimSun" w:eastAsia="SimSun" w:hAnsi="SimSun" w:cs="SimSun"/>
                <w:sz w:val="21"/>
                <w:szCs w:val="21"/>
              </w:rPr>
            </w:pPr>
            <w:r>
              <w:rPr>
                <w:rFonts w:ascii="SimSun" w:eastAsia="SimSun" w:hAnsi="SimSun" w:cs="SimSun"/>
                <w:spacing w:val="7"/>
                <w:sz w:val="21"/>
                <w:szCs w:val="21"/>
                <w14:textOutline w14:w="3918">
                  <w14:solidFill>
                    <w14:srgbClr w14:val="000000"/>
                  </w14:solidFill>
                  <w14:prstDash w14:val="solid"/>
                  <w14:miter w14:lim="10"/>
                </w14:textOutline>
              </w:rPr>
              <w:t>合计</w:t>
            </w:r>
          </w:p>
        </w:tc>
        <w:tc>
          <w:tcPr>
            <w:tcW w:w="2414" w:type="dxa"/>
            <w:tcBorders>
              <w:bottom w:val="single" w:sz="8" w:space="0" w:color="000000"/>
            </w:tcBorders>
            <w:vAlign w:val="top"/>
          </w:tcPr>
          <w:p>
            <w:pPr>
              <w:spacing w:before="164" w:line="202" w:lineRule="auto"/>
              <w:ind w:left="1435"/>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28,309.13</w:t>
            </w:r>
          </w:p>
        </w:tc>
        <w:tc>
          <w:tcPr>
            <w:tcW w:w="2000" w:type="dxa"/>
            <w:tcBorders>
              <w:bottom w:val="single" w:sz="8" w:space="0" w:color="000000"/>
              <w:right w:val="nil"/>
            </w:tcBorders>
            <w:vAlign w:val="top"/>
          </w:tcPr>
          <w:p>
            <w:pPr>
              <w:spacing w:before="164" w:line="202" w:lineRule="auto"/>
              <w:ind w:left="1024"/>
              <w:rPr>
                <w:rFonts w:ascii="Times New Roman" w:eastAsia="Times New Roman" w:hAnsi="Times New Roman" w:cs="Times New Roman"/>
                <w:sz w:val="21"/>
                <w:szCs w:val="21"/>
              </w:rPr>
            </w:pPr>
            <w:r>
              <w:rPr>
                <w:rFonts w:ascii="Times New Roman" w:eastAsia="Times New Roman" w:hAnsi="Times New Roman" w:cs="Times New Roman"/>
                <w:b/>
                <w:bCs/>
                <w:spacing w:val="2"/>
                <w:sz w:val="21"/>
                <w:szCs w:val="21"/>
              </w:rPr>
              <w:t>18,000.00</w:t>
            </w:r>
          </w:p>
        </w:tc>
      </w:tr>
    </w:tbl>
    <w:p>
      <w:pPr>
        <w:spacing w:before="105" w:line="469" w:lineRule="exact"/>
        <w:ind w:left="507"/>
        <w:rPr>
          <w:rFonts w:ascii="SimSun" w:eastAsia="SimSun" w:hAnsi="SimSun" w:cs="SimSun"/>
          <w:sz w:val="24"/>
          <w:szCs w:val="24"/>
        </w:rPr>
      </w:pPr>
      <w:r>
        <w:rPr>
          <w:rFonts w:ascii="SimSun" w:eastAsia="SimSun" w:hAnsi="SimSun" w:cs="SimSun"/>
          <w:spacing w:val="-7"/>
          <w:position w:val="17"/>
          <w:sz w:val="24"/>
          <w:szCs w:val="24"/>
        </w:rPr>
        <w:t>本报告中如无特别说明， 相关用语、简称与《昆山亚香香料股份有限公司以</w:t>
      </w:r>
    </w:p>
    <w:p>
      <w:pPr>
        <w:spacing w:before="1" w:line="218" w:lineRule="auto"/>
        <w:ind w:left="30"/>
        <w:rPr>
          <w:rFonts w:ascii="SimSun" w:eastAsia="SimSun" w:hAnsi="SimSun" w:cs="SimSun"/>
          <w:sz w:val="24"/>
          <w:szCs w:val="24"/>
        </w:rPr>
      </w:pPr>
      <w:r>
        <w:rPr>
          <w:rFonts w:ascii="SimSun" w:eastAsia="SimSun" w:hAnsi="SimSun" w:cs="SimSun"/>
          <w:spacing w:val="-1"/>
          <w:sz w:val="24"/>
          <w:szCs w:val="24"/>
        </w:rPr>
        <w:t>简易程序向特定对象发行股票预案》具有相同的含义。</w:t>
      </w:r>
    </w:p>
    <w:p>
      <w:pPr>
        <w:spacing w:before="321" w:line="222" w:lineRule="auto"/>
        <w:ind w:left="596"/>
        <w:outlineLvl w:val="0"/>
        <w:rPr>
          <w:rFonts w:ascii="SimHei" w:eastAsia="SimHei" w:hAnsi="SimHei" w:cs="SimHei"/>
          <w:sz w:val="27"/>
          <w:szCs w:val="27"/>
        </w:rPr>
      </w:pPr>
      <w:r>
        <w:rPr>
          <w:rFonts w:ascii="SimHei" w:eastAsia="SimHei" w:hAnsi="SimHei" w:cs="SimHei"/>
          <w:spacing w:val="11"/>
          <w:sz w:val="27"/>
          <w:szCs w:val="27"/>
          <w14:textOutline w14:w="5007">
            <w14:solidFill>
              <w14:srgbClr w14:val="000000"/>
            </w14:solidFill>
            <w14:prstDash w14:val="solid"/>
            <w14:miter w14:lim="10"/>
          </w14:textOutline>
        </w:rPr>
        <w:t>一、本次发行的背景和目的</w:t>
      </w:r>
    </w:p>
    <w:p>
      <w:pPr>
        <w:pStyle w:val="BodyText"/>
        <w:spacing w:line="310" w:lineRule="auto"/>
      </w:pPr>
    </w:p>
    <w:p>
      <w:pPr>
        <w:spacing w:before="78"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（一）本次发行的背景</w:t>
      </w:r>
    </w:p>
    <w:p>
      <w:pPr>
        <w:pStyle w:val="BodyText"/>
        <w:spacing w:line="261" w:lineRule="auto"/>
      </w:pPr>
    </w:p>
    <w:p>
      <w:pPr>
        <w:spacing w:before="78" w:line="219" w:lineRule="auto"/>
        <w:ind w:left="512"/>
        <w:rPr>
          <w:rFonts w:ascii="SimSun" w:eastAsia="SimSun" w:hAnsi="SimSun" w:cs="SimSun"/>
          <w:sz w:val="24"/>
          <w:szCs w:val="24"/>
        </w:rPr>
      </w:pPr>
      <w:r>
        <w:rPr>
          <w:rFonts w:ascii="Times New Roman" w:eastAsia="Times New Roman" w:hAnsi="Times New Roman" w:cs="Times New Roman"/>
          <w:b/>
          <w:bCs/>
          <w:spacing w:val="1"/>
          <w:sz w:val="24"/>
          <w:szCs w:val="24"/>
        </w:rPr>
        <w:t>1</w:t>
      </w:r>
      <w:r>
        <w:rPr>
          <w:rFonts w:ascii="SimSun" w:eastAsia="SimSun" w:hAnsi="SimSun" w:cs="SimSun"/>
          <w:spacing w:val="1"/>
          <w:sz w:val="24"/>
          <w:szCs w:val="24"/>
          <w14:textOutline w14:w="4354">
            <w14:solidFill>
              <w14:srgbClr w14:val="000000"/>
            </w14:solidFill>
            <w14:prstDash w14:val="solid"/>
            <w14:miter w14:lim="10"/>
          </w14:textOutline>
        </w:rPr>
        <w:t>、产业政策鼓励，推动我国香料香精行业规范化发展</w:t>
      </w:r>
    </w:p>
    <w:p>
      <w:pPr>
        <w:spacing w:before="186" w:line="360" w:lineRule="auto"/>
        <w:ind w:left="26" w:right="184" w:firstLine="481"/>
        <w:jc w:val="both"/>
        <w:rPr>
          <w:rFonts w:ascii="SimSun" w:eastAsia="SimSun" w:hAnsi="SimSun" w:cs="SimSun"/>
          <w:sz w:val="24"/>
          <w:szCs w:val="24"/>
        </w:rPr>
      </w:pPr>
      <w:r>
        <w:rPr>
          <w:rFonts w:ascii="SimSun" w:eastAsia="SimSun" w:hAnsi="SimSun" w:cs="SimSun"/>
          <w:spacing w:val="-8"/>
          <w:sz w:val="24"/>
          <w:szCs w:val="24"/>
        </w:rPr>
        <w:t>香料香精行业作为日化、食品、医药、烟草等行业的重要配套产业，</w:t>
      </w:r>
      <w:r>
        <w:rPr>
          <w:rFonts w:ascii="SimSun" w:eastAsia="SimSun" w:hAnsi="SimSun" w:cs="SimSun"/>
          <w:spacing w:val="49"/>
          <w:sz w:val="24"/>
          <w:szCs w:val="24"/>
        </w:rPr>
        <w:t xml:space="preserve"> </w:t>
      </w:r>
      <w:r>
        <w:rPr>
          <w:rFonts w:ascii="SimSun" w:eastAsia="SimSun" w:hAnsi="SimSun" w:cs="SimSun"/>
          <w:spacing w:val="-8"/>
          <w:sz w:val="24"/>
          <w:szCs w:val="24"/>
        </w:rPr>
        <w:t>与国民</w:t>
      </w:r>
      <w:r>
        <w:rPr>
          <w:rFonts w:ascii="SimSun" w:eastAsia="SimSun" w:hAnsi="SimSun" w:cs="SimSun"/>
          <w:sz w:val="24"/>
          <w:szCs w:val="24"/>
        </w:rPr>
        <w:t xml:space="preserve"> </w:t>
      </w:r>
      <w:r>
        <w:rPr>
          <w:rFonts w:ascii="SimSun" w:eastAsia="SimSun" w:hAnsi="SimSun" w:cs="SimSun"/>
          <w:spacing w:val="-5"/>
          <w:sz w:val="24"/>
          <w:szCs w:val="24"/>
        </w:rPr>
        <w:t>的生产生活息息相关。</w:t>
      </w:r>
      <w:r>
        <w:rPr>
          <w:rFonts w:ascii="Times New Roman" w:eastAsia="Times New Roman" w:hAnsi="Times New Roman" w:cs="Times New Roman"/>
          <w:spacing w:val="-5"/>
          <w:sz w:val="24"/>
          <w:szCs w:val="24"/>
        </w:rPr>
        <w:t xml:space="preserve">2023 </w:t>
      </w:r>
      <w:r>
        <w:rPr>
          <w:rFonts w:ascii="SimSun" w:eastAsia="SimSun" w:hAnsi="SimSun" w:cs="SimSun"/>
          <w:spacing w:val="-5"/>
          <w:sz w:val="24"/>
          <w:szCs w:val="24"/>
        </w:rPr>
        <w:t>年，发改委审议通过的《产业结构调整目录（</w:t>
      </w:r>
      <w:r>
        <w:rPr>
          <w:rFonts w:ascii="Times New Roman" w:eastAsia="Times New Roman" w:hAnsi="Times New Roman" w:cs="Times New Roman"/>
          <w:spacing w:val="-5"/>
          <w:sz w:val="24"/>
          <w:szCs w:val="24"/>
        </w:rPr>
        <w:t>202</w:t>
      </w:r>
      <w:r>
        <w:rPr>
          <w:rFonts w:ascii="Times New Roman" w:eastAsia="Times New Roman" w:hAnsi="Times New Roman" w:cs="Times New Roman"/>
          <w:spacing w:val="-6"/>
          <w:sz w:val="24"/>
          <w:szCs w:val="24"/>
        </w:rPr>
        <w:t xml:space="preserve">4 </w:t>
      </w:r>
      <w:r>
        <w:rPr>
          <w:rFonts w:ascii="SimSun" w:eastAsia="SimSun" w:hAnsi="SimSun" w:cs="SimSun"/>
          <w:spacing w:val="-6"/>
          <w:sz w:val="24"/>
          <w:szCs w:val="24"/>
        </w:rPr>
        <w:t>年</w:t>
      </w:r>
      <w:r>
        <w:rPr>
          <w:rFonts w:ascii="SimSun" w:eastAsia="SimSun" w:hAnsi="SimSun" w:cs="SimSun"/>
          <w:sz w:val="24"/>
          <w:szCs w:val="24"/>
        </w:rPr>
        <w:t xml:space="preserve"> </w:t>
      </w:r>
      <w:r>
        <w:rPr>
          <w:rFonts w:ascii="SimSun" w:eastAsia="SimSun" w:hAnsi="SimSun" w:cs="SimSun"/>
          <w:spacing w:val="-10"/>
          <w:sz w:val="24"/>
          <w:szCs w:val="24"/>
        </w:rPr>
        <w:t>本）》将“天然食品添加剂、天然香料新技术开发与生产”、“绿色食品生产允许</w:t>
      </w:r>
      <w:r>
        <w:rPr>
          <w:rFonts w:ascii="SimSun" w:eastAsia="SimSun" w:hAnsi="SimSun" w:cs="SimSun"/>
          <w:spacing w:val="12"/>
          <w:sz w:val="24"/>
          <w:szCs w:val="24"/>
        </w:rPr>
        <w:t xml:space="preserve"> </w:t>
      </w:r>
      <w:r>
        <w:rPr>
          <w:rFonts w:ascii="SimSun" w:eastAsia="SimSun" w:hAnsi="SimSun" w:cs="SimSun"/>
          <w:spacing w:val="-8"/>
          <w:sz w:val="24"/>
          <w:szCs w:val="24"/>
        </w:rPr>
        <w:t xml:space="preserve">使用的食品添加剂开发”列为国家鼓励类的产业目录； </w:t>
      </w:r>
      <w:r>
        <w:rPr>
          <w:rFonts w:ascii="Times New Roman" w:eastAsia="Times New Roman" w:hAnsi="Times New Roman" w:cs="Times New Roman"/>
          <w:spacing w:val="-8"/>
          <w:sz w:val="24"/>
          <w:szCs w:val="24"/>
        </w:rPr>
        <w:t>2</w:t>
      </w:r>
      <w:r>
        <w:rPr>
          <w:rFonts w:ascii="Times New Roman" w:eastAsia="Times New Roman" w:hAnsi="Times New Roman" w:cs="Times New Roman"/>
          <w:spacing w:val="-9"/>
          <w:sz w:val="24"/>
          <w:szCs w:val="24"/>
        </w:rPr>
        <w:t xml:space="preserve">022 </w:t>
      </w:r>
      <w:r>
        <w:rPr>
          <w:rFonts w:ascii="SimSun" w:eastAsia="SimSun" w:hAnsi="SimSun" w:cs="SimSun"/>
          <w:spacing w:val="-9"/>
          <w:sz w:val="24"/>
          <w:szCs w:val="24"/>
        </w:rPr>
        <w:t>年，</w:t>
      </w:r>
      <w:r>
        <w:rPr>
          <w:rFonts w:ascii="SimSun" w:eastAsia="SimSun" w:hAnsi="SimSun" w:cs="SimSun"/>
          <w:spacing w:val="-62"/>
          <w:sz w:val="24"/>
          <w:szCs w:val="24"/>
        </w:rPr>
        <w:t xml:space="preserve"> </w:t>
      </w:r>
      <w:r>
        <w:rPr>
          <w:rFonts w:ascii="SimSun" w:eastAsia="SimSun" w:hAnsi="SimSun" w:cs="SimSun"/>
          <w:spacing w:val="-9"/>
          <w:sz w:val="24"/>
          <w:szCs w:val="24"/>
        </w:rPr>
        <w:t>工信部、生态环</w:t>
      </w:r>
      <w:r>
        <w:rPr>
          <w:rFonts w:ascii="SimSun" w:eastAsia="SimSun" w:hAnsi="SimSun" w:cs="SimSun"/>
          <w:sz w:val="24"/>
          <w:szCs w:val="24"/>
        </w:rPr>
        <w:t xml:space="preserve"> </w:t>
      </w:r>
      <w:r>
        <w:rPr>
          <w:rFonts w:ascii="SimSun" w:eastAsia="SimSun" w:hAnsi="SimSun" w:cs="SimSun"/>
          <w:spacing w:val="-3"/>
          <w:sz w:val="24"/>
          <w:szCs w:val="24"/>
        </w:rPr>
        <w:t>境部等五部门推出《关于推动轻工业高质量发展的指导意见》，强调加快关键技</w:t>
      </w:r>
      <w:r>
        <w:rPr>
          <w:rFonts w:ascii="SimSun" w:eastAsia="SimSun" w:hAnsi="SimSun" w:cs="SimSun"/>
          <w:spacing w:val="1"/>
          <w:sz w:val="24"/>
          <w:szCs w:val="24"/>
        </w:rPr>
        <w:t xml:space="preserve"> </w:t>
      </w:r>
      <w:r>
        <w:rPr>
          <w:rFonts w:ascii="SimSun" w:eastAsia="SimSun" w:hAnsi="SimSun" w:cs="SimSun"/>
          <w:spacing w:val="-7"/>
          <w:sz w:val="24"/>
          <w:szCs w:val="24"/>
        </w:rPr>
        <w:t>术突破，</w:t>
      </w:r>
      <w:r>
        <w:rPr>
          <w:rFonts w:ascii="SimSun" w:eastAsia="SimSun" w:hAnsi="SimSun" w:cs="SimSun"/>
          <w:spacing w:val="-44"/>
          <w:sz w:val="24"/>
          <w:szCs w:val="24"/>
        </w:rPr>
        <w:t xml:space="preserve"> </w:t>
      </w:r>
      <w:r>
        <w:rPr>
          <w:rFonts w:ascii="SimSun" w:eastAsia="SimSun" w:hAnsi="SimSun" w:cs="SimSun"/>
          <w:spacing w:val="-7"/>
          <w:sz w:val="24"/>
          <w:szCs w:val="24"/>
        </w:rPr>
        <w:t>针对“香料香精生物发酵制造”等行业薄弱环节，</w:t>
      </w:r>
      <w:r>
        <w:rPr>
          <w:rFonts w:ascii="SimSun" w:eastAsia="SimSun" w:hAnsi="SimSun" w:cs="SimSun"/>
          <w:spacing w:val="-48"/>
          <w:sz w:val="24"/>
          <w:szCs w:val="24"/>
        </w:rPr>
        <w:t xml:space="preserve"> </w:t>
      </w:r>
      <w:r>
        <w:rPr>
          <w:rFonts w:ascii="SimSun" w:eastAsia="SimSun" w:hAnsi="SimSun" w:cs="SimSun"/>
          <w:spacing w:val="-7"/>
          <w:sz w:val="24"/>
          <w:szCs w:val="24"/>
        </w:rPr>
        <w:t>研究制定和发布一批</w:t>
      </w:r>
      <w:r>
        <w:rPr>
          <w:rFonts w:ascii="SimSun" w:eastAsia="SimSun" w:hAnsi="SimSun" w:cs="SimSun"/>
          <w:sz w:val="24"/>
          <w:szCs w:val="24"/>
        </w:rPr>
        <w:t xml:space="preserve"> </w:t>
      </w:r>
      <w:r>
        <w:rPr>
          <w:rFonts w:ascii="SimSun" w:eastAsia="SimSun" w:hAnsi="SimSun" w:cs="SimSun"/>
          <w:spacing w:val="-11"/>
          <w:sz w:val="24"/>
          <w:szCs w:val="24"/>
        </w:rPr>
        <w:t>重点领域技术创新路线图，</w:t>
      </w:r>
      <w:r>
        <w:rPr>
          <w:rFonts w:ascii="SimSun" w:eastAsia="SimSun" w:hAnsi="SimSun" w:cs="SimSun"/>
          <w:spacing w:val="25"/>
          <w:sz w:val="24"/>
          <w:szCs w:val="24"/>
        </w:rPr>
        <w:t xml:space="preserve"> </w:t>
      </w:r>
      <w:r>
        <w:rPr>
          <w:rFonts w:ascii="SimSun" w:eastAsia="SimSun" w:hAnsi="SimSun" w:cs="SimSun"/>
          <w:spacing w:val="-11"/>
          <w:sz w:val="24"/>
          <w:szCs w:val="24"/>
        </w:rPr>
        <w:t>深入推进技术研发与工程化、产业</w:t>
      </w:r>
      <w:r>
        <w:rPr>
          <w:rFonts w:ascii="SimSun" w:eastAsia="SimSun" w:hAnsi="SimSun" w:cs="SimSun"/>
          <w:spacing w:val="-12"/>
          <w:sz w:val="24"/>
          <w:szCs w:val="24"/>
        </w:rPr>
        <w:t>化，</w:t>
      </w:r>
      <w:r>
        <w:rPr>
          <w:rFonts w:ascii="SimSun" w:eastAsia="SimSun" w:hAnsi="SimSun" w:cs="SimSun"/>
          <w:spacing w:val="25"/>
          <w:sz w:val="24"/>
          <w:szCs w:val="24"/>
        </w:rPr>
        <w:t xml:space="preserve"> </w:t>
      </w:r>
      <w:r>
        <w:rPr>
          <w:rFonts w:ascii="SimSun" w:eastAsia="SimSun" w:hAnsi="SimSun" w:cs="SimSun"/>
          <w:spacing w:val="-12"/>
          <w:sz w:val="24"/>
          <w:szCs w:val="24"/>
        </w:rPr>
        <w:t>加快建立核心</w:t>
      </w:r>
    </w:p>
    <w:p>
      <w:pPr>
        <w:spacing w:line="219" w:lineRule="auto"/>
        <w:ind w:left="26"/>
        <w:rPr>
          <w:rFonts w:ascii="SimSun" w:eastAsia="SimSun" w:hAnsi="SimSun" w:cs="SimSun"/>
          <w:sz w:val="24"/>
          <w:szCs w:val="24"/>
        </w:rPr>
      </w:pPr>
      <w:r>
        <w:rPr>
          <w:rFonts w:ascii="SimSun" w:eastAsia="SimSun" w:hAnsi="SimSun" w:cs="SimSun"/>
          <w:spacing w:val="-3"/>
          <w:sz w:val="24"/>
          <w:szCs w:val="24"/>
        </w:rPr>
        <w:t>技术体系，提升行业技术水平。</w:t>
      </w:r>
    </w:p>
    <w:p>
      <w:pPr>
        <w:spacing w:before="183" w:line="469" w:lineRule="exact"/>
        <w:jc w:val="right"/>
        <w:rPr>
          <w:rFonts w:ascii="SimSun" w:eastAsia="SimSun" w:hAnsi="SimSun" w:cs="SimSun"/>
          <w:sz w:val="24"/>
          <w:szCs w:val="24"/>
        </w:rPr>
      </w:pPr>
      <w:r>
        <w:rPr>
          <w:rFonts w:ascii="SimSun" w:eastAsia="SimSun" w:hAnsi="SimSun" w:cs="SimSun"/>
          <w:spacing w:val="-7"/>
          <w:position w:val="17"/>
          <w:sz w:val="24"/>
          <w:szCs w:val="24"/>
        </w:rPr>
        <w:t>随着国家鼓励政策的持续出台，</w:t>
      </w:r>
      <w:r>
        <w:rPr>
          <w:rFonts w:ascii="SimSun" w:eastAsia="SimSun" w:hAnsi="SimSun" w:cs="SimSun"/>
          <w:spacing w:val="-33"/>
          <w:position w:val="17"/>
          <w:sz w:val="24"/>
          <w:szCs w:val="24"/>
        </w:rPr>
        <w:t xml:space="preserve"> </w:t>
      </w:r>
      <w:r>
        <w:rPr>
          <w:rFonts w:ascii="SimSun" w:eastAsia="SimSun" w:hAnsi="SimSun" w:cs="SimSun"/>
          <w:spacing w:val="-7"/>
          <w:position w:val="17"/>
          <w:sz w:val="24"/>
          <w:szCs w:val="24"/>
        </w:rPr>
        <w:t>我国香料香精行业的规范化程度将</w:t>
      </w:r>
      <w:r>
        <w:rPr>
          <w:rFonts w:ascii="SimSun" w:eastAsia="SimSun" w:hAnsi="SimSun" w:cs="SimSun"/>
          <w:spacing w:val="-8"/>
          <w:position w:val="17"/>
          <w:sz w:val="24"/>
          <w:szCs w:val="24"/>
        </w:rPr>
        <w:t>逐步提升，</w:t>
      </w:r>
    </w:p>
    <w:p>
      <w:pPr>
        <w:spacing w:before="1" w:line="218" w:lineRule="auto"/>
        <w:ind w:left="29"/>
        <w:rPr>
          <w:rFonts w:ascii="SimSun" w:eastAsia="SimSun" w:hAnsi="SimSun" w:cs="SimSun"/>
          <w:sz w:val="24"/>
          <w:szCs w:val="24"/>
        </w:rPr>
        <w:sectPr>
          <w:footerReference w:type="default" r:id="rId5"/>
          <w:pgSz w:w="11905" w:h="16836"/>
          <w:pgMar w:top="1431" w:right="1593" w:bottom="902" w:left="1785" w:header="0" w:footer="711" w:gutter="0"/>
          <w:pgNumType w:start="5"/>
          <w:cols w:space="708"/>
        </w:sectPr>
      </w:pPr>
      <w:r>
        <w:rPr>
          <w:rFonts w:ascii="SimSun" w:eastAsia="SimSun" w:hAnsi="SimSun" w:cs="SimSun"/>
          <w:spacing w:val="-1"/>
          <w:sz w:val="24"/>
          <w:szCs w:val="24"/>
        </w:rPr>
        <w:t>未来香料香精制造企业有望持续高质量发展，</w:t>
      </w:r>
      <w:r>
        <w:rPr>
          <w:rFonts w:ascii="SimSun" w:eastAsia="SimSun" w:hAnsi="SimSun" w:cs="SimSun"/>
          <w:spacing w:val="-2"/>
          <w:sz w:val="24"/>
          <w:szCs w:val="24"/>
        </w:rPr>
        <w:t>行业前景广阔。</w:t>
      </w:r>
    </w:p>
    <w:p>
      <w:pPr>
        <w:spacing w:before="183" w:line="219" w:lineRule="auto"/>
        <w:ind w:left="502"/>
        <w:rPr>
          <w:rFonts w:ascii="SimSun" w:eastAsia="SimSun" w:hAnsi="SimSun" w:cs="SimSun"/>
          <w:sz w:val="24"/>
          <w:szCs w:val="24"/>
        </w:rPr>
      </w:pPr>
      <w:r>
        <w:rPr>
          <w:rFonts w:ascii="Times New Roman" w:eastAsia="Times New Roman" w:hAnsi="Times New Roman" w:cs="Times New Roman"/>
          <w:b/>
          <w:bCs/>
          <w:spacing w:val="-4"/>
          <w:sz w:val="24"/>
          <w:szCs w:val="24"/>
        </w:rPr>
        <w:t>2</w:t>
      </w:r>
      <w:r>
        <w:rPr>
          <w:rFonts w:ascii="SimSun" w:eastAsia="SimSun" w:hAnsi="SimSun" w:cs="SimSun"/>
          <w:spacing w:val="-4"/>
          <w:sz w:val="24"/>
          <w:szCs w:val="24"/>
          <w14:textOutline w14:w="4354">
            <w14:solidFill>
              <w14:srgbClr w14:val="000000"/>
            </w14:solidFill>
            <w14:prstDash w14:val="solid"/>
            <w14:miter w14:lim="10"/>
          </w14:textOutline>
        </w:rPr>
        <w:t>、下游应用市场驱动，</w:t>
      </w:r>
      <w:r>
        <w:rPr>
          <w:rFonts w:ascii="SimSun" w:eastAsia="SimSun" w:hAnsi="SimSun" w:cs="SimSun"/>
          <w:spacing w:val="-4"/>
          <w:sz w:val="24"/>
          <w:szCs w:val="24"/>
        </w:rPr>
        <w:t xml:space="preserve"> </w:t>
      </w:r>
      <w:r>
        <w:rPr>
          <w:rFonts w:ascii="SimSun" w:eastAsia="SimSun" w:hAnsi="SimSun" w:cs="SimSun"/>
          <w:spacing w:val="-4"/>
          <w:sz w:val="24"/>
          <w:szCs w:val="24"/>
          <w14:textOutline w14:w="4354">
            <w14:solidFill>
              <w14:srgbClr w14:val="000000"/>
            </w14:solidFill>
            <w14:prstDash w14:val="solid"/>
            <w14:miter w14:lim="10"/>
          </w14:textOutline>
        </w:rPr>
        <w:t>香料香精行业规模稳步增长</w:t>
      </w:r>
    </w:p>
    <w:p>
      <w:pPr>
        <w:spacing w:before="184" w:line="469" w:lineRule="exact"/>
        <w:ind w:left="505"/>
        <w:rPr>
          <w:rFonts w:ascii="SimSun" w:eastAsia="SimSun" w:hAnsi="SimSun" w:cs="SimSun"/>
          <w:sz w:val="24"/>
          <w:szCs w:val="24"/>
        </w:rPr>
      </w:pPr>
      <w:r>
        <w:rPr>
          <w:rFonts w:ascii="SimSun" w:eastAsia="SimSun" w:hAnsi="SimSun" w:cs="SimSun"/>
          <w:spacing w:val="-3"/>
          <w:position w:val="17"/>
          <w:sz w:val="24"/>
          <w:szCs w:val="24"/>
        </w:rPr>
        <w:t>近年来，国民经济的快速发展以及居民收入的持续增长带动人们消费支出不</w:t>
      </w:r>
    </w:p>
    <w:p>
      <w:pPr>
        <w:spacing w:before="1" w:line="218" w:lineRule="auto"/>
        <w:ind w:left="35"/>
        <w:rPr>
          <w:rFonts w:ascii="SimSun" w:eastAsia="SimSun" w:hAnsi="SimSun" w:cs="SimSun"/>
          <w:sz w:val="24"/>
          <w:szCs w:val="24"/>
        </w:rPr>
      </w:pPr>
      <w:r>
        <w:rPr>
          <w:rFonts w:ascii="SimSun" w:eastAsia="SimSun" w:hAnsi="SimSun" w:cs="SimSun"/>
          <w:spacing w:val="-5"/>
          <w:sz w:val="24"/>
          <w:szCs w:val="24"/>
        </w:rPr>
        <w:t>断攀升，</w:t>
      </w:r>
      <w:r>
        <w:rPr>
          <w:rFonts w:ascii="SimSun" w:eastAsia="SimSun" w:hAnsi="SimSun" w:cs="SimSun"/>
          <w:spacing w:val="-60"/>
          <w:sz w:val="24"/>
          <w:szCs w:val="24"/>
        </w:rPr>
        <w:t xml:space="preserve"> </w:t>
      </w:r>
      <w:r>
        <w:rPr>
          <w:rFonts w:ascii="SimSun" w:eastAsia="SimSun" w:hAnsi="SimSun" w:cs="SimSun"/>
          <w:spacing w:val="-5"/>
          <w:sz w:val="24"/>
          <w:szCs w:val="24"/>
        </w:rPr>
        <w:t>食品饮料工业、日化等行业市场规模保持增长态势。根据头豹研究</w:t>
      </w:r>
      <w:r>
        <w:rPr>
          <w:rFonts w:ascii="SimSun" w:eastAsia="SimSun" w:hAnsi="SimSun" w:cs="SimSun"/>
          <w:spacing w:val="-6"/>
          <w:sz w:val="24"/>
          <w:szCs w:val="24"/>
        </w:rPr>
        <w:t>院统</w:t>
      </w:r>
    </w:p>
    <w:p>
      <w:pPr>
        <w:spacing w:line="218" w:lineRule="auto"/>
        <w:rPr>
          <w:rFonts w:ascii="SimSun" w:eastAsia="SimSun" w:hAnsi="SimSun" w:cs="SimSun"/>
          <w:sz w:val="24"/>
          <w:szCs w:val="24"/>
        </w:rPr>
        <w:sectPr>
          <w:footerReference w:type="default" r:id="rId6"/>
          <w:type w:val="nextPage"/>
          <w:pgSz w:w="11905" w:h="16836"/>
          <w:pgMar w:top="1431" w:right="1593" w:bottom="902" w:left="1785" w:header="0" w:footer="711" w:gutter="0"/>
          <w:pgNumType w:start="6"/>
          <w:cols w:space="708"/>
          <w:titlePg w:val="0"/>
        </w:sectPr>
      </w:pPr>
    </w:p>
    <w:p>
      <w:pPr>
        <w:spacing w:before="117" w:line="360" w:lineRule="auto"/>
        <w:ind w:left="7" w:right="201" w:firstLine="18"/>
        <w:jc w:val="both"/>
        <w:rPr>
          <w:rFonts w:ascii="SimSun" w:eastAsia="SimSun" w:hAnsi="SimSun" w:cs="SimSun"/>
          <w:sz w:val="24"/>
          <w:szCs w:val="24"/>
        </w:rPr>
      </w:pPr>
      <w:r>
        <w:rPr>
          <w:rFonts w:ascii="SimSun" w:eastAsia="SimSun" w:hAnsi="SimSun" w:cs="SimSun"/>
          <w:spacing w:val="-4"/>
          <w:sz w:val="24"/>
          <w:szCs w:val="24"/>
        </w:rPr>
        <w:t>计，</w:t>
      </w:r>
      <w:r>
        <w:rPr>
          <w:rFonts w:ascii="SimSun" w:eastAsia="SimSun" w:hAnsi="SimSun" w:cs="SimSun"/>
          <w:spacing w:val="-59"/>
          <w:sz w:val="24"/>
          <w:szCs w:val="24"/>
        </w:rPr>
        <w:t xml:space="preserve"> </w:t>
      </w:r>
      <w:r>
        <w:rPr>
          <w:rFonts w:ascii="Times New Roman" w:eastAsia="Times New Roman" w:hAnsi="Times New Roman" w:cs="Times New Roman"/>
          <w:spacing w:val="-4"/>
          <w:sz w:val="24"/>
          <w:szCs w:val="24"/>
        </w:rPr>
        <w:t xml:space="preserve">2022 </w:t>
      </w:r>
      <w:r>
        <w:rPr>
          <w:rFonts w:ascii="SimSun" w:eastAsia="SimSun" w:hAnsi="SimSun" w:cs="SimSun"/>
          <w:spacing w:val="-4"/>
          <w:sz w:val="24"/>
          <w:szCs w:val="24"/>
        </w:rPr>
        <w:t>年我国食品工业营业收入达</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 xml:space="preserve">97,992 </w:t>
      </w:r>
      <w:r>
        <w:rPr>
          <w:rFonts w:ascii="SimSun" w:eastAsia="SimSun" w:hAnsi="SimSun" w:cs="SimSun"/>
          <w:spacing w:val="-4"/>
          <w:sz w:val="24"/>
          <w:szCs w:val="24"/>
        </w:rPr>
        <w:t>亿元，同比增长</w:t>
      </w:r>
      <w:r>
        <w:rPr>
          <w:rFonts w:ascii="SimSun" w:eastAsia="SimSun" w:hAnsi="SimSun" w:cs="SimSun"/>
          <w:spacing w:val="-49"/>
          <w:sz w:val="24"/>
          <w:szCs w:val="24"/>
        </w:rPr>
        <w:t xml:space="preserve"> </w:t>
      </w:r>
      <w:r>
        <w:rPr>
          <w:rFonts w:ascii="Times New Roman" w:eastAsia="Times New Roman" w:hAnsi="Times New Roman" w:cs="Times New Roman"/>
          <w:spacing w:val="-4"/>
          <w:sz w:val="24"/>
          <w:szCs w:val="24"/>
        </w:rPr>
        <w:t>6.1%</w:t>
      </w:r>
      <w:r>
        <w:rPr>
          <w:rFonts w:ascii="SimSun" w:eastAsia="SimSun" w:hAnsi="SimSun" w:cs="SimSun"/>
          <w:spacing w:val="-4"/>
          <w:sz w:val="24"/>
          <w:szCs w:val="24"/>
        </w:rPr>
        <w:t>；</w:t>
      </w:r>
      <w:r>
        <w:rPr>
          <w:rFonts w:ascii="Times New Roman" w:eastAsia="Times New Roman" w:hAnsi="Times New Roman" w:cs="Times New Roman"/>
          <w:spacing w:val="-4"/>
          <w:sz w:val="24"/>
          <w:szCs w:val="24"/>
        </w:rPr>
        <w:t xml:space="preserve">2021 </w:t>
      </w:r>
      <w:r>
        <w:rPr>
          <w:rFonts w:ascii="SimSun" w:eastAsia="SimSun" w:hAnsi="SimSun" w:cs="SimSun"/>
          <w:spacing w:val="-4"/>
          <w:sz w:val="24"/>
          <w:szCs w:val="24"/>
        </w:rPr>
        <w:t>年日化</w:t>
      </w:r>
      <w:r>
        <w:rPr>
          <w:rFonts w:ascii="SimSun" w:eastAsia="SimSun" w:hAnsi="SimSun" w:cs="SimSun"/>
          <w:sz w:val="24"/>
          <w:szCs w:val="24"/>
        </w:rPr>
        <w:t xml:space="preserve"> </w:t>
      </w:r>
      <w:r>
        <w:rPr>
          <w:rFonts w:ascii="SimSun" w:eastAsia="SimSun" w:hAnsi="SimSun" w:cs="SimSun"/>
          <w:spacing w:val="-2"/>
          <w:sz w:val="24"/>
          <w:szCs w:val="24"/>
        </w:rPr>
        <w:t>行业市场规模达</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 xml:space="preserve">6,927 </w:t>
      </w:r>
      <w:r>
        <w:rPr>
          <w:rFonts w:ascii="SimSun" w:eastAsia="SimSun" w:hAnsi="SimSun" w:cs="SimSun"/>
          <w:spacing w:val="-2"/>
          <w:sz w:val="24"/>
          <w:szCs w:val="24"/>
        </w:rPr>
        <w:t>亿元，同比增长</w:t>
      </w:r>
      <w:r>
        <w:rPr>
          <w:rFonts w:ascii="SimSun" w:eastAsia="SimSun" w:hAnsi="SimSun" w:cs="SimSun"/>
          <w:spacing w:val="-31"/>
          <w:sz w:val="24"/>
          <w:szCs w:val="24"/>
        </w:rPr>
        <w:t xml:space="preserve"> </w:t>
      </w:r>
      <w:r>
        <w:rPr>
          <w:rFonts w:ascii="Times New Roman" w:eastAsia="Times New Roman" w:hAnsi="Times New Roman" w:cs="Times New Roman"/>
          <w:spacing w:val="-2"/>
          <w:sz w:val="24"/>
          <w:szCs w:val="24"/>
        </w:rPr>
        <w:t>11%</w:t>
      </w:r>
      <w:r>
        <w:rPr>
          <w:rFonts w:ascii="SimSun" w:eastAsia="SimSun" w:hAnsi="SimSun" w:cs="SimSun"/>
          <w:spacing w:val="-2"/>
          <w:sz w:val="24"/>
          <w:szCs w:val="24"/>
        </w:rPr>
        <w:t>。香料香精作为食品、日化、烟草等</w:t>
      </w:r>
      <w:r>
        <w:rPr>
          <w:rFonts w:ascii="SimSun" w:eastAsia="SimSun" w:hAnsi="SimSun" w:cs="SimSun"/>
          <w:sz w:val="24"/>
          <w:szCs w:val="24"/>
        </w:rPr>
        <w:t xml:space="preserve"> </w:t>
      </w:r>
      <w:r>
        <w:rPr>
          <w:rFonts w:ascii="SimSun" w:eastAsia="SimSun" w:hAnsi="SimSun" w:cs="SimSun"/>
          <w:spacing w:val="-14"/>
          <w:sz w:val="24"/>
          <w:szCs w:val="24"/>
        </w:rPr>
        <w:t>产品的配套原料， 受下游行业的快速发展的影响， 迎来了广阔的市场空间，</w:t>
      </w:r>
      <w:r>
        <w:rPr>
          <w:rFonts w:ascii="SimSun" w:eastAsia="SimSun" w:hAnsi="SimSun" w:cs="SimSun"/>
          <w:spacing w:val="105"/>
          <w:sz w:val="24"/>
          <w:szCs w:val="24"/>
        </w:rPr>
        <w:t xml:space="preserve"> </w:t>
      </w:r>
      <w:r>
        <w:rPr>
          <w:rFonts w:ascii="Times New Roman" w:eastAsia="Times New Roman" w:hAnsi="Times New Roman" w:cs="Times New Roman"/>
          <w:spacing w:val="-14"/>
          <w:sz w:val="24"/>
          <w:szCs w:val="24"/>
        </w:rPr>
        <w:t>2022</w:t>
      </w:r>
      <w:r>
        <w:rPr>
          <w:rFonts w:ascii="Times New Roman" w:eastAsia="Times New Roman" w:hAnsi="Times New Roman" w:cs="Times New Roman"/>
          <w:sz w:val="24"/>
          <w:szCs w:val="24"/>
        </w:rPr>
        <w:t xml:space="preserve"> </w:t>
      </w:r>
      <w:r>
        <w:rPr>
          <w:rFonts w:ascii="SimSun" w:eastAsia="SimSun" w:hAnsi="SimSun" w:cs="SimSun"/>
          <w:spacing w:val="1"/>
          <w:sz w:val="24"/>
          <w:szCs w:val="24"/>
        </w:rPr>
        <w:t xml:space="preserve">年达到 </w:t>
      </w:r>
      <w:r>
        <w:rPr>
          <w:rFonts w:ascii="Times New Roman" w:eastAsia="Times New Roman" w:hAnsi="Times New Roman" w:cs="Times New Roman"/>
          <w:spacing w:val="1"/>
          <w:sz w:val="24"/>
          <w:szCs w:val="24"/>
        </w:rPr>
        <w:t xml:space="preserve">560  </w:t>
      </w:r>
      <w:r>
        <w:rPr>
          <w:rFonts w:ascii="SimSun" w:eastAsia="SimSun" w:hAnsi="SimSun" w:cs="SimSun"/>
          <w:spacing w:val="1"/>
          <w:sz w:val="24"/>
          <w:szCs w:val="24"/>
        </w:rPr>
        <w:t>亿元市场规模。随着我国消费者口味多元化偏好日益明显，</w:t>
      </w:r>
      <w:r>
        <w:rPr>
          <w:rFonts w:ascii="SimSun" w:eastAsia="SimSun" w:hAnsi="SimSun" w:cs="SimSun"/>
          <w:sz w:val="24"/>
          <w:szCs w:val="24"/>
        </w:rPr>
        <w:t xml:space="preserve">同时对 </w:t>
      </w:r>
      <w:r>
        <w:rPr>
          <w:rFonts w:ascii="SimSun" w:eastAsia="SimSun" w:hAnsi="SimSun" w:cs="SimSun"/>
          <w:spacing w:val="-6"/>
          <w:sz w:val="24"/>
          <w:szCs w:val="24"/>
        </w:rPr>
        <w:t>“纯天然”、“绿色”的认可度不断提升，我国香料香精</w:t>
      </w:r>
      <w:r>
        <w:rPr>
          <w:rFonts w:ascii="SimSun" w:eastAsia="SimSun" w:hAnsi="SimSun" w:cs="SimSun"/>
          <w:spacing w:val="-7"/>
          <w:sz w:val="24"/>
          <w:szCs w:val="24"/>
        </w:rPr>
        <w:t>行业有望在</w:t>
      </w:r>
      <w:r>
        <w:rPr>
          <w:rFonts w:ascii="SimSun" w:eastAsia="SimSun" w:hAnsi="SimSun" w:cs="SimSun"/>
          <w:spacing w:val="-45"/>
          <w:sz w:val="24"/>
          <w:szCs w:val="24"/>
        </w:rPr>
        <w:t xml:space="preserve"> </w:t>
      </w:r>
      <w:r>
        <w:rPr>
          <w:rFonts w:ascii="Times New Roman" w:eastAsia="Times New Roman" w:hAnsi="Times New Roman" w:cs="Times New Roman"/>
          <w:spacing w:val="-7"/>
          <w:sz w:val="24"/>
          <w:szCs w:val="24"/>
        </w:rPr>
        <w:t>2027</w:t>
      </w:r>
      <w:r>
        <w:rPr>
          <w:rFonts w:ascii="Times New Roman" w:eastAsia="Times New Roman" w:hAnsi="Times New Roman" w:cs="Times New Roman"/>
          <w:spacing w:val="22"/>
          <w:w w:val="101"/>
          <w:sz w:val="24"/>
          <w:szCs w:val="24"/>
        </w:rPr>
        <w:t xml:space="preserve"> </w:t>
      </w:r>
      <w:r>
        <w:rPr>
          <w:rFonts w:ascii="SimSun" w:eastAsia="SimSun" w:hAnsi="SimSun" w:cs="SimSun"/>
          <w:spacing w:val="-7"/>
          <w:sz w:val="24"/>
          <w:szCs w:val="24"/>
        </w:rPr>
        <w:t>年突破</w:t>
      </w:r>
    </w:p>
    <w:p>
      <w:pPr>
        <w:spacing w:line="218" w:lineRule="auto"/>
        <w:ind w:left="25"/>
        <w:rPr>
          <w:rFonts w:ascii="SimSun" w:eastAsia="SimSun" w:hAnsi="SimSun" w:cs="SimSun"/>
          <w:sz w:val="24"/>
          <w:szCs w:val="24"/>
        </w:rPr>
      </w:pPr>
      <w:r>
        <w:rPr>
          <w:rFonts w:ascii="Times New Roman" w:eastAsia="Times New Roman" w:hAnsi="Times New Roman" w:cs="Times New Roman"/>
          <w:spacing w:val="-3"/>
          <w:sz w:val="24"/>
          <w:szCs w:val="24"/>
        </w:rPr>
        <w:t xml:space="preserve">900 </w:t>
      </w:r>
      <w:r>
        <w:rPr>
          <w:rFonts w:ascii="SimSun" w:eastAsia="SimSun" w:hAnsi="SimSun" w:cs="SimSun"/>
          <w:spacing w:val="-3"/>
          <w:sz w:val="24"/>
          <w:szCs w:val="24"/>
        </w:rPr>
        <w:t>亿，产业市场价值逐渐凸显。</w:t>
      </w:r>
    </w:p>
    <w:p>
      <w:pPr>
        <w:spacing w:before="184" w:line="220" w:lineRule="auto"/>
        <w:ind w:left="500"/>
        <w:rPr>
          <w:rFonts w:ascii="SimSun" w:eastAsia="SimSun" w:hAnsi="SimSun" w:cs="SimSun"/>
          <w:sz w:val="24"/>
          <w:szCs w:val="24"/>
        </w:rPr>
      </w:pPr>
      <w:r>
        <w:rPr>
          <w:rFonts w:ascii="Times New Roman" w:eastAsia="Times New Roman" w:hAnsi="Times New Roman" w:cs="Times New Roman"/>
          <w:b/>
          <w:bCs/>
          <w:spacing w:val="2"/>
          <w:sz w:val="24"/>
          <w:szCs w:val="24"/>
        </w:rPr>
        <w:t>3</w:t>
      </w:r>
      <w:r>
        <w:rPr>
          <w:rFonts w:ascii="SimSun" w:eastAsia="SimSun" w:hAnsi="SimSun" w:cs="SimSun"/>
          <w:spacing w:val="2"/>
          <w:sz w:val="24"/>
          <w:szCs w:val="24"/>
          <w14:textOutline w14:w="4354">
            <w14:solidFill>
              <w14:srgbClr w14:val="000000"/>
            </w14:solidFill>
            <w14:prstDash w14:val="solid"/>
            <w14:miter w14:lim="10"/>
          </w14:textOutline>
        </w:rPr>
        <w:t>、生物技术为天然香料制备开辟新的发展路径，应用前景广阔</w:t>
      </w:r>
    </w:p>
    <w:p>
      <w:pPr>
        <w:spacing w:before="185" w:line="360" w:lineRule="auto"/>
        <w:ind w:left="24" w:firstLine="483"/>
        <w:jc w:val="both"/>
        <w:rPr>
          <w:rFonts w:ascii="SimSun" w:eastAsia="SimSun" w:hAnsi="SimSun" w:cs="SimSun"/>
          <w:sz w:val="24"/>
          <w:szCs w:val="24"/>
        </w:rPr>
      </w:pPr>
      <w:r>
        <w:rPr>
          <w:rFonts w:ascii="SimSun" w:eastAsia="SimSun" w:hAnsi="SimSun" w:cs="SimSun"/>
          <w:spacing w:val="-6"/>
          <w:sz w:val="24"/>
          <w:szCs w:val="24"/>
        </w:rPr>
        <w:t>生物技术香料指用生物技术等先进的食品科学技术生产出来</w:t>
      </w:r>
      <w:r>
        <w:rPr>
          <w:rFonts w:ascii="SimSun" w:eastAsia="SimSun" w:hAnsi="SimSun" w:cs="SimSun"/>
          <w:spacing w:val="-7"/>
          <w:sz w:val="24"/>
          <w:szCs w:val="24"/>
        </w:rPr>
        <w:t>的香料，</w:t>
      </w:r>
      <w:r>
        <w:rPr>
          <w:rFonts w:ascii="SimSun" w:eastAsia="SimSun" w:hAnsi="SimSun" w:cs="SimSun"/>
          <w:spacing w:val="-36"/>
          <w:sz w:val="24"/>
          <w:szCs w:val="24"/>
        </w:rPr>
        <w:t xml:space="preserve"> </w:t>
      </w:r>
      <w:r>
        <w:rPr>
          <w:rFonts w:ascii="SimSun" w:eastAsia="SimSun" w:hAnsi="SimSun" w:cs="SimSun"/>
          <w:spacing w:val="-7"/>
          <w:sz w:val="24"/>
          <w:szCs w:val="24"/>
        </w:rPr>
        <w:t>在美国、</w:t>
      </w:r>
      <w:r>
        <w:rPr>
          <w:rFonts w:ascii="SimSun" w:eastAsia="SimSun" w:hAnsi="SimSun" w:cs="SimSun"/>
          <w:sz w:val="24"/>
          <w:szCs w:val="24"/>
        </w:rPr>
        <w:t xml:space="preserve"> </w:t>
      </w:r>
      <w:r>
        <w:rPr>
          <w:rFonts w:ascii="SimSun" w:eastAsia="SimSun" w:hAnsi="SimSun" w:cs="SimSun"/>
          <w:spacing w:val="-4"/>
          <w:sz w:val="24"/>
          <w:szCs w:val="24"/>
        </w:rPr>
        <w:t>欧洲等国家，</w:t>
      </w:r>
      <w:r>
        <w:rPr>
          <w:rFonts w:ascii="SimSun" w:eastAsia="SimSun" w:hAnsi="SimSun" w:cs="SimSun"/>
          <w:spacing w:val="-71"/>
          <w:sz w:val="24"/>
          <w:szCs w:val="24"/>
        </w:rPr>
        <w:t xml:space="preserve"> </w:t>
      </w:r>
      <w:r>
        <w:rPr>
          <w:rFonts w:ascii="SimSun" w:eastAsia="SimSun" w:hAnsi="SimSun" w:cs="SimSun"/>
          <w:spacing w:val="-4"/>
          <w:sz w:val="24"/>
          <w:szCs w:val="24"/>
        </w:rPr>
        <w:t>利用生物技术制备的香料化合物亦被认为是天然香料，包括</w:t>
      </w:r>
      <w:r>
        <w:rPr>
          <w:rFonts w:ascii="SimSun" w:eastAsia="SimSun" w:hAnsi="SimSun" w:cs="SimSun"/>
          <w:spacing w:val="-5"/>
          <w:sz w:val="24"/>
          <w:szCs w:val="24"/>
        </w:rPr>
        <w:t xml:space="preserve">利用基  </w:t>
      </w:r>
      <w:r>
        <w:rPr>
          <w:rFonts w:ascii="SimSun" w:eastAsia="SimSun" w:hAnsi="SimSun" w:cs="SimSun"/>
          <w:spacing w:val="-3"/>
          <w:sz w:val="24"/>
          <w:szCs w:val="24"/>
        </w:rPr>
        <w:t xml:space="preserve">因工程、细胞工程、酶工程、发酵工程等生物技术进行香料的生产，其中发酵工  </w:t>
      </w:r>
      <w:r>
        <w:rPr>
          <w:rFonts w:ascii="SimSun" w:eastAsia="SimSun" w:hAnsi="SimSun" w:cs="SimSun"/>
          <w:spacing w:val="-9"/>
          <w:sz w:val="24"/>
          <w:szCs w:val="24"/>
        </w:rPr>
        <w:t xml:space="preserve">程指以工农业产物为原料， 利用微生物发酵工艺生产多种天然香料， 是目前被广  </w:t>
      </w:r>
      <w:r>
        <w:rPr>
          <w:rFonts w:ascii="SimSun" w:eastAsia="SimSun" w:hAnsi="SimSun" w:cs="SimSun"/>
          <w:spacing w:val="-3"/>
          <w:sz w:val="24"/>
          <w:szCs w:val="24"/>
        </w:rPr>
        <w:t xml:space="preserve">泛应用于生产香料的生物技术。同时利用生物技术制备香料反应条件温和、污染  </w:t>
      </w:r>
      <w:r>
        <w:rPr>
          <w:rFonts w:ascii="SimSun" w:eastAsia="SimSun" w:hAnsi="SimSun" w:cs="SimSun"/>
          <w:spacing w:val="-6"/>
          <w:sz w:val="24"/>
          <w:szCs w:val="24"/>
        </w:rPr>
        <w:t>小，</w:t>
      </w:r>
      <w:r>
        <w:rPr>
          <w:rFonts w:ascii="SimSun" w:eastAsia="SimSun" w:hAnsi="SimSun" w:cs="SimSun"/>
          <w:spacing w:val="-65"/>
          <w:sz w:val="24"/>
          <w:szCs w:val="24"/>
        </w:rPr>
        <w:t xml:space="preserve"> </w:t>
      </w:r>
      <w:r>
        <w:rPr>
          <w:rFonts w:ascii="SimSun" w:eastAsia="SimSun" w:hAnsi="SimSun" w:cs="SimSun"/>
          <w:spacing w:val="-6"/>
          <w:sz w:val="24"/>
          <w:szCs w:val="24"/>
        </w:rPr>
        <w:t>且原料底物为可再生资源，</w:t>
      </w:r>
      <w:r>
        <w:rPr>
          <w:rFonts w:ascii="SimSun" w:eastAsia="SimSun" w:hAnsi="SimSun" w:cs="SimSun"/>
          <w:spacing w:val="-57"/>
          <w:sz w:val="24"/>
          <w:szCs w:val="24"/>
        </w:rPr>
        <w:t xml:space="preserve"> </w:t>
      </w:r>
      <w:r>
        <w:rPr>
          <w:rFonts w:ascii="SimSun" w:eastAsia="SimSun" w:hAnsi="SimSun" w:cs="SimSun"/>
          <w:spacing w:val="-6"/>
          <w:sz w:val="24"/>
          <w:szCs w:val="24"/>
        </w:rPr>
        <w:t>更符合绿色化</w:t>
      </w:r>
      <w:r>
        <w:rPr>
          <w:rFonts w:ascii="SimSun" w:eastAsia="SimSun" w:hAnsi="SimSun" w:cs="SimSun"/>
          <w:spacing w:val="-7"/>
          <w:sz w:val="24"/>
          <w:szCs w:val="24"/>
        </w:rPr>
        <w:t>学的原则，为天然香料的生产制备</w:t>
      </w:r>
      <w:r>
        <w:rPr>
          <w:rFonts w:ascii="SimSun" w:eastAsia="SimSun" w:hAnsi="SimSun" w:cs="SimSun"/>
          <w:sz w:val="24"/>
          <w:szCs w:val="24"/>
        </w:rPr>
        <w:t xml:space="preserve">   </w:t>
      </w:r>
      <w:r>
        <w:rPr>
          <w:rFonts w:ascii="SimSun" w:eastAsia="SimSun" w:hAnsi="SimSun" w:cs="SimSun"/>
          <w:spacing w:val="-6"/>
          <w:sz w:val="24"/>
          <w:szCs w:val="24"/>
        </w:rPr>
        <w:t xml:space="preserve">开辟了新的发展路径， 满足了市场对天然香料持续增长的需求。目前天然香料行  </w:t>
      </w:r>
      <w:r>
        <w:rPr>
          <w:rFonts w:ascii="SimSun" w:eastAsia="SimSun" w:hAnsi="SimSun" w:cs="SimSun"/>
          <w:spacing w:val="-6"/>
          <w:sz w:val="24"/>
          <w:szCs w:val="24"/>
        </w:rPr>
        <w:t xml:space="preserve">业的全球市场主要由美国、法国等发达国家主导， 但我国在天然香料行业拥有丰  </w:t>
      </w:r>
      <w:r>
        <w:rPr>
          <w:rFonts w:ascii="SimSun" w:eastAsia="SimSun" w:hAnsi="SimSun" w:cs="SimSun"/>
          <w:spacing w:val="-4"/>
          <w:sz w:val="24"/>
          <w:szCs w:val="24"/>
        </w:rPr>
        <w:t>富的资源，随着我国香料相关企业持续加大对相关技术的研发和应</w:t>
      </w:r>
      <w:r>
        <w:rPr>
          <w:rFonts w:ascii="SimSun" w:eastAsia="SimSun" w:hAnsi="SimSun" w:cs="SimSun"/>
          <w:spacing w:val="-5"/>
          <w:sz w:val="24"/>
          <w:szCs w:val="24"/>
        </w:rPr>
        <w:t>用，</w:t>
      </w:r>
      <w:r>
        <w:rPr>
          <w:rFonts w:ascii="SimSun" w:eastAsia="SimSun" w:hAnsi="SimSun" w:cs="SimSun"/>
          <w:spacing w:val="-69"/>
          <w:sz w:val="24"/>
          <w:szCs w:val="24"/>
        </w:rPr>
        <w:t xml:space="preserve"> </w:t>
      </w:r>
      <w:r>
        <w:rPr>
          <w:rFonts w:ascii="SimSun" w:eastAsia="SimSun" w:hAnsi="SimSun" w:cs="SimSun"/>
          <w:spacing w:val="-5"/>
          <w:sz w:val="24"/>
          <w:szCs w:val="24"/>
        </w:rPr>
        <w:t>未来我国</w:t>
      </w:r>
    </w:p>
    <w:p>
      <w:pPr>
        <w:spacing w:line="219" w:lineRule="auto"/>
        <w:ind w:left="45"/>
        <w:rPr>
          <w:rFonts w:ascii="SimSun" w:eastAsia="SimSun" w:hAnsi="SimSun" w:cs="SimSun"/>
          <w:sz w:val="24"/>
          <w:szCs w:val="24"/>
        </w:rPr>
      </w:pPr>
      <w:r>
        <w:rPr>
          <w:rFonts w:ascii="SimSun" w:eastAsia="SimSun" w:hAnsi="SimSun" w:cs="SimSun"/>
          <w:spacing w:val="-2"/>
          <w:sz w:val="24"/>
          <w:szCs w:val="24"/>
        </w:rPr>
        <w:t>的生物技术香料将拥有巨大的发展潜力和市场增长空间。</w:t>
      </w:r>
    </w:p>
    <w:p>
      <w:pPr>
        <w:pStyle w:val="BodyText"/>
        <w:spacing w:line="259" w:lineRule="auto"/>
      </w:pPr>
    </w:p>
    <w:p>
      <w:pPr>
        <w:spacing w:before="79" w:line="218" w:lineRule="auto"/>
        <w:ind w:left="521"/>
        <w:outlineLvl w:val="1"/>
        <w:rPr>
          <w:rFonts w:ascii="SimHei" w:eastAsia="SimHei" w:hAnsi="SimHei" w:cs="SimHei"/>
          <w:sz w:val="24"/>
          <w:szCs w:val="24"/>
        </w:rPr>
      </w:pPr>
      <w:r>
        <w:rPr>
          <w:rFonts w:ascii="SimHei" w:eastAsia="SimHei" w:hAnsi="SimHei" w:cs="SimHei"/>
          <w:sz w:val="24"/>
          <w:szCs w:val="24"/>
          <w14:textOutline w14:w="4354">
            <w14:solidFill>
              <w14:srgbClr w14:val="000000"/>
            </w14:solidFill>
            <w14:prstDash w14:val="solid"/>
            <w14:miter w14:lim="10"/>
          </w14:textOutline>
        </w:rPr>
        <w:t>（二）本次发行的目的</w:t>
      </w:r>
    </w:p>
    <w:p>
      <w:pPr>
        <w:pStyle w:val="BodyText"/>
        <w:spacing w:line="273" w:lineRule="auto"/>
      </w:pPr>
    </w:p>
    <w:p>
      <w:pPr>
        <w:spacing w:before="78" w:line="210" w:lineRule="auto"/>
        <w:ind w:left="512"/>
        <w:rPr>
          <w:rFonts w:ascii="SimHei" w:eastAsia="SimHei" w:hAnsi="SimHei" w:cs="SimHei"/>
          <w:sz w:val="24"/>
          <w:szCs w:val="24"/>
        </w:rPr>
      </w:pPr>
      <w:r>
        <w:rPr>
          <w:rFonts w:ascii="Times New Roman" w:eastAsia="Times New Roman" w:hAnsi="Times New Roman" w:cs="Times New Roman"/>
          <w:b/>
          <w:bCs/>
          <w:spacing w:val="-3"/>
          <w:sz w:val="24"/>
          <w:szCs w:val="24"/>
        </w:rPr>
        <w:t>1</w:t>
      </w:r>
      <w:r>
        <w:rPr>
          <w:rFonts w:ascii="SimHei" w:eastAsia="SimHei" w:hAnsi="SimHei" w:cs="SimHei"/>
          <w:spacing w:val="-3"/>
          <w:sz w:val="24"/>
          <w:szCs w:val="24"/>
          <w14:textOutline w14:w="4354">
            <w14:solidFill>
              <w14:srgbClr w14:val="000000"/>
            </w14:solidFill>
            <w14:prstDash w14:val="solid"/>
            <w14:miter w14:lim="10"/>
          </w14:textOutline>
        </w:rPr>
        <w:t>、通过实施本次募投项目，</w:t>
      </w:r>
      <w:r>
        <w:rPr>
          <w:rFonts w:ascii="SimHei" w:eastAsia="SimHei" w:hAnsi="SimHei" w:cs="SimHei"/>
          <w:spacing w:val="-11"/>
          <w:sz w:val="24"/>
          <w:szCs w:val="24"/>
        </w:rPr>
        <w:t xml:space="preserve"> </w:t>
      </w:r>
      <w:r>
        <w:rPr>
          <w:rFonts w:ascii="SimHei" w:eastAsia="SimHei" w:hAnsi="SimHei" w:cs="SimHei"/>
          <w:spacing w:val="-3"/>
          <w:sz w:val="24"/>
          <w:szCs w:val="24"/>
          <w14:textOutline w14:w="4354">
            <w14:solidFill>
              <w14:srgbClr w14:val="000000"/>
            </w14:solidFill>
            <w14:prstDash w14:val="solid"/>
            <w14:miter w14:lim="10"/>
          </w14:textOutline>
        </w:rPr>
        <w:t>满足下游客户多元化需求</w:t>
      </w:r>
    </w:p>
    <w:p>
      <w:pPr>
        <w:spacing w:before="245" w:line="360" w:lineRule="auto"/>
        <w:ind w:left="25" w:right="148" w:firstLine="480"/>
        <w:jc w:val="both"/>
        <w:rPr>
          <w:rFonts w:ascii="SimSun" w:eastAsia="SimSun" w:hAnsi="SimSun" w:cs="SimSun"/>
          <w:sz w:val="24"/>
          <w:szCs w:val="24"/>
        </w:rPr>
      </w:pPr>
      <w:r>
        <w:rPr>
          <w:rFonts w:ascii="SimSun" w:eastAsia="SimSun" w:hAnsi="SimSun" w:cs="SimSun"/>
          <w:spacing w:val="-7"/>
          <w:sz w:val="24"/>
          <w:szCs w:val="24"/>
        </w:rPr>
        <w:t>通过本次项目建设， 公司将持续深化在天然香料领域深耕的发展战略，有效</w:t>
      </w:r>
      <w:r>
        <w:rPr>
          <w:rFonts w:ascii="SimSun" w:eastAsia="SimSun" w:hAnsi="SimSun" w:cs="SimSun"/>
          <w:spacing w:val="18"/>
          <w:sz w:val="24"/>
          <w:szCs w:val="24"/>
        </w:rPr>
        <w:t xml:space="preserve"> </w:t>
      </w:r>
      <w:r>
        <w:rPr>
          <w:rFonts w:ascii="SimSun" w:eastAsia="SimSun" w:hAnsi="SimSun" w:cs="SimSun"/>
          <w:spacing w:val="-9"/>
          <w:sz w:val="24"/>
          <w:szCs w:val="24"/>
        </w:rPr>
        <w:t>扩充天然香料系列产品的生产规模， 优化公司产品结构， 满足客户多元</w:t>
      </w:r>
      <w:r>
        <w:rPr>
          <w:rFonts w:ascii="SimSun" w:eastAsia="SimSun" w:hAnsi="SimSun" w:cs="SimSun"/>
          <w:spacing w:val="-10"/>
          <w:sz w:val="24"/>
          <w:szCs w:val="24"/>
        </w:rPr>
        <w:t>化的产品</w:t>
      </w:r>
      <w:r>
        <w:rPr>
          <w:rFonts w:ascii="SimSun" w:eastAsia="SimSun" w:hAnsi="SimSun" w:cs="SimSun"/>
          <w:sz w:val="24"/>
          <w:szCs w:val="24"/>
        </w:rPr>
        <w:t xml:space="preserve"> </w:t>
      </w:r>
      <w:r>
        <w:rPr>
          <w:rFonts w:ascii="SimSun" w:eastAsia="SimSun" w:hAnsi="SimSun" w:cs="SimSun"/>
          <w:spacing w:val="-1"/>
          <w:sz w:val="24"/>
          <w:szCs w:val="24"/>
        </w:rPr>
        <w:t>需求，增强公司与客户在业务方面的黏性，进而增加公司未来新的盈利增长点，</w:t>
      </w:r>
    </w:p>
    <w:p>
      <w:pPr>
        <w:spacing w:line="219" w:lineRule="auto"/>
        <w:ind w:left="26"/>
        <w:rPr>
          <w:rFonts w:ascii="SimSun" w:eastAsia="SimSun" w:hAnsi="SimSun" w:cs="SimSun"/>
          <w:sz w:val="24"/>
          <w:szCs w:val="24"/>
        </w:rPr>
      </w:pPr>
      <w:r>
        <w:rPr>
          <w:rFonts w:ascii="SimSun" w:eastAsia="SimSun" w:hAnsi="SimSun" w:cs="SimSun"/>
          <w:spacing w:val="-1"/>
          <w:sz w:val="24"/>
          <w:szCs w:val="24"/>
        </w:rPr>
        <w:t>有利于提升公司产品市场竞争力，实现全体股东利益的最</w:t>
      </w:r>
      <w:r>
        <w:rPr>
          <w:rFonts w:ascii="SimSun" w:eastAsia="SimSun" w:hAnsi="SimSun" w:cs="SimSun"/>
          <w:spacing w:val="-2"/>
          <w:sz w:val="24"/>
          <w:szCs w:val="24"/>
        </w:rPr>
        <w:t>大化。</w:t>
      </w:r>
    </w:p>
    <w:p>
      <w:pPr>
        <w:spacing w:before="256" w:line="210" w:lineRule="auto"/>
        <w:ind w:left="502"/>
        <w:outlineLvl w:val="2"/>
        <w:rPr>
          <w:rFonts w:ascii="SimHei" w:eastAsia="SimHei" w:hAnsi="SimHei" w:cs="SimHei"/>
          <w:sz w:val="24"/>
          <w:szCs w:val="24"/>
        </w:rPr>
      </w:pPr>
      <w:r>
        <w:rPr>
          <w:rFonts w:ascii="Times New Roman" w:eastAsia="Times New Roman" w:hAnsi="Times New Roman" w:cs="Times New Roman"/>
          <w:b/>
          <w:bCs/>
          <w:spacing w:val="2"/>
          <w:sz w:val="24"/>
          <w:szCs w:val="24"/>
        </w:rPr>
        <w:t>2</w:t>
      </w:r>
      <w:r>
        <w:rPr>
          <w:rFonts w:ascii="SimHei" w:eastAsia="SimHei" w:hAnsi="SimHei" w:cs="SimHei"/>
          <w:spacing w:val="2"/>
          <w:sz w:val="24"/>
          <w:szCs w:val="24"/>
          <w14:textOutline w14:w="4354">
            <w14:solidFill>
              <w14:srgbClr w14:val="000000"/>
            </w14:solidFill>
            <w14:prstDash w14:val="solid"/>
            <w14:miter w14:lim="10"/>
          </w14:textOutline>
        </w:rPr>
        <w:t>、增强资金实力，满足未来业务发展资金需求</w:t>
      </w:r>
    </w:p>
    <w:p>
      <w:pPr>
        <w:spacing w:before="244" w:line="360" w:lineRule="auto"/>
        <w:ind w:left="25" w:right="156" w:firstLine="487"/>
        <w:rPr>
          <w:rFonts w:ascii="SimSun" w:eastAsia="SimSun" w:hAnsi="SimSun" w:cs="SimSun"/>
          <w:sz w:val="24"/>
          <w:szCs w:val="24"/>
        </w:rPr>
        <w:sectPr>
          <w:footerReference w:type="default" r:id="rId7"/>
          <w:pgSz w:w="11905" w:h="16836"/>
          <w:pgMar w:top="1431" w:right="1576" w:bottom="902" w:left="1785" w:header="0" w:footer="711" w:gutter="0"/>
          <w:pgNumType w:start="7"/>
          <w:cols w:space="708"/>
        </w:sectPr>
      </w:pPr>
      <w:r>
        <w:rPr>
          <w:rFonts w:ascii="SimSun" w:eastAsia="SimSun" w:hAnsi="SimSun" w:cs="SimSun"/>
          <w:spacing w:val="-3"/>
          <w:sz w:val="24"/>
          <w:szCs w:val="24"/>
        </w:rPr>
        <w:t>公司扩大经营规模、提升市场竞争力需要资金支持和保障。本</w:t>
      </w:r>
      <w:r>
        <w:rPr>
          <w:rFonts w:ascii="SimSun" w:eastAsia="SimSun" w:hAnsi="SimSun" w:cs="SimSun"/>
          <w:spacing w:val="-4"/>
          <w:sz w:val="24"/>
          <w:szCs w:val="24"/>
        </w:rPr>
        <w:t>次募集资金到</w:t>
      </w:r>
      <w:r>
        <w:rPr>
          <w:rFonts w:ascii="SimSun" w:eastAsia="SimSun" w:hAnsi="SimSun" w:cs="SimSun"/>
          <w:sz w:val="24"/>
          <w:szCs w:val="24"/>
        </w:rPr>
        <w:t xml:space="preserve"> </w:t>
      </w:r>
      <w:r>
        <w:rPr>
          <w:rFonts w:ascii="SimSun" w:eastAsia="SimSun" w:hAnsi="SimSun" w:cs="SimSun"/>
          <w:spacing w:val="-1"/>
          <w:sz w:val="24"/>
          <w:szCs w:val="24"/>
        </w:rPr>
        <w:t>位后，公司的资金实力将得到进一步增强，可有效解决公司对流</w:t>
      </w:r>
      <w:r>
        <w:rPr>
          <w:rFonts w:ascii="SimSun" w:eastAsia="SimSun" w:hAnsi="SimSun" w:cs="SimSun"/>
          <w:spacing w:val="-2"/>
          <w:sz w:val="24"/>
          <w:szCs w:val="24"/>
        </w:rPr>
        <w:t>动资金的需求，</w:t>
      </w:r>
      <w:r>
        <w:rPr>
          <w:rFonts w:ascii="SimSun" w:eastAsia="SimSun" w:hAnsi="SimSun" w:cs="SimSun"/>
          <w:sz w:val="24"/>
          <w:szCs w:val="24"/>
        </w:rPr>
        <w:t xml:space="preserve"> </w:t>
      </w:r>
      <w:r>
        <w:rPr>
          <w:rFonts w:ascii="SimSun" w:eastAsia="SimSun" w:hAnsi="SimSun" w:cs="SimSun"/>
          <w:spacing w:val="-14"/>
          <w:sz w:val="24"/>
          <w:szCs w:val="24"/>
        </w:rPr>
        <w:t>可进一步保障公司稳健的资本结构，</w:t>
      </w:r>
      <w:r>
        <w:rPr>
          <w:rFonts w:ascii="SimSun" w:eastAsia="SimSun" w:hAnsi="SimSun" w:cs="SimSun"/>
          <w:spacing w:val="-44"/>
          <w:sz w:val="24"/>
          <w:szCs w:val="24"/>
        </w:rPr>
        <w:t xml:space="preserve"> </w:t>
      </w:r>
      <w:r>
        <w:rPr>
          <w:rFonts w:ascii="SimSun" w:eastAsia="SimSun" w:hAnsi="SimSun" w:cs="SimSun"/>
          <w:spacing w:val="-14"/>
          <w:sz w:val="24"/>
          <w:szCs w:val="24"/>
        </w:rPr>
        <w:t>增强公司抗风险能力，</w:t>
      </w:r>
      <w:r>
        <w:rPr>
          <w:rFonts w:ascii="SimSun" w:eastAsia="SimSun" w:hAnsi="SimSun" w:cs="SimSun"/>
          <w:spacing w:val="-46"/>
          <w:sz w:val="24"/>
          <w:szCs w:val="24"/>
        </w:rPr>
        <w:t xml:space="preserve"> </w:t>
      </w:r>
      <w:r>
        <w:rPr>
          <w:rFonts w:ascii="SimSun" w:eastAsia="SimSun" w:hAnsi="SimSun" w:cs="SimSun"/>
          <w:spacing w:val="-14"/>
          <w:sz w:val="24"/>
          <w:szCs w:val="24"/>
        </w:rPr>
        <w:t>促进公司持续、稳定、</w:t>
      </w:r>
    </w:p>
    <w:p>
      <w:pPr>
        <w:spacing w:line="219" w:lineRule="auto"/>
        <w:ind w:left="25"/>
        <w:rPr>
          <w:rFonts w:ascii="SimSun" w:eastAsia="SimSun" w:hAnsi="SimSun" w:cs="SimSun"/>
          <w:sz w:val="24"/>
          <w:szCs w:val="24"/>
        </w:rPr>
      </w:pPr>
      <w:r>
        <w:rPr>
          <w:rFonts w:ascii="SimSun" w:eastAsia="SimSun" w:hAnsi="SimSun" w:cs="SimSun"/>
          <w:spacing w:val="-7"/>
          <w:sz w:val="24"/>
          <w:szCs w:val="24"/>
        </w:rPr>
        <w:t>健康发展。</w:t>
      </w:r>
    </w:p>
    <w:p>
      <w:pPr>
        <w:spacing w:line="219" w:lineRule="auto"/>
        <w:rPr>
          <w:rFonts w:ascii="SimSun" w:eastAsia="SimSun" w:hAnsi="SimSun" w:cs="SimSun"/>
          <w:sz w:val="24"/>
          <w:szCs w:val="24"/>
        </w:rPr>
        <w:sectPr>
          <w:footerReference w:type="default" r:id="rId8"/>
          <w:type w:val="nextPage"/>
          <w:pgSz w:w="11905" w:h="16836"/>
          <w:pgMar w:top="1431" w:right="1576" w:bottom="902" w:left="1785" w:header="0" w:footer="711" w:gutter="0"/>
          <w:pgNumType w:start="8"/>
          <w:cols w:space="708"/>
          <w:titlePg w:val="0"/>
        </w:sectPr>
      </w:pPr>
    </w:p>
    <w:p>
      <w:pPr>
        <w:spacing w:before="193" w:line="222" w:lineRule="auto"/>
        <w:ind w:left="596"/>
        <w:outlineLvl w:val="0"/>
        <w:rPr>
          <w:rFonts w:ascii="SimHei" w:eastAsia="SimHei" w:hAnsi="SimHei" w:cs="SimHei"/>
          <w:sz w:val="27"/>
          <w:szCs w:val="27"/>
        </w:rPr>
      </w:pPr>
      <w:r>
        <w:rPr>
          <w:rFonts w:ascii="SimHei" w:eastAsia="SimHei" w:hAnsi="SimHei" w:cs="SimHei"/>
          <w:spacing w:val="12"/>
          <w:sz w:val="27"/>
          <w:szCs w:val="27"/>
          <w14:textOutline w14:w="5007">
            <w14:solidFill>
              <w14:srgbClr w14:val="000000"/>
            </w14:solidFill>
            <w14:prstDash w14:val="solid"/>
            <w14:miter w14:lim="10"/>
          </w14:textOutline>
        </w:rPr>
        <w:t>二、本次发行证券及其品种选择的必要性</w:t>
      </w:r>
    </w:p>
    <w:p>
      <w:pPr>
        <w:spacing w:before="294"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（一）本次发行证券的品种</w:t>
      </w:r>
    </w:p>
    <w:p>
      <w:pPr>
        <w:spacing w:before="232" w:line="468" w:lineRule="exact"/>
        <w:ind w:left="513"/>
        <w:rPr>
          <w:rFonts w:ascii="SimSun" w:eastAsia="SimSun" w:hAnsi="SimSun" w:cs="SimSun"/>
          <w:sz w:val="24"/>
          <w:szCs w:val="24"/>
        </w:rPr>
      </w:pPr>
      <w:r>
        <w:rPr>
          <w:rFonts w:ascii="SimSun" w:eastAsia="SimSun" w:hAnsi="SimSun" w:cs="SimSun"/>
          <w:spacing w:val="4"/>
          <w:position w:val="17"/>
          <w:sz w:val="24"/>
          <w:szCs w:val="24"/>
        </w:rPr>
        <w:t>公司本次以简易程序向特定对象发行的股票种类为境内上市的</w:t>
      </w:r>
      <w:r>
        <w:rPr>
          <w:rFonts w:ascii="SimSun" w:eastAsia="SimSun" w:hAnsi="SimSun" w:cs="SimSun"/>
          <w:spacing w:val="3"/>
          <w:position w:val="17"/>
          <w:sz w:val="24"/>
          <w:szCs w:val="24"/>
        </w:rPr>
        <w:t>人民币普通</w:t>
      </w:r>
    </w:p>
    <w:p>
      <w:pPr>
        <w:spacing w:before="1" w:line="218" w:lineRule="auto"/>
        <w:ind w:left="25"/>
        <w:rPr>
          <w:rFonts w:ascii="SimSun" w:eastAsia="SimSun" w:hAnsi="SimSun" w:cs="SimSun"/>
          <w:sz w:val="24"/>
          <w:szCs w:val="24"/>
        </w:rPr>
      </w:pPr>
      <w:r>
        <w:rPr>
          <w:rFonts w:ascii="SimSun" w:eastAsia="SimSun" w:hAnsi="SimSun" w:cs="SimSun"/>
          <w:spacing w:val="-6"/>
          <w:sz w:val="24"/>
          <w:szCs w:val="24"/>
        </w:rPr>
        <w:t>股（</w:t>
      </w:r>
      <w:r>
        <w:rPr>
          <w:rFonts w:ascii="Times New Roman" w:eastAsia="Times New Roman" w:hAnsi="Times New Roman" w:cs="Times New Roman"/>
          <w:spacing w:val="-6"/>
          <w:sz w:val="24"/>
          <w:szCs w:val="24"/>
        </w:rPr>
        <w:t xml:space="preserve">A </w:t>
      </w:r>
      <w:r>
        <w:rPr>
          <w:rFonts w:ascii="SimSun" w:eastAsia="SimSun" w:hAnsi="SimSun" w:cs="SimSun"/>
          <w:spacing w:val="-6"/>
          <w:sz w:val="24"/>
          <w:szCs w:val="24"/>
        </w:rPr>
        <w:t>股</w:t>
      </w:r>
      <w:r>
        <w:rPr>
          <w:rFonts w:ascii="SimSun" w:eastAsia="SimSun" w:hAnsi="SimSun" w:cs="SimSun"/>
          <w:spacing w:val="-26"/>
          <w:sz w:val="24"/>
          <w:szCs w:val="24"/>
        </w:rPr>
        <w:t>），</w:t>
      </w:r>
      <w:r>
        <w:rPr>
          <w:rFonts w:ascii="SimSun" w:eastAsia="SimSun" w:hAnsi="SimSun" w:cs="SimSun"/>
          <w:spacing w:val="-6"/>
          <w:sz w:val="24"/>
          <w:szCs w:val="24"/>
        </w:rPr>
        <w:t>每股面值为人民币</w:t>
      </w:r>
      <w:r>
        <w:rPr>
          <w:rFonts w:ascii="SimSun" w:eastAsia="SimSun" w:hAnsi="SimSun" w:cs="SimSun"/>
          <w:spacing w:val="-32"/>
          <w:sz w:val="24"/>
          <w:szCs w:val="24"/>
        </w:rPr>
        <w:t xml:space="preserve"> </w:t>
      </w:r>
      <w:r>
        <w:rPr>
          <w:rFonts w:ascii="Times New Roman" w:eastAsia="Times New Roman" w:hAnsi="Times New Roman" w:cs="Times New Roman"/>
          <w:spacing w:val="-6"/>
          <w:sz w:val="24"/>
          <w:szCs w:val="24"/>
        </w:rPr>
        <w:t xml:space="preserve">1.00 </w:t>
      </w:r>
      <w:r>
        <w:rPr>
          <w:rFonts w:ascii="SimSun" w:eastAsia="SimSun" w:hAnsi="SimSun" w:cs="SimSun"/>
          <w:spacing w:val="-6"/>
          <w:sz w:val="24"/>
          <w:szCs w:val="24"/>
        </w:rPr>
        <w:t>元。</w:t>
      </w:r>
    </w:p>
    <w:p>
      <w:pPr>
        <w:spacing w:before="256"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（二）本次发行证券品种选择的必要性</w:t>
      </w:r>
    </w:p>
    <w:p>
      <w:pPr>
        <w:spacing w:before="257" w:line="218" w:lineRule="auto"/>
        <w:ind w:left="512"/>
        <w:outlineLvl w:val="2"/>
        <w:rPr>
          <w:rFonts w:ascii="SimHei" w:eastAsia="SimHei" w:hAnsi="SimHei" w:cs="SimHei"/>
          <w:sz w:val="24"/>
          <w:szCs w:val="24"/>
        </w:rPr>
      </w:pPr>
      <w:r>
        <w:rPr>
          <w:rFonts w:ascii="Times New Roman" w:eastAsia="Times New Roman" w:hAnsi="Times New Roman" w:cs="Times New Roman"/>
          <w:b/>
          <w:bCs/>
          <w:spacing w:val="2"/>
          <w:sz w:val="24"/>
          <w:szCs w:val="24"/>
        </w:rPr>
        <w:t>1</w:t>
      </w:r>
      <w:r>
        <w:rPr>
          <w:rFonts w:ascii="SimHei" w:eastAsia="SimHei" w:hAnsi="SimHei" w:cs="SimHei"/>
          <w:spacing w:val="2"/>
          <w:sz w:val="24"/>
          <w:szCs w:val="24"/>
          <w14:textOutline w14:w="4354">
            <w14:solidFill>
              <w14:srgbClr w14:val="000000"/>
            </w14:solidFill>
            <w14:prstDash w14:val="solid"/>
            <w14:miter w14:lim="10"/>
          </w14:textOutline>
        </w:rPr>
        <w:t>、满足公司经营发展资金需求</w:t>
      </w:r>
    </w:p>
    <w:p>
      <w:pPr>
        <w:spacing w:before="234" w:line="360" w:lineRule="auto"/>
        <w:ind w:left="24" w:right="3" w:firstLine="488"/>
        <w:jc w:val="both"/>
        <w:rPr>
          <w:rFonts w:ascii="SimSun" w:eastAsia="SimSun" w:hAnsi="SimSun" w:cs="SimSun"/>
          <w:sz w:val="24"/>
          <w:szCs w:val="24"/>
        </w:rPr>
      </w:pPr>
      <w:r>
        <w:rPr>
          <w:rFonts w:ascii="SimSun" w:eastAsia="SimSun" w:hAnsi="SimSun" w:cs="SimSun"/>
          <w:spacing w:val="-4"/>
          <w:sz w:val="24"/>
          <w:szCs w:val="24"/>
        </w:rPr>
        <w:t xml:space="preserve">公司本次募集资金投向符合国家产业政策及公司战略发展规划，募集资金投 </w:t>
      </w:r>
      <w:r>
        <w:rPr>
          <w:rFonts w:ascii="SimSun" w:eastAsia="SimSun" w:hAnsi="SimSun" w:cs="SimSun"/>
          <w:sz w:val="24"/>
          <w:szCs w:val="24"/>
        </w:rPr>
        <w:t>资项目具有良好的发展前景，有利于进一步提</w:t>
      </w:r>
      <w:r>
        <w:rPr>
          <w:rFonts w:ascii="SimSun" w:eastAsia="SimSun" w:hAnsi="SimSun" w:cs="SimSun"/>
          <w:spacing w:val="-1"/>
          <w:sz w:val="24"/>
          <w:szCs w:val="24"/>
        </w:rPr>
        <w:t>升公司的行业地位和抗风险能力。</w:t>
      </w:r>
      <w:r>
        <w:rPr>
          <w:rFonts w:ascii="SimSun" w:eastAsia="SimSun" w:hAnsi="SimSun" w:cs="SimSun"/>
          <w:sz w:val="24"/>
          <w:szCs w:val="24"/>
        </w:rPr>
        <w:t xml:space="preserve"> </w:t>
      </w:r>
      <w:r>
        <w:rPr>
          <w:rFonts w:ascii="SimSun" w:eastAsia="SimSun" w:hAnsi="SimSun" w:cs="SimSun"/>
          <w:spacing w:val="-11"/>
          <w:sz w:val="24"/>
          <w:szCs w:val="24"/>
        </w:rPr>
        <w:t>募集资金到位后，</w:t>
      </w:r>
      <w:r>
        <w:rPr>
          <w:rFonts w:ascii="SimSun" w:eastAsia="SimSun" w:hAnsi="SimSun" w:cs="SimSun"/>
          <w:spacing w:val="26"/>
          <w:sz w:val="24"/>
          <w:szCs w:val="24"/>
        </w:rPr>
        <w:t xml:space="preserve"> </w:t>
      </w:r>
      <w:r>
        <w:rPr>
          <w:rFonts w:ascii="SimSun" w:eastAsia="SimSun" w:hAnsi="SimSun" w:cs="SimSun"/>
          <w:spacing w:val="-11"/>
          <w:sz w:val="24"/>
          <w:szCs w:val="24"/>
        </w:rPr>
        <w:t>有助于增强公司资本实力、缓解公司营运资金</w:t>
      </w:r>
      <w:r>
        <w:rPr>
          <w:rFonts w:ascii="SimSun" w:eastAsia="SimSun" w:hAnsi="SimSun" w:cs="SimSun"/>
          <w:spacing w:val="-12"/>
          <w:sz w:val="24"/>
          <w:szCs w:val="24"/>
        </w:rPr>
        <w:t>压力，</w:t>
      </w:r>
      <w:r>
        <w:rPr>
          <w:rFonts w:ascii="SimSun" w:eastAsia="SimSun" w:hAnsi="SimSun" w:cs="SimSun"/>
          <w:spacing w:val="26"/>
          <w:sz w:val="24"/>
          <w:szCs w:val="24"/>
        </w:rPr>
        <w:t xml:space="preserve"> </w:t>
      </w:r>
      <w:r>
        <w:rPr>
          <w:rFonts w:ascii="SimSun" w:eastAsia="SimSun" w:hAnsi="SimSun" w:cs="SimSun"/>
          <w:spacing w:val="-12"/>
          <w:sz w:val="24"/>
          <w:szCs w:val="24"/>
        </w:rPr>
        <w:t>提高公司</w:t>
      </w:r>
    </w:p>
    <w:p>
      <w:pPr>
        <w:spacing w:before="1" w:line="218" w:lineRule="auto"/>
        <w:jc w:val="right"/>
        <w:rPr>
          <w:rFonts w:ascii="SimSun" w:eastAsia="SimSun" w:hAnsi="SimSun" w:cs="SimSun"/>
          <w:sz w:val="24"/>
          <w:szCs w:val="24"/>
        </w:rPr>
      </w:pPr>
      <w:r>
        <w:rPr>
          <w:rFonts w:ascii="SimSun" w:eastAsia="SimSun" w:hAnsi="SimSun" w:cs="SimSun"/>
          <w:spacing w:val="-7"/>
          <w:sz w:val="24"/>
          <w:szCs w:val="24"/>
        </w:rPr>
        <w:t>整体竞争力，为公司未来经营发展提供有力的保障，符合公司及全体股东的利</w:t>
      </w:r>
      <w:r>
        <w:rPr>
          <w:rFonts w:ascii="SimSun" w:eastAsia="SimSun" w:hAnsi="SimSun" w:cs="SimSun"/>
          <w:spacing w:val="-8"/>
          <w:sz w:val="24"/>
          <w:szCs w:val="24"/>
        </w:rPr>
        <w:t>益。</w:t>
      </w:r>
    </w:p>
    <w:p>
      <w:pPr>
        <w:spacing w:before="256" w:line="218" w:lineRule="auto"/>
        <w:ind w:left="502"/>
        <w:outlineLvl w:val="2"/>
        <w:rPr>
          <w:rFonts w:ascii="SimHei" w:eastAsia="SimHei" w:hAnsi="SimHei" w:cs="SimHei"/>
          <w:sz w:val="24"/>
          <w:szCs w:val="24"/>
        </w:rPr>
      </w:pPr>
      <w:r>
        <w:rPr>
          <w:rFonts w:ascii="Times New Roman" w:eastAsia="Times New Roman" w:hAnsi="Times New Roman" w:cs="Times New Roman"/>
          <w:b/>
          <w:bCs/>
          <w:spacing w:val="2"/>
          <w:sz w:val="24"/>
          <w:szCs w:val="24"/>
        </w:rPr>
        <w:t>2</w:t>
      </w:r>
      <w:r>
        <w:rPr>
          <w:rFonts w:ascii="SimHei" w:eastAsia="SimHei" w:hAnsi="SimHei" w:cs="SimHei"/>
          <w:spacing w:val="2"/>
          <w:sz w:val="24"/>
          <w:szCs w:val="24"/>
          <w14:textOutline w14:w="4354">
            <w14:solidFill>
              <w14:srgbClr w14:val="000000"/>
            </w14:solidFill>
            <w14:prstDash w14:val="solid"/>
            <w14:miter w14:lim="10"/>
          </w14:textOutline>
        </w:rPr>
        <w:t>、股权融资是适合公司现阶段选择的融资方式</w:t>
      </w:r>
    </w:p>
    <w:p>
      <w:pPr>
        <w:spacing w:before="234" w:line="360" w:lineRule="auto"/>
        <w:ind w:left="26" w:right="21" w:firstLine="479"/>
        <w:jc w:val="both"/>
        <w:rPr>
          <w:rFonts w:ascii="SimSun" w:eastAsia="SimSun" w:hAnsi="SimSun" w:cs="SimSun"/>
          <w:sz w:val="24"/>
          <w:szCs w:val="24"/>
        </w:rPr>
      </w:pPr>
      <w:r>
        <w:rPr>
          <w:rFonts w:ascii="SimSun" w:eastAsia="SimSun" w:hAnsi="SimSun" w:cs="SimSun"/>
          <w:spacing w:val="-7"/>
          <w:sz w:val="24"/>
          <w:szCs w:val="24"/>
        </w:rPr>
        <w:t>股权融资方式有利于公司优化资本结构，</w:t>
      </w:r>
      <w:r>
        <w:rPr>
          <w:rFonts w:ascii="SimSun" w:eastAsia="SimSun" w:hAnsi="SimSun" w:cs="SimSun"/>
          <w:spacing w:val="32"/>
          <w:sz w:val="24"/>
          <w:szCs w:val="24"/>
        </w:rPr>
        <w:t xml:space="preserve"> </w:t>
      </w:r>
      <w:r>
        <w:rPr>
          <w:rFonts w:ascii="SimSun" w:eastAsia="SimSun" w:hAnsi="SimSun" w:cs="SimSun"/>
          <w:spacing w:val="-7"/>
          <w:sz w:val="24"/>
          <w:szCs w:val="24"/>
        </w:rPr>
        <w:t>降低</w:t>
      </w:r>
      <w:r>
        <w:rPr>
          <w:rFonts w:ascii="SimSun" w:eastAsia="SimSun" w:hAnsi="SimSun" w:cs="SimSun"/>
          <w:spacing w:val="-8"/>
          <w:sz w:val="24"/>
          <w:szCs w:val="24"/>
        </w:rPr>
        <w:t>经营风险和财务风险。本次发</w:t>
      </w:r>
      <w:r>
        <w:rPr>
          <w:rFonts w:ascii="SimSun" w:eastAsia="SimSun" w:hAnsi="SimSun" w:cs="SimSun"/>
          <w:sz w:val="24"/>
          <w:szCs w:val="24"/>
        </w:rPr>
        <w:t xml:space="preserve"> </w:t>
      </w:r>
      <w:r>
        <w:rPr>
          <w:rFonts w:ascii="SimSun" w:eastAsia="SimSun" w:hAnsi="SimSun" w:cs="SimSun"/>
          <w:spacing w:val="-6"/>
          <w:sz w:val="24"/>
          <w:szCs w:val="24"/>
        </w:rPr>
        <w:t>行有利于公司进一步提升盈利水平， 增强核心竞争力。随着未来募投项目的实施</w:t>
      </w:r>
      <w:r>
        <w:rPr>
          <w:rFonts w:ascii="SimSun" w:eastAsia="SimSun" w:hAnsi="SimSun" w:cs="SimSun"/>
          <w:spacing w:val="4"/>
          <w:sz w:val="24"/>
          <w:szCs w:val="24"/>
        </w:rPr>
        <w:t xml:space="preserve"> </w:t>
      </w:r>
      <w:r>
        <w:rPr>
          <w:rFonts w:ascii="SimSun" w:eastAsia="SimSun" w:hAnsi="SimSun" w:cs="SimSun"/>
          <w:spacing w:val="-1"/>
          <w:sz w:val="24"/>
          <w:szCs w:val="24"/>
        </w:rPr>
        <w:t>和完成、募投项目经济效益的持续释放，公司的盈利能力将获得进一步地提升，</w:t>
      </w:r>
      <w:r>
        <w:rPr>
          <w:rFonts w:ascii="SimSun" w:eastAsia="SimSun" w:hAnsi="SimSun" w:cs="SimSun"/>
          <w:sz w:val="24"/>
          <w:szCs w:val="24"/>
        </w:rPr>
        <w:t xml:space="preserve"> </w:t>
      </w:r>
      <w:r>
        <w:rPr>
          <w:rFonts w:ascii="SimSun" w:eastAsia="SimSun" w:hAnsi="SimSun" w:cs="SimSun"/>
          <w:spacing w:val="-5"/>
          <w:sz w:val="24"/>
          <w:szCs w:val="24"/>
        </w:rPr>
        <w:t>从而逐步消化股本扩张对即期收益的摊薄影响，</w:t>
      </w:r>
      <w:r>
        <w:rPr>
          <w:rFonts w:ascii="SimSun" w:eastAsia="SimSun" w:hAnsi="SimSun" w:cs="SimSun"/>
          <w:spacing w:val="-32"/>
          <w:sz w:val="24"/>
          <w:szCs w:val="24"/>
        </w:rPr>
        <w:t xml:space="preserve"> </w:t>
      </w:r>
      <w:r>
        <w:rPr>
          <w:rFonts w:ascii="SimSun" w:eastAsia="SimSun" w:hAnsi="SimSun" w:cs="SimSun"/>
          <w:spacing w:val="-5"/>
          <w:sz w:val="24"/>
          <w:szCs w:val="24"/>
        </w:rPr>
        <w:t>为公司全体股东带来良</w:t>
      </w:r>
      <w:r>
        <w:rPr>
          <w:rFonts w:ascii="SimSun" w:eastAsia="SimSun" w:hAnsi="SimSun" w:cs="SimSun"/>
          <w:spacing w:val="-6"/>
          <w:sz w:val="24"/>
          <w:szCs w:val="24"/>
        </w:rPr>
        <w:t>好的长期</w:t>
      </w:r>
    </w:p>
    <w:p>
      <w:pPr>
        <w:spacing w:before="1" w:line="219" w:lineRule="auto"/>
        <w:ind w:left="49"/>
        <w:rPr>
          <w:rFonts w:ascii="SimSun" w:eastAsia="SimSun" w:hAnsi="SimSun" w:cs="SimSun"/>
          <w:sz w:val="24"/>
          <w:szCs w:val="24"/>
        </w:rPr>
      </w:pPr>
      <w:r>
        <w:rPr>
          <w:rFonts w:ascii="SimSun" w:eastAsia="SimSun" w:hAnsi="SimSun" w:cs="SimSun"/>
          <w:spacing w:val="-15"/>
          <w:sz w:val="24"/>
          <w:szCs w:val="24"/>
        </w:rPr>
        <w:t>回报。</w:t>
      </w:r>
    </w:p>
    <w:p>
      <w:pPr>
        <w:spacing w:before="182" w:line="219" w:lineRule="auto"/>
        <w:ind w:left="509"/>
        <w:rPr>
          <w:rFonts w:ascii="SimSun" w:eastAsia="SimSun" w:hAnsi="SimSun" w:cs="SimSun"/>
          <w:sz w:val="24"/>
          <w:szCs w:val="24"/>
        </w:rPr>
      </w:pPr>
      <w:r>
        <w:rPr>
          <w:rFonts w:ascii="SimSun" w:eastAsia="SimSun" w:hAnsi="SimSun" w:cs="SimSun"/>
          <w:spacing w:val="-1"/>
          <w:sz w:val="24"/>
          <w:szCs w:val="24"/>
        </w:rPr>
        <w:t>综上，公司选择以简易程序向特定对象发行股票融资具有必</w:t>
      </w:r>
      <w:r>
        <w:rPr>
          <w:rFonts w:ascii="SimSun" w:eastAsia="SimSun" w:hAnsi="SimSun" w:cs="SimSun"/>
          <w:spacing w:val="-2"/>
          <w:sz w:val="24"/>
          <w:szCs w:val="24"/>
        </w:rPr>
        <w:t>要性。</w:t>
      </w:r>
    </w:p>
    <w:p>
      <w:pPr>
        <w:spacing w:before="322" w:line="222" w:lineRule="auto"/>
        <w:ind w:left="597"/>
        <w:outlineLvl w:val="0"/>
        <w:rPr>
          <w:rFonts w:ascii="SimHei" w:eastAsia="SimHei" w:hAnsi="SimHei" w:cs="SimHei"/>
          <w:sz w:val="27"/>
          <w:szCs w:val="27"/>
        </w:rPr>
      </w:pPr>
      <w:r>
        <w:rPr>
          <w:rFonts w:ascii="SimHei" w:eastAsia="SimHei" w:hAnsi="SimHei" w:cs="SimHei"/>
          <w:spacing w:val="11"/>
          <w:sz w:val="27"/>
          <w:szCs w:val="27"/>
          <w14:textOutline w14:w="5007">
            <w14:solidFill>
              <w14:srgbClr w14:val="000000"/>
            </w14:solidFill>
            <w14:prstDash w14:val="solid"/>
            <w14:miter w14:lim="10"/>
          </w14:textOutline>
        </w:rPr>
        <w:t>三、本次发行对象的选择范围、数量和标准的适当性</w:t>
      </w:r>
    </w:p>
    <w:p>
      <w:pPr>
        <w:spacing w:before="294"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（一）本次发行对象选择范围的适当性</w:t>
      </w:r>
    </w:p>
    <w:p>
      <w:pPr>
        <w:spacing w:before="246" w:line="360" w:lineRule="auto"/>
        <w:ind w:left="26" w:right="82" w:firstLine="480"/>
        <w:jc w:val="both"/>
        <w:rPr>
          <w:rFonts w:ascii="SimSun" w:eastAsia="SimSun" w:hAnsi="SimSun" w:cs="SimSun"/>
          <w:sz w:val="24"/>
          <w:szCs w:val="24"/>
        </w:rPr>
      </w:pPr>
      <w:r>
        <w:rPr>
          <w:rFonts w:ascii="SimSun" w:eastAsia="SimSun" w:hAnsi="SimSun" w:cs="SimSun"/>
          <w:spacing w:val="-3"/>
          <w:sz w:val="24"/>
          <w:szCs w:val="24"/>
        </w:rPr>
        <w:t>本次向特定对象发行股票的发行对象不超过</w:t>
      </w:r>
      <w:r>
        <w:rPr>
          <w:rFonts w:ascii="SimSun" w:eastAsia="SimSun" w:hAnsi="SimSun" w:cs="SimSun"/>
          <w:spacing w:val="-48"/>
          <w:sz w:val="24"/>
          <w:szCs w:val="24"/>
        </w:rPr>
        <w:t xml:space="preserve"> </w:t>
      </w:r>
      <w:r>
        <w:rPr>
          <w:rFonts w:ascii="Times New Roman" w:eastAsia="Times New Roman" w:hAnsi="Times New Roman" w:cs="Times New Roman"/>
          <w:spacing w:val="-3"/>
          <w:sz w:val="24"/>
          <w:szCs w:val="24"/>
        </w:rPr>
        <w:t xml:space="preserve">35 </w:t>
      </w:r>
      <w:r>
        <w:rPr>
          <w:rFonts w:ascii="SimSun" w:eastAsia="SimSun" w:hAnsi="SimSun" w:cs="SimSun"/>
          <w:spacing w:val="-3"/>
          <w:sz w:val="24"/>
          <w:szCs w:val="24"/>
        </w:rPr>
        <w:t>名（含</w:t>
      </w:r>
      <w:r>
        <w:rPr>
          <w:rFonts w:ascii="SimSun" w:eastAsia="SimSun" w:hAnsi="SimSun" w:cs="SimSun"/>
          <w:spacing w:val="-62"/>
          <w:w w:val="98"/>
          <w:sz w:val="24"/>
          <w:szCs w:val="24"/>
        </w:rPr>
        <w:t>），</w:t>
      </w:r>
      <w:r>
        <w:rPr>
          <w:rFonts w:ascii="SimSun" w:eastAsia="SimSun" w:hAnsi="SimSun" w:cs="SimSun"/>
          <w:spacing w:val="-3"/>
          <w:sz w:val="24"/>
          <w:szCs w:val="24"/>
        </w:rPr>
        <w:t>为符合中国证监会</w:t>
      </w:r>
      <w:r>
        <w:rPr>
          <w:rFonts w:ascii="SimSun" w:eastAsia="SimSun" w:hAnsi="SimSun" w:cs="SimSun"/>
          <w:sz w:val="24"/>
          <w:szCs w:val="24"/>
        </w:rPr>
        <w:t xml:space="preserve"> </w:t>
      </w:r>
      <w:r>
        <w:rPr>
          <w:rFonts w:ascii="SimSun" w:eastAsia="SimSun" w:hAnsi="SimSun" w:cs="SimSun"/>
          <w:spacing w:val="-3"/>
          <w:sz w:val="24"/>
          <w:szCs w:val="24"/>
        </w:rPr>
        <w:t>规定条件的法人、自然人或者其他合法投资组织。证券投资基金管理公司、证券</w:t>
      </w:r>
      <w:r>
        <w:rPr>
          <w:rFonts w:ascii="SimSun" w:eastAsia="SimSun" w:hAnsi="SimSun" w:cs="SimSun"/>
          <w:spacing w:val="1"/>
          <w:sz w:val="24"/>
          <w:szCs w:val="24"/>
        </w:rPr>
        <w:t xml:space="preserve"> </w:t>
      </w:r>
      <w:r>
        <w:rPr>
          <w:rFonts w:ascii="SimSun" w:eastAsia="SimSun" w:hAnsi="SimSun" w:cs="SimSun"/>
          <w:spacing w:val="-3"/>
          <w:sz w:val="24"/>
          <w:szCs w:val="24"/>
        </w:rPr>
        <w:t>公司、合格境外机构投资者、人民币合格境外机构投资者以其管理的二只以上产</w:t>
      </w:r>
    </w:p>
    <w:p>
      <w:pPr>
        <w:spacing w:before="1" w:line="219" w:lineRule="auto"/>
        <w:jc w:val="right"/>
        <w:rPr>
          <w:rFonts w:ascii="SimSun" w:eastAsia="SimSun" w:hAnsi="SimSun" w:cs="SimSun"/>
          <w:sz w:val="24"/>
          <w:szCs w:val="24"/>
        </w:rPr>
      </w:pPr>
      <w:r>
        <w:rPr>
          <w:rFonts w:ascii="SimSun" w:eastAsia="SimSun" w:hAnsi="SimSun" w:cs="SimSun"/>
          <w:spacing w:val="-1"/>
          <w:sz w:val="24"/>
          <w:szCs w:val="24"/>
        </w:rPr>
        <w:t>品认购的，视为一个发行对象；信托公司作为发行对象，只能以自有资金认购。</w:t>
      </w:r>
    </w:p>
    <w:p>
      <w:pPr>
        <w:spacing w:before="184" w:line="360" w:lineRule="auto"/>
        <w:ind w:left="30" w:right="94" w:firstLine="478"/>
        <w:jc w:val="both"/>
        <w:rPr>
          <w:rFonts w:ascii="SimSun" w:eastAsia="SimSun" w:hAnsi="SimSun" w:cs="SimSun"/>
          <w:sz w:val="24"/>
          <w:szCs w:val="24"/>
        </w:rPr>
      </w:pPr>
      <w:r>
        <w:rPr>
          <w:rFonts w:ascii="SimSun" w:eastAsia="SimSun" w:hAnsi="SimSun" w:cs="SimSun"/>
          <w:spacing w:val="-7"/>
          <w:sz w:val="24"/>
          <w:szCs w:val="24"/>
        </w:rPr>
        <w:t>最终发行对象将由公司董事会根据年度股东大会授权， 与保荐机构（主承销</w:t>
      </w:r>
      <w:r>
        <w:rPr>
          <w:rFonts w:ascii="SimSun" w:eastAsia="SimSun" w:hAnsi="SimSun" w:cs="SimSun"/>
          <w:spacing w:val="6"/>
          <w:sz w:val="24"/>
          <w:szCs w:val="24"/>
        </w:rPr>
        <w:t xml:space="preserve"> </w:t>
      </w:r>
      <w:r>
        <w:rPr>
          <w:rFonts w:ascii="SimSun" w:eastAsia="SimSun" w:hAnsi="SimSun" w:cs="SimSun"/>
          <w:spacing w:val="-3"/>
          <w:sz w:val="24"/>
          <w:szCs w:val="24"/>
        </w:rPr>
        <w:t>商）按照相关法律、法规和规范性文件的规定及发行竞价情况，</w:t>
      </w:r>
      <w:r>
        <w:rPr>
          <w:rFonts w:ascii="SimSun" w:eastAsia="SimSun" w:hAnsi="SimSun" w:cs="SimSun"/>
          <w:spacing w:val="-4"/>
          <w:sz w:val="24"/>
          <w:szCs w:val="24"/>
        </w:rPr>
        <w:t>遵照价格优先等</w:t>
      </w:r>
    </w:p>
    <w:p>
      <w:pPr>
        <w:spacing w:line="220" w:lineRule="auto"/>
        <w:ind w:left="31"/>
        <w:rPr>
          <w:rFonts w:ascii="SimSun" w:eastAsia="SimSun" w:hAnsi="SimSun" w:cs="SimSun"/>
          <w:sz w:val="24"/>
          <w:szCs w:val="24"/>
        </w:rPr>
      </w:pPr>
      <w:r>
        <w:rPr>
          <w:rFonts w:ascii="SimSun" w:eastAsia="SimSun" w:hAnsi="SimSun" w:cs="SimSun"/>
          <w:spacing w:val="-6"/>
          <w:sz w:val="24"/>
          <w:szCs w:val="24"/>
        </w:rPr>
        <w:t>原则协商确定。</w:t>
      </w:r>
    </w:p>
    <w:p>
      <w:pPr>
        <w:spacing w:before="182" w:line="468" w:lineRule="exact"/>
        <w:ind w:left="507"/>
        <w:rPr>
          <w:rFonts w:ascii="SimSun" w:eastAsia="SimSun" w:hAnsi="SimSun" w:cs="SimSun"/>
          <w:sz w:val="24"/>
          <w:szCs w:val="24"/>
        </w:rPr>
        <w:sectPr>
          <w:footerReference w:type="default" r:id="rId9"/>
          <w:pgSz w:w="11905" w:h="16836"/>
          <w:pgMar w:top="1431" w:right="1703" w:bottom="902" w:left="1785" w:header="0" w:footer="711" w:gutter="0"/>
          <w:pgNumType w:start="9"/>
          <w:cols w:space="708"/>
        </w:sectPr>
      </w:pPr>
      <w:r>
        <w:rPr>
          <w:rFonts w:ascii="SimSun" w:eastAsia="SimSun" w:hAnsi="SimSun" w:cs="SimSun"/>
          <w:spacing w:val="-3"/>
          <w:position w:val="17"/>
          <w:sz w:val="24"/>
          <w:szCs w:val="24"/>
        </w:rPr>
        <w:t>若国家法律、法规、规章及规范性文件对以简易程序向特定对象发行股票的</w:t>
      </w:r>
    </w:p>
    <w:p>
      <w:pPr>
        <w:spacing w:before="1" w:line="218" w:lineRule="auto"/>
        <w:ind w:left="29"/>
        <w:rPr>
          <w:rFonts w:ascii="SimSun" w:eastAsia="SimSun" w:hAnsi="SimSun" w:cs="SimSun"/>
          <w:sz w:val="24"/>
          <w:szCs w:val="24"/>
        </w:rPr>
      </w:pPr>
      <w:r>
        <w:rPr>
          <w:rFonts w:ascii="SimSun" w:eastAsia="SimSun" w:hAnsi="SimSun" w:cs="SimSun"/>
          <w:spacing w:val="-6"/>
          <w:sz w:val="24"/>
          <w:szCs w:val="24"/>
        </w:rPr>
        <w:t>发行对象有新的规定， 公司将按新的规定进行调整。本次发行对象的</w:t>
      </w:r>
      <w:r>
        <w:rPr>
          <w:rFonts w:ascii="SimSun" w:eastAsia="SimSun" w:hAnsi="SimSun" w:cs="SimSun"/>
          <w:spacing w:val="-7"/>
          <w:sz w:val="24"/>
          <w:szCs w:val="24"/>
        </w:rPr>
        <w:t>选择范围符</w:t>
      </w:r>
    </w:p>
    <w:p>
      <w:pPr>
        <w:spacing w:line="218" w:lineRule="auto"/>
        <w:rPr>
          <w:rFonts w:ascii="SimSun" w:eastAsia="SimSun" w:hAnsi="SimSun" w:cs="SimSun"/>
          <w:sz w:val="24"/>
          <w:szCs w:val="24"/>
        </w:rPr>
        <w:sectPr>
          <w:footerReference w:type="default" r:id="rId10"/>
          <w:type w:val="nextPage"/>
          <w:pgSz w:w="11905" w:h="16836"/>
          <w:pgMar w:top="1431" w:right="1703" w:bottom="902" w:left="1785" w:header="0" w:footer="711" w:gutter="0"/>
          <w:pgNumType w:start="10"/>
          <w:cols w:space="708"/>
          <w:titlePg w:val="0"/>
        </w:sectPr>
      </w:pPr>
    </w:p>
    <w:p>
      <w:pPr>
        <w:spacing w:before="115" w:line="220" w:lineRule="auto"/>
        <w:ind w:left="26"/>
        <w:rPr>
          <w:rFonts w:ascii="SimSun" w:eastAsia="SimSun" w:hAnsi="SimSun" w:cs="SimSun"/>
          <w:sz w:val="24"/>
          <w:szCs w:val="24"/>
        </w:rPr>
      </w:pPr>
      <w:r>
        <w:rPr>
          <w:rFonts w:ascii="SimSun" w:eastAsia="SimSun" w:hAnsi="SimSun" w:cs="SimSun"/>
          <w:spacing w:val="-1"/>
          <w:sz w:val="24"/>
          <w:szCs w:val="24"/>
        </w:rPr>
        <w:t>合《注册管理办法》等法律法规的相关规定，选择</w:t>
      </w:r>
      <w:r>
        <w:rPr>
          <w:rFonts w:ascii="SimSun" w:eastAsia="SimSun" w:hAnsi="SimSun" w:cs="SimSun"/>
          <w:spacing w:val="-2"/>
          <w:sz w:val="24"/>
          <w:szCs w:val="24"/>
        </w:rPr>
        <w:t>范围适当。</w:t>
      </w:r>
    </w:p>
    <w:p>
      <w:pPr>
        <w:spacing w:before="254"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（二）本次发行对象的数量的适当性</w:t>
      </w:r>
    </w:p>
    <w:p>
      <w:pPr>
        <w:spacing w:before="233" w:line="360" w:lineRule="auto"/>
        <w:ind w:left="29" w:firstLine="477"/>
        <w:jc w:val="both"/>
        <w:rPr>
          <w:rFonts w:ascii="SimSun" w:eastAsia="SimSun" w:hAnsi="SimSun" w:cs="SimSun"/>
          <w:sz w:val="24"/>
          <w:szCs w:val="24"/>
        </w:rPr>
      </w:pPr>
      <w:r>
        <w:rPr>
          <w:rFonts w:ascii="SimSun" w:eastAsia="SimSun" w:hAnsi="SimSun" w:cs="SimSun"/>
          <w:spacing w:val="4"/>
          <w:sz w:val="24"/>
          <w:szCs w:val="24"/>
        </w:rPr>
        <w:t>本次以简易程序向特定对象发行股票的最终发行对象将在上述范围内选择</w:t>
      </w:r>
      <w:r>
        <w:rPr>
          <w:rFonts w:ascii="SimSun" w:eastAsia="SimSun" w:hAnsi="SimSun" w:cs="SimSun"/>
          <w:spacing w:val="5"/>
          <w:sz w:val="24"/>
          <w:szCs w:val="24"/>
        </w:rPr>
        <w:t xml:space="preserve"> </w:t>
      </w:r>
      <w:r>
        <w:rPr>
          <w:rFonts w:ascii="SimSun" w:eastAsia="SimSun" w:hAnsi="SimSun" w:cs="SimSun"/>
          <w:spacing w:val="-1"/>
          <w:sz w:val="24"/>
          <w:szCs w:val="24"/>
        </w:rPr>
        <w:t>不超过</w:t>
      </w:r>
      <w:r>
        <w:rPr>
          <w:rFonts w:ascii="SimSun" w:eastAsia="SimSun" w:hAnsi="SimSun" w:cs="SimSun"/>
          <w:spacing w:val="-25"/>
          <w:sz w:val="24"/>
          <w:szCs w:val="24"/>
        </w:rPr>
        <w:t xml:space="preserve"> </w:t>
      </w:r>
      <w:r>
        <w:rPr>
          <w:rFonts w:ascii="Times New Roman" w:eastAsia="Times New Roman" w:hAnsi="Times New Roman" w:cs="Times New Roman"/>
          <w:spacing w:val="-1"/>
          <w:sz w:val="24"/>
          <w:szCs w:val="24"/>
        </w:rPr>
        <w:t>35</w:t>
      </w:r>
      <w:r>
        <w:rPr>
          <w:rFonts w:ascii="Times New Roman" w:eastAsia="Times New Roman" w:hAnsi="Times New Roman" w:cs="Times New Roman"/>
          <w:spacing w:val="25"/>
          <w:sz w:val="24"/>
          <w:szCs w:val="24"/>
        </w:rPr>
        <w:t xml:space="preserve"> </w:t>
      </w:r>
      <w:r>
        <w:rPr>
          <w:rFonts w:ascii="SimSun" w:eastAsia="SimSun" w:hAnsi="SimSun" w:cs="SimSun"/>
          <w:spacing w:val="-1"/>
          <w:sz w:val="24"/>
          <w:szCs w:val="24"/>
        </w:rPr>
        <w:t>名（含）符合相关法律法规规定的特定对象。本次发行对象的数量符</w:t>
      </w:r>
    </w:p>
    <w:p>
      <w:pPr>
        <w:spacing w:line="219" w:lineRule="auto"/>
        <w:ind w:left="26"/>
        <w:rPr>
          <w:rFonts w:ascii="SimSun" w:eastAsia="SimSun" w:hAnsi="SimSun" w:cs="SimSun"/>
          <w:sz w:val="24"/>
          <w:szCs w:val="24"/>
        </w:rPr>
      </w:pPr>
      <w:r>
        <w:rPr>
          <w:rFonts w:ascii="SimSun" w:eastAsia="SimSun" w:hAnsi="SimSun" w:cs="SimSun"/>
          <w:spacing w:val="-1"/>
          <w:sz w:val="24"/>
          <w:szCs w:val="24"/>
        </w:rPr>
        <w:t>合《注册管理办法》等法律法规的相关规定，发行对象数量适</w:t>
      </w:r>
      <w:r>
        <w:rPr>
          <w:rFonts w:ascii="SimSun" w:eastAsia="SimSun" w:hAnsi="SimSun" w:cs="SimSun"/>
          <w:spacing w:val="-2"/>
          <w:sz w:val="24"/>
          <w:szCs w:val="24"/>
        </w:rPr>
        <w:t>当。</w:t>
      </w:r>
    </w:p>
    <w:p>
      <w:pPr>
        <w:spacing w:before="255"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（三）本次发行对象的标准的适当性</w:t>
      </w:r>
    </w:p>
    <w:p>
      <w:pPr>
        <w:spacing w:before="245" w:line="469" w:lineRule="exact"/>
        <w:jc w:val="right"/>
        <w:rPr>
          <w:rFonts w:ascii="SimSun" w:eastAsia="SimSun" w:hAnsi="SimSun" w:cs="SimSun"/>
          <w:sz w:val="24"/>
          <w:szCs w:val="24"/>
        </w:rPr>
      </w:pPr>
      <w:r>
        <w:rPr>
          <w:rFonts w:ascii="SimSun" w:eastAsia="SimSun" w:hAnsi="SimSun" w:cs="SimSun"/>
          <w:spacing w:val="-6"/>
          <w:position w:val="17"/>
          <w:sz w:val="24"/>
          <w:szCs w:val="24"/>
        </w:rPr>
        <w:t>本次发行对象应具有一定风险识别能力和风险承担能力，</w:t>
      </w:r>
      <w:r>
        <w:rPr>
          <w:rFonts w:ascii="SimSun" w:eastAsia="SimSun" w:hAnsi="SimSun" w:cs="SimSun"/>
          <w:spacing w:val="-16"/>
          <w:position w:val="17"/>
          <w:sz w:val="24"/>
          <w:szCs w:val="24"/>
        </w:rPr>
        <w:t xml:space="preserve"> </w:t>
      </w:r>
      <w:r>
        <w:rPr>
          <w:rFonts w:ascii="SimSun" w:eastAsia="SimSun" w:hAnsi="SimSun" w:cs="SimSun"/>
          <w:spacing w:val="-6"/>
          <w:position w:val="17"/>
          <w:sz w:val="24"/>
          <w:szCs w:val="24"/>
        </w:rPr>
        <w:t>并具备相应的资金</w:t>
      </w:r>
    </w:p>
    <w:p>
      <w:pPr>
        <w:spacing w:line="219" w:lineRule="auto"/>
        <w:ind w:left="31"/>
        <w:rPr>
          <w:rFonts w:ascii="SimSun" w:eastAsia="SimSun" w:hAnsi="SimSun" w:cs="SimSun"/>
          <w:sz w:val="24"/>
          <w:szCs w:val="24"/>
        </w:rPr>
      </w:pPr>
      <w:r>
        <w:rPr>
          <w:rFonts w:ascii="SimSun" w:eastAsia="SimSun" w:hAnsi="SimSun" w:cs="SimSun"/>
          <w:spacing w:val="-11"/>
          <w:sz w:val="24"/>
          <w:szCs w:val="24"/>
        </w:rPr>
        <w:t>实力。</w:t>
      </w:r>
    </w:p>
    <w:p>
      <w:pPr>
        <w:spacing w:before="183" w:line="469" w:lineRule="exact"/>
        <w:ind w:right="9"/>
        <w:jc w:val="right"/>
        <w:rPr>
          <w:rFonts w:ascii="SimSun" w:eastAsia="SimSun" w:hAnsi="SimSun" w:cs="SimSun"/>
          <w:sz w:val="24"/>
          <w:szCs w:val="24"/>
        </w:rPr>
      </w:pPr>
      <w:r>
        <w:rPr>
          <w:rFonts w:ascii="SimSun" w:eastAsia="SimSun" w:hAnsi="SimSun" w:cs="SimSun"/>
          <w:spacing w:val="-8"/>
          <w:position w:val="17"/>
          <w:sz w:val="24"/>
          <w:szCs w:val="24"/>
        </w:rPr>
        <w:t>本次发行对象的标准符合《注册管理办法》等法律法规的相关规定，</w:t>
      </w:r>
      <w:r>
        <w:rPr>
          <w:rFonts w:ascii="SimSun" w:eastAsia="SimSun" w:hAnsi="SimSun" w:cs="SimSun"/>
          <w:spacing w:val="42"/>
          <w:position w:val="17"/>
          <w:sz w:val="24"/>
          <w:szCs w:val="24"/>
        </w:rPr>
        <w:t xml:space="preserve"> </w:t>
      </w:r>
      <w:r>
        <w:rPr>
          <w:rFonts w:ascii="SimSun" w:eastAsia="SimSun" w:hAnsi="SimSun" w:cs="SimSun"/>
          <w:spacing w:val="-8"/>
          <w:position w:val="17"/>
          <w:sz w:val="24"/>
          <w:szCs w:val="24"/>
        </w:rPr>
        <w:t>本次发</w:t>
      </w:r>
    </w:p>
    <w:p>
      <w:pPr>
        <w:spacing w:line="219" w:lineRule="auto"/>
        <w:ind w:left="29"/>
        <w:rPr>
          <w:rFonts w:ascii="SimSun" w:eastAsia="SimSun" w:hAnsi="SimSun" w:cs="SimSun"/>
          <w:sz w:val="24"/>
          <w:szCs w:val="24"/>
        </w:rPr>
      </w:pPr>
      <w:r>
        <w:rPr>
          <w:rFonts w:ascii="SimSun" w:eastAsia="SimSun" w:hAnsi="SimSun" w:cs="SimSun"/>
          <w:spacing w:val="-5"/>
          <w:sz w:val="24"/>
          <w:szCs w:val="24"/>
        </w:rPr>
        <w:t>行对象的标准适当。</w:t>
      </w:r>
    </w:p>
    <w:p>
      <w:pPr>
        <w:spacing w:before="321" w:line="222" w:lineRule="auto"/>
        <w:ind w:left="608"/>
        <w:outlineLvl w:val="0"/>
        <w:rPr>
          <w:rFonts w:ascii="SimHei" w:eastAsia="SimHei" w:hAnsi="SimHei" w:cs="SimHei"/>
          <w:sz w:val="27"/>
          <w:szCs w:val="27"/>
        </w:rPr>
      </w:pPr>
      <w:r>
        <w:rPr>
          <w:rFonts w:ascii="SimHei" w:eastAsia="SimHei" w:hAnsi="SimHei" w:cs="SimHei"/>
          <w:spacing w:val="11"/>
          <w:sz w:val="27"/>
          <w:szCs w:val="27"/>
          <w14:textOutline w14:w="5007">
            <w14:solidFill>
              <w14:srgbClr w14:val="000000"/>
            </w14:solidFill>
            <w14:prstDash w14:val="solid"/>
            <w14:miter w14:lim="10"/>
          </w14:textOutline>
        </w:rPr>
        <w:t>四、本次发行定价的原则、依据、方法和程序的合理性</w:t>
      </w:r>
    </w:p>
    <w:p>
      <w:pPr>
        <w:spacing w:before="294"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（一）本次发行定价的原则和依据</w:t>
      </w:r>
    </w:p>
    <w:p>
      <w:pPr>
        <w:spacing w:before="233" w:line="468" w:lineRule="exact"/>
        <w:ind w:right="1"/>
        <w:jc w:val="right"/>
        <w:rPr>
          <w:rFonts w:ascii="SimSun" w:eastAsia="SimSun" w:hAnsi="SimSun" w:cs="SimSun"/>
          <w:sz w:val="24"/>
          <w:szCs w:val="24"/>
        </w:rPr>
      </w:pPr>
      <w:r>
        <w:rPr>
          <w:rFonts w:ascii="SimSun" w:eastAsia="SimSun" w:hAnsi="SimSun" w:cs="SimSun"/>
          <w:spacing w:val="-6"/>
          <w:position w:val="17"/>
          <w:sz w:val="24"/>
          <w:szCs w:val="24"/>
        </w:rPr>
        <w:t>公司本次以简易程序向特定对象发行股票的定价基准日为发行期首日，</w:t>
      </w:r>
      <w:r>
        <w:rPr>
          <w:rFonts w:ascii="SimSun" w:eastAsia="SimSun" w:hAnsi="SimSun" w:cs="SimSun"/>
          <w:spacing w:val="-22"/>
          <w:position w:val="17"/>
          <w:sz w:val="24"/>
          <w:szCs w:val="24"/>
        </w:rPr>
        <w:t xml:space="preserve"> </w:t>
      </w:r>
      <w:r>
        <w:rPr>
          <w:rFonts w:ascii="SimSun" w:eastAsia="SimSun" w:hAnsi="SimSun" w:cs="SimSun"/>
          <w:spacing w:val="-6"/>
          <w:position w:val="17"/>
          <w:sz w:val="24"/>
          <w:szCs w:val="24"/>
        </w:rPr>
        <w:t>发行</w:t>
      </w:r>
    </w:p>
    <w:p>
      <w:pPr>
        <w:spacing w:line="218" w:lineRule="auto"/>
        <w:ind w:left="26"/>
        <w:rPr>
          <w:rFonts w:ascii="SimSun" w:eastAsia="SimSun" w:hAnsi="SimSun" w:cs="SimSun"/>
          <w:sz w:val="24"/>
          <w:szCs w:val="24"/>
        </w:rPr>
      </w:pPr>
      <w:r>
        <w:rPr>
          <w:rFonts w:ascii="SimSun" w:eastAsia="SimSun" w:hAnsi="SimSun" w:cs="SimSun"/>
          <w:sz w:val="24"/>
          <w:szCs w:val="24"/>
        </w:rPr>
        <w:t>价格不低于定价基准日前二十个交易日公司股票交易均价的百分之八十。</w:t>
      </w:r>
    </w:p>
    <w:p>
      <w:pPr>
        <w:spacing w:before="185" w:line="469" w:lineRule="exact"/>
        <w:ind w:right="16"/>
        <w:jc w:val="right"/>
        <w:rPr>
          <w:rFonts w:ascii="SimSun" w:eastAsia="SimSun" w:hAnsi="SimSun" w:cs="SimSun"/>
          <w:sz w:val="24"/>
          <w:szCs w:val="24"/>
        </w:rPr>
      </w:pPr>
      <w:r>
        <w:rPr>
          <w:rFonts w:ascii="SimSun" w:eastAsia="SimSun" w:hAnsi="SimSun" w:cs="SimSun"/>
          <w:position w:val="16"/>
          <w:sz w:val="24"/>
          <w:szCs w:val="24"/>
        </w:rPr>
        <w:t>定价基准日前二十个交易日股票交易均价</w:t>
      </w:r>
      <w:r>
        <w:rPr>
          <w:rFonts w:ascii="Times New Roman" w:eastAsia="Times New Roman" w:hAnsi="Times New Roman" w:cs="Times New Roman"/>
          <w:position w:val="16"/>
          <w:sz w:val="24"/>
          <w:szCs w:val="24"/>
        </w:rPr>
        <w:t>=</w:t>
      </w:r>
      <w:r>
        <w:rPr>
          <w:rFonts w:ascii="SimSun" w:eastAsia="SimSun" w:hAnsi="SimSun" w:cs="SimSun"/>
          <w:position w:val="16"/>
          <w:sz w:val="24"/>
          <w:szCs w:val="24"/>
        </w:rPr>
        <w:t>定价基准日</w:t>
      </w:r>
      <w:r>
        <w:rPr>
          <w:rFonts w:ascii="SimSun" w:eastAsia="SimSun" w:hAnsi="SimSun" w:cs="SimSun"/>
          <w:spacing w:val="-1"/>
          <w:position w:val="16"/>
          <w:sz w:val="24"/>
          <w:szCs w:val="24"/>
        </w:rPr>
        <w:t>前二十个交易日股票</w:t>
      </w:r>
    </w:p>
    <w:p>
      <w:pPr>
        <w:spacing w:before="1" w:line="231" w:lineRule="auto"/>
        <w:ind w:left="30"/>
        <w:rPr>
          <w:rFonts w:ascii="SimSun" w:eastAsia="SimSun" w:hAnsi="SimSun" w:cs="SimSun"/>
          <w:sz w:val="24"/>
          <w:szCs w:val="24"/>
        </w:rPr>
      </w:pPr>
      <w:r>
        <w:rPr>
          <w:rFonts w:ascii="SimSun" w:eastAsia="SimSun" w:hAnsi="SimSun" w:cs="SimSun"/>
          <w:spacing w:val="-2"/>
          <w:sz w:val="24"/>
          <w:szCs w:val="24"/>
        </w:rPr>
        <w:t>交易总额</w:t>
      </w:r>
      <w:r>
        <w:rPr>
          <w:rFonts w:ascii="Times New Roman" w:eastAsia="Times New Roman" w:hAnsi="Times New Roman" w:cs="Times New Roman"/>
          <w:spacing w:val="-2"/>
          <w:sz w:val="24"/>
          <w:szCs w:val="24"/>
        </w:rPr>
        <w:t>/</w:t>
      </w:r>
      <w:r>
        <w:rPr>
          <w:rFonts w:ascii="SimSun" w:eastAsia="SimSun" w:hAnsi="SimSun" w:cs="SimSun"/>
          <w:spacing w:val="-2"/>
          <w:sz w:val="24"/>
          <w:szCs w:val="24"/>
        </w:rPr>
        <w:t>定价基准日前二十个交易日股票交易总量。</w:t>
      </w:r>
    </w:p>
    <w:p>
      <w:pPr>
        <w:spacing w:before="167" w:line="468" w:lineRule="exact"/>
        <w:jc w:val="right"/>
        <w:rPr>
          <w:rFonts w:ascii="SimSun" w:eastAsia="SimSun" w:hAnsi="SimSun" w:cs="SimSun"/>
          <w:sz w:val="24"/>
          <w:szCs w:val="24"/>
        </w:rPr>
      </w:pPr>
      <w:r>
        <w:rPr>
          <w:rFonts w:ascii="SimSun" w:eastAsia="SimSun" w:hAnsi="SimSun" w:cs="SimSun"/>
          <w:spacing w:val="-3"/>
          <w:position w:val="17"/>
          <w:sz w:val="24"/>
          <w:szCs w:val="24"/>
        </w:rPr>
        <w:t>若公司股票在定价基准日至发行日期间发生派息、送股、资本公积金转增股</w:t>
      </w:r>
    </w:p>
    <w:p>
      <w:pPr>
        <w:spacing w:line="218" w:lineRule="auto"/>
        <w:ind w:left="26"/>
        <w:rPr>
          <w:rFonts w:ascii="SimSun" w:eastAsia="SimSun" w:hAnsi="SimSun" w:cs="SimSun"/>
          <w:sz w:val="24"/>
          <w:szCs w:val="24"/>
        </w:rPr>
      </w:pPr>
      <w:r>
        <w:rPr>
          <w:rFonts w:ascii="SimSun" w:eastAsia="SimSun" w:hAnsi="SimSun" w:cs="SimSun"/>
          <w:spacing w:val="-1"/>
          <w:sz w:val="24"/>
          <w:szCs w:val="24"/>
        </w:rPr>
        <w:t>本等除权、除息事项，则本次发行的发行价</w:t>
      </w:r>
      <w:r>
        <w:rPr>
          <w:rFonts w:ascii="SimSun" w:eastAsia="SimSun" w:hAnsi="SimSun" w:cs="SimSun"/>
          <w:spacing w:val="-2"/>
          <w:sz w:val="24"/>
          <w:szCs w:val="24"/>
        </w:rPr>
        <w:t>格将作相应调整。调整公式如下：</w:t>
      </w:r>
    </w:p>
    <w:p>
      <w:pPr>
        <w:spacing w:before="186" w:line="220" w:lineRule="auto"/>
        <w:ind w:left="508"/>
        <w:rPr>
          <w:rFonts w:ascii="Times New Roman" w:eastAsia="Times New Roman" w:hAnsi="Times New Roman" w:cs="Times New Roman"/>
          <w:sz w:val="24"/>
          <w:szCs w:val="24"/>
        </w:rPr>
      </w:pPr>
      <w:r>
        <w:rPr>
          <w:rFonts w:ascii="SimSun" w:eastAsia="SimSun" w:hAnsi="SimSun" w:cs="SimSun"/>
          <w:spacing w:val="-14"/>
          <w:sz w:val="24"/>
          <w:szCs w:val="24"/>
        </w:rPr>
        <w:t>派发现金股利：</w:t>
      </w:r>
      <w:r>
        <w:rPr>
          <w:rFonts w:ascii="SimSun" w:eastAsia="SimSun" w:hAnsi="SimSun" w:cs="SimSun"/>
          <w:spacing w:val="57"/>
          <w:sz w:val="24"/>
          <w:szCs w:val="24"/>
        </w:rPr>
        <w:t xml:space="preserve"> </w:t>
      </w:r>
      <w:r>
        <w:rPr>
          <w:rFonts w:ascii="Times New Roman" w:eastAsia="Times New Roman" w:hAnsi="Times New Roman" w:cs="Times New Roman"/>
          <w:spacing w:val="-14"/>
          <w:sz w:val="24"/>
          <w:szCs w:val="24"/>
        </w:rPr>
        <w:t>P</w:t>
      </w:r>
      <w:r>
        <w:rPr>
          <w:rFonts w:ascii="Times New Roman" w:eastAsia="Times New Roman" w:hAnsi="Times New Roman" w:cs="Times New Roman"/>
          <w:spacing w:val="-14"/>
          <w:position w:val="-2"/>
          <w:sz w:val="15"/>
          <w:szCs w:val="15"/>
        </w:rPr>
        <w:t>1</w:t>
      </w:r>
      <w:r>
        <w:rPr>
          <w:rFonts w:ascii="Times New Roman" w:eastAsia="Times New Roman" w:hAnsi="Times New Roman" w:cs="Times New Roman"/>
          <w:spacing w:val="-14"/>
          <w:sz w:val="24"/>
          <w:szCs w:val="24"/>
        </w:rPr>
        <w:t>=P</w:t>
      </w:r>
      <w:r>
        <w:rPr>
          <w:rFonts w:ascii="Times New Roman" w:eastAsia="Times New Roman" w:hAnsi="Times New Roman" w:cs="Times New Roman"/>
          <w:spacing w:val="-14"/>
          <w:position w:val="-2"/>
          <w:sz w:val="15"/>
          <w:szCs w:val="15"/>
        </w:rPr>
        <w:t>0</w:t>
      </w:r>
      <w:r>
        <w:rPr>
          <w:rFonts w:ascii="Times New Roman" w:eastAsia="Times New Roman" w:hAnsi="Times New Roman" w:cs="Times New Roman"/>
          <w:spacing w:val="-14"/>
          <w:sz w:val="24"/>
          <w:szCs w:val="24"/>
        </w:rPr>
        <w:t>-D</w:t>
      </w:r>
    </w:p>
    <w:p>
      <w:pPr>
        <w:spacing w:before="181" w:line="233" w:lineRule="auto"/>
        <w:ind w:left="504"/>
        <w:rPr>
          <w:rFonts w:ascii="SimSun" w:eastAsia="SimSun" w:hAnsi="SimSun" w:cs="SimSun"/>
          <w:sz w:val="24"/>
          <w:szCs w:val="24"/>
        </w:rPr>
      </w:pPr>
      <w:r>
        <w:rPr>
          <w:rFonts w:ascii="SimSun" w:eastAsia="SimSun" w:hAnsi="SimSun" w:cs="SimSun"/>
          <w:spacing w:val="-14"/>
          <w:sz w:val="24"/>
          <w:szCs w:val="24"/>
        </w:rPr>
        <w:t>送红股或转增股本：</w:t>
      </w:r>
      <w:r>
        <w:rPr>
          <w:rFonts w:ascii="SimSun" w:eastAsia="SimSun" w:hAnsi="SimSun" w:cs="SimSun"/>
          <w:spacing w:val="60"/>
          <w:sz w:val="24"/>
          <w:szCs w:val="24"/>
        </w:rPr>
        <w:t xml:space="preserve"> </w:t>
      </w:r>
      <w:r>
        <w:rPr>
          <w:rFonts w:ascii="Times New Roman" w:eastAsia="Times New Roman" w:hAnsi="Times New Roman" w:cs="Times New Roman"/>
          <w:spacing w:val="-14"/>
          <w:sz w:val="24"/>
          <w:szCs w:val="24"/>
        </w:rPr>
        <w:t>P</w:t>
      </w:r>
      <w:r>
        <w:rPr>
          <w:rFonts w:ascii="Times New Roman" w:eastAsia="Times New Roman" w:hAnsi="Times New Roman" w:cs="Times New Roman"/>
          <w:spacing w:val="-14"/>
          <w:position w:val="-2"/>
          <w:sz w:val="15"/>
          <w:szCs w:val="15"/>
        </w:rPr>
        <w:t>1</w:t>
      </w:r>
      <w:r>
        <w:rPr>
          <w:rFonts w:ascii="Times New Roman" w:eastAsia="Times New Roman" w:hAnsi="Times New Roman" w:cs="Times New Roman"/>
          <w:spacing w:val="-14"/>
          <w:sz w:val="24"/>
          <w:szCs w:val="24"/>
        </w:rPr>
        <w:t>=P</w:t>
      </w:r>
      <w:r>
        <w:rPr>
          <w:rFonts w:ascii="Times New Roman" w:eastAsia="Times New Roman" w:hAnsi="Times New Roman" w:cs="Times New Roman"/>
          <w:spacing w:val="-14"/>
          <w:position w:val="-2"/>
          <w:sz w:val="15"/>
          <w:szCs w:val="15"/>
        </w:rPr>
        <w:t>0</w:t>
      </w:r>
      <w:r>
        <w:rPr>
          <w:rFonts w:ascii="Times New Roman" w:eastAsia="Times New Roman" w:hAnsi="Times New Roman" w:cs="Times New Roman"/>
          <w:sz w:val="24"/>
          <w:szCs w:val="24"/>
        </w:rPr>
        <w:t>/</w:t>
      </w:r>
      <w:r>
        <w:rPr>
          <w:rFonts w:ascii="SimSun" w:eastAsia="SimSun" w:hAnsi="SimSun" w:cs="SimSun"/>
          <w:sz w:val="24"/>
          <w:szCs w:val="24"/>
        </w:rPr>
        <w:t>（</w:t>
      </w:r>
      <w:r>
        <w:rPr>
          <w:rFonts w:ascii="Times New Roman" w:eastAsia="Times New Roman" w:hAnsi="Times New Roman" w:cs="Times New Roman"/>
          <w:sz w:val="24"/>
          <w:szCs w:val="24"/>
        </w:rPr>
        <w:t>1+N</w:t>
      </w:r>
      <w:r>
        <w:rPr>
          <w:rFonts w:ascii="SimSun" w:eastAsia="SimSun" w:hAnsi="SimSun" w:cs="SimSun"/>
          <w:sz w:val="24"/>
          <w:szCs w:val="24"/>
        </w:rPr>
        <w:t>）</w:t>
      </w:r>
    </w:p>
    <w:p>
      <w:pPr>
        <w:spacing w:before="165" w:line="233" w:lineRule="auto"/>
        <w:ind w:left="508"/>
        <w:rPr>
          <w:rFonts w:ascii="SimSun" w:eastAsia="SimSun" w:hAnsi="SimSun" w:cs="SimSun"/>
          <w:sz w:val="24"/>
          <w:szCs w:val="24"/>
        </w:rPr>
      </w:pPr>
      <w:r>
        <w:rPr>
          <w:rFonts w:ascii="SimSun" w:eastAsia="SimSun" w:hAnsi="SimSun" w:cs="SimSun"/>
          <w:spacing w:val="-6"/>
          <w:sz w:val="24"/>
          <w:szCs w:val="24"/>
        </w:rPr>
        <w:t>派发现金股利同时送红股或转增股本：</w:t>
      </w:r>
      <w:r>
        <w:rPr>
          <w:rFonts w:ascii="SimSun" w:eastAsia="SimSun" w:hAnsi="SimSun" w:cs="SimSun"/>
          <w:spacing w:val="55"/>
          <w:sz w:val="24"/>
          <w:szCs w:val="24"/>
        </w:rPr>
        <w:t xml:space="preserve"> </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6"/>
          <w:position w:val="-2"/>
          <w:sz w:val="15"/>
          <w:szCs w:val="15"/>
        </w:rPr>
        <w:t>1</w:t>
      </w:r>
      <w:r>
        <w:rPr>
          <w:rFonts w:ascii="Times New Roman" w:eastAsia="Times New Roman" w:hAnsi="Times New Roman" w:cs="Times New Roman"/>
          <w:spacing w:val="-6"/>
          <w:sz w:val="24"/>
          <w:szCs w:val="24"/>
        </w:rPr>
        <w:t>=</w:t>
      </w:r>
      <w:r>
        <w:rPr>
          <w:rFonts w:ascii="SimSun" w:eastAsia="SimSun" w:hAnsi="SimSun" w:cs="SimSun"/>
          <w:spacing w:val="-6"/>
          <w:sz w:val="24"/>
          <w:szCs w:val="24"/>
        </w:rPr>
        <w:t>（</w:t>
      </w:r>
      <w:r>
        <w:rPr>
          <w:rFonts w:ascii="Times New Roman" w:eastAsia="Times New Roman" w:hAnsi="Times New Roman" w:cs="Times New Roman"/>
          <w:spacing w:val="-6"/>
          <w:sz w:val="24"/>
          <w:szCs w:val="24"/>
        </w:rPr>
        <w:t>P</w:t>
      </w:r>
      <w:r>
        <w:rPr>
          <w:rFonts w:ascii="Times New Roman" w:eastAsia="Times New Roman" w:hAnsi="Times New Roman" w:cs="Times New Roman"/>
          <w:spacing w:val="-6"/>
          <w:position w:val="-2"/>
          <w:sz w:val="15"/>
          <w:szCs w:val="15"/>
        </w:rPr>
        <w:t>0</w:t>
      </w:r>
      <w:r>
        <w:rPr>
          <w:rFonts w:ascii="Times New Roman" w:eastAsia="Times New Roman" w:hAnsi="Times New Roman" w:cs="Times New Roman"/>
          <w:spacing w:val="-6"/>
          <w:sz w:val="24"/>
          <w:szCs w:val="24"/>
        </w:rPr>
        <w:t>-D</w:t>
      </w:r>
      <w:r>
        <w:rPr>
          <w:rFonts w:ascii="SimSun" w:eastAsia="SimSun" w:hAnsi="SimSun" w:cs="SimSun"/>
          <w:spacing w:val="-6"/>
          <w:sz w:val="24"/>
          <w:szCs w:val="24"/>
        </w:rPr>
        <w:t>）</w:t>
      </w:r>
      <w:r>
        <w:rPr>
          <w:rFonts w:ascii="Times New Roman" w:eastAsia="Times New Roman" w:hAnsi="Times New Roman" w:cs="Times New Roman"/>
          <w:spacing w:val="-6"/>
          <w:sz w:val="24"/>
          <w:szCs w:val="24"/>
        </w:rPr>
        <w:t>/</w:t>
      </w:r>
      <w:r>
        <w:rPr>
          <w:rFonts w:ascii="SimSun" w:eastAsia="SimSun" w:hAnsi="SimSun" w:cs="SimSun"/>
          <w:spacing w:val="-6"/>
          <w:sz w:val="24"/>
          <w:szCs w:val="24"/>
        </w:rPr>
        <w:t>（</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7"/>
          <w:sz w:val="24"/>
          <w:szCs w:val="24"/>
        </w:rPr>
        <w:t>N</w:t>
      </w:r>
      <w:r>
        <w:rPr>
          <w:rFonts w:ascii="SimSun" w:eastAsia="SimSun" w:hAnsi="SimSun" w:cs="SimSun"/>
          <w:spacing w:val="-7"/>
          <w:sz w:val="24"/>
          <w:szCs w:val="24"/>
        </w:rPr>
        <w:t>）</w:t>
      </w:r>
    </w:p>
    <w:p>
      <w:pPr>
        <w:spacing w:before="166" w:line="468" w:lineRule="exact"/>
        <w:ind w:right="19"/>
        <w:jc w:val="right"/>
        <w:rPr>
          <w:rFonts w:ascii="SimSun" w:eastAsia="SimSun" w:hAnsi="SimSun" w:cs="SimSun"/>
          <w:sz w:val="24"/>
          <w:szCs w:val="24"/>
        </w:rPr>
      </w:pPr>
      <w:r>
        <w:rPr>
          <w:rFonts w:ascii="SimSun" w:eastAsia="SimSun" w:hAnsi="SimSun" w:cs="SimSun"/>
          <w:spacing w:val="-32"/>
          <w:position w:val="17"/>
          <w:sz w:val="24"/>
          <w:szCs w:val="24"/>
        </w:rPr>
        <w:t>其中，</w:t>
      </w:r>
      <w:r>
        <w:rPr>
          <w:rFonts w:ascii="SimSun" w:eastAsia="SimSun" w:hAnsi="SimSun" w:cs="SimSun"/>
          <w:spacing w:val="-31"/>
          <w:position w:val="17"/>
          <w:sz w:val="24"/>
          <w:szCs w:val="24"/>
        </w:rPr>
        <w:t xml:space="preserve"> </w:t>
      </w:r>
      <w:r>
        <w:rPr>
          <w:rFonts w:ascii="Times New Roman" w:eastAsia="Times New Roman" w:hAnsi="Times New Roman" w:cs="Times New Roman"/>
          <w:spacing w:val="-32"/>
          <w:position w:val="17"/>
          <w:sz w:val="24"/>
          <w:szCs w:val="24"/>
        </w:rPr>
        <w:t>P</w:t>
      </w:r>
      <w:r>
        <w:rPr>
          <w:rFonts w:ascii="Times New Roman" w:eastAsia="Times New Roman" w:hAnsi="Times New Roman" w:cs="Times New Roman"/>
          <w:spacing w:val="3"/>
          <w:position w:val="15"/>
          <w:sz w:val="15"/>
          <w:szCs w:val="15"/>
        </w:rPr>
        <w:t>0</w:t>
      </w:r>
      <w:r>
        <w:rPr>
          <w:rFonts w:ascii="Times New Roman" w:eastAsia="Times New Roman" w:hAnsi="Times New Roman" w:cs="Times New Roman"/>
          <w:spacing w:val="5"/>
          <w:position w:val="15"/>
          <w:sz w:val="15"/>
          <w:szCs w:val="15"/>
        </w:rPr>
        <w:t xml:space="preserve"> </w:t>
      </w:r>
      <w:r>
        <w:rPr>
          <w:rFonts w:ascii="SimSun" w:eastAsia="SimSun" w:hAnsi="SimSun" w:cs="SimSun"/>
          <w:spacing w:val="-10"/>
          <w:position w:val="17"/>
          <w:sz w:val="24"/>
          <w:szCs w:val="24"/>
        </w:rPr>
        <w:t xml:space="preserve">为调整前发行价格， </w:t>
      </w:r>
      <w:r>
        <w:rPr>
          <w:rFonts w:ascii="Times New Roman" w:eastAsia="Times New Roman" w:hAnsi="Times New Roman" w:cs="Times New Roman"/>
          <w:spacing w:val="-10"/>
          <w:position w:val="17"/>
          <w:sz w:val="24"/>
          <w:szCs w:val="24"/>
        </w:rPr>
        <w:t xml:space="preserve">D </w:t>
      </w:r>
      <w:r>
        <w:rPr>
          <w:rFonts w:ascii="SimSun" w:eastAsia="SimSun" w:hAnsi="SimSun" w:cs="SimSun"/>
          <w:spacing w:val="-10"/>
          <w:position w:val="17"/>
          <w:sz w:val="24"/>
          <w:szCs w:val="24"/>
        </w:rPr>
        <w:t xml:space="preserve">为每股派发现金股利， </w:t>
      </w:r>
      <w:r>
        <w:rPr>
          <w:rFonts w:ascii="Times New Roman" w:eastAsia="Times New Roman" w:hAnsi="Times New Roman" w:cs="Times New Roman"/>
          <w:spacing w:val="-10"/>
          <w:position w:val="17"/>
          <w:sz w:val="24"/>
          <w:szCs w:val="24"/>
        </w:rPr>
        <w:t>N</w:t>
      </w:r>
      <w:r>
        <w:rPr>
          <w:rFonts w:ascii="Times New Roman" w:eastAsia="Times New Roman" w:hAnsi="Times New Roman" w:cs="Times New Roman"/>
          <w:spacing w:val="7"/>
          <w:position w:val="17"/>
          <w:sz w:val="24"/>
          <w:szCs w:val="24"/>
        </w:rPr>
        <w:t xml:space="preserve"> </w:t>
      </w:r>
      <w:r>
        <w:rPr>
          <w:rFonts w:ascii="SimSun" w:eastAsia="SimSun" w:hAnsi="SimSun" w:cs="SimSun"/>
          <w:spacing w:val="-10"/>
          <w:position w:val="17"/>
          <w:sz w:val="24"/>
          <w:szCs w:val="24"/>
        </w:rPr>
        <w:t>为每股送红股或转</w:t>
      </w:r>
    </w:p>
    <w:p>
      <w:pPr>
        <w:spacing w:before="1" w:line="218" w:lineRule="auto"/>
        <w:ind w:left="26"/>
        <w:rPr>
          <w:rFonts w:ascii="SimSun" w:eastAsia="SimSun" w:hAnsi="SimSun" w:cs="SimSun"/>
          <w:sz w:val="24"/>
          <w:szCs w:val="24"/>
        </w:rPr>
      </w:pPr>
      <w:r>
        <w:rPr>
          <w:rFonts w:ascii="SimSun" w:eastAsia="SimSun" w:hAnsi="SimSun" w:cs="SimSun"/>
          <w:spacing w:val="-13"/>
          <w:sz w:val="24"/>
          <w:szCs w:val="24"/>
        </w:rPr>
        <w:t>增股本数，</w:t>
      </w:r>
      <w:r>
        <w:rPr>
          <w:rFonts w:ascii="SimSun" w:eastAsia="SimSun" w:hAnsi="SimSun" w:cs="SimSun"/>
          <w:spacing w:val="59"/>
          <w:sz w:val="24"/>
          <w:szCs w:val="24"/>
        </w:rPr>
        <w:t xml:space="preserve"> </w:t>
      </w:r>
      <w:r>
        <w:rPr>
          <w:rFonts w:ascii="Times New Roman" w:eastAsia="Times New Roman" w:hAnsi="Times New Roman" w:cs="Times New Roman"/>
          <w:spacing w:val="-13"/>
          <w:sz w:val="24"/>
          <w:szCs w:val="24"/>
        </w:rPr>
        <w:t>P</w:t>
      </w:r>
      <w:r>
        <w:rPr>
          <w:rFonts w:ascii="Times New Roman" w:eastAsia="Times New Roman" w:hAnsi="Times New Roman" w:cs="Times New Roman"/>
          <w:spacing w:val="-13"/>
          <w:position w:val="-2"/>
          <w:sz w:val="15"/>
          <w:szCs w:val="15"/>
        </w:rPr>
        <w:t xml:space="preserve">1 </w:t>
      </w:r>
      <w:r>
        <w:rPr>
          <w:rFonts w:ascii="SimSun" w:eastAsia="SimSun" w:hAnsi="SimSun" w:cs="SimSun"/>
          <w:spacing w:val="-13"/>
          <w:sz w:val="24"/>
          <w:szCs w:val="24"/>
        </w:rPr>
        <w:t>为调整后发行价格。</w:t>
      </w:r>
    </w:p>
    <w:p>
      <w:pPr>
        <w:spacing w:before="257"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（二）本次发行定价的方法和程序</w:t>
      </w:r>
    </w:p>
    <w:p>
      <w:pPr>
        <w:spacing w:before="234" w:line="360" w:lineRule="auto"/>
        <w:ind w:left="31" w:firstLine="475"/>
        <w:jc w:val="both"/>
        <w:rPr>
          <w:rFonts w:ascii="SimSun" w:eastAsia="SimSun" w:hAnsi="SimSun" w:cs="SimSun"/>
          <w:sz w:val="24"/>
          <w:szCs w:val="24"/>
        </w:rPr>
        <w:sectPr>
          <w:footerReference w:type="default" r:id="rId11"/>
          <w:pgSz w:w="11905" w:h="16836"/>
          <w:pgMar w:top="1431" w:right="1782" w:bottom="899" w:left="1785" w:header="0" w:footer="711" w:gutter="0"/>
          <w:pgNumType w:start="11"/>
          <w:cols w:space="708"/>
        </w:sectPr>
      </w:pPr>
      <w:r>
        <w:rPr>
          <w:rFonts w:ascii="SimSun" w:eastAsia="SimSun" w:hAnsi="SimSun" w:cs="SimSun"/>
          <w:spacing w:val="-3"/>
          <w:sz w:val="24"/>
          <w:szCs w:val="24"/>
        </w:rPr>
        <w:t>本次发行股票定价方法和程序均根据《注册管理办法》等法律法规的相关规</w:t>
      </w:r>
      <w:r>
        <w:rPr>
          <w:rFonts w:ascii="SimSun" w:eastAsia="SimSun" w:hAnsi="SimSun" w:cs="SimSun"/>
          <w:spacing w:val="6"/>
          <w:sz w:val="24"/>
          <w:szCs w:val="24"/>
        </w:rPr>
        <w:t xml:space="preserve"> </w:t>
      </w:r>
      <w:r>
        <w:rPr>
          <w:rFonts w:ascii="SimSun" w:eastAsia="SimSun" w:hAnsi="SimSun" w:cs="SimSun"/>
          <w:spacing w:val="-1"/>
          <w:sz w:val="24"/>
          <w:szCs w:val="24"/>
        </w:rPr>
        <w:t>定制定。本次发行采用简易程序，公司</w:t>
      </w:r>
      <w:r>
        <w:rPr>
          <w:rFonts w:ascii="SimSun" w:eastAsia="SimSun" w:hAnsi="SimSun" w:cs="SimSun"/>
          <w:spacing w:val="-30"/>
          <w:sz w:val="24"/>
          <w:szCs w:val="24"/>
        </w:rPr>
        <w:t xml:space="preserve"> </w:t>
      </w:r>
      <w:r>
        <w:rPr>
          <w:rFonts w:ascii="Times New Roman" w:eastAsia="Times New Roman" w:hAnsi="Times New Roman" w:cs="Times New Roman"/>
          <w:spacing w:val="-1"/>
          <w:sz w:val="24"/>
          <w:szCs w:val="24"/>
        </w:rPr>
        <w:t>2022</w:t>
      </w:r>
      <w:r>
        <w:rPr>
          <w:rFonts w:ascii="Times New Roman" w:eastAsia="Times New Roman" w:hAnsi="Times New Roman" w:cs="Times New Roman"/>
          <w:spacing w:val="23"/>
          <w:sz w:val="24"/>
          <w:szCs w:val="24"/>
        </w:rPr>
        <w:t xml:space="preserve"> </w:t>
      </w:r>
      <w:r>
        <w:rPr>
          <w:rFonts w:ascii="SimSun" w:eastAsia="SimSun" w:hAnsi="SimSun" w:cs="SimSun"/>
          <w:spacing w:val="-1"/>
          <w:sz w:val="24"/>
          <w:szCs w:val="24"/>
        </w:rPr>
        <w:t>年年度股东大会已审议通过授权公</w:t>
      </w:r>
      <w:r>
        <w:rPr>
          <w:rFonts w:ascii="SimSun" w:eastAsia="SimSun" w:hAnsi="SimSun" w:cs="SimSun"/>
          <w:sz w:val="24"/>
          <w:szCs w:val="24"/>
        </w:rPr>
        <w:t xml:space="preserve"> </w:t>
      </w:r>
      <w:r>
        <w:rPr>
          <w:rFonts w:ascii="SimSun" w:eastAsia="SimSun" w:hAnsi="SimSun" w:cs="SimSun"/>
          <w:spacing w:val="-6"/>
          <w:sz w:val="24"/>
          <w:szCs w:val="24"/>
        </w:rPr>
        <w:t>司董事会根据竞价结果与保荐机构（主承销商） 协</w:t>
      </w:r>
      <w:r>
        <w:rPr>
          <w:rFonts w:ascii="SimSun" w:eastAsia="SimSun" w:hAnsi="SimSun" w:cs="SimSun"/>
          <w:spacing w:val="-7"/>
          <w:sz w:val="24"/>
          <w:szCs w:val="24"/>
        </w:rPr>
        <w:t>商确定发行价格。本次发行定</w:t>
      </w:r>
    </w:p>
    <w:p>
      <w:pPr>
        <w:spacing w:line="218" w:lineRule="auto"/>
        <w:ind w:left="26"/>
        <w:rPr>
          <w:rFonts w:ascii="SimSun" w:eastAsia="SimSun" w:hAnsi="SimSun" w:cs="SimSun"/>
          <w:sz w:val="24"/>
          <w:szCs w:val="24"/>
        </w:rPr>
      </w:pPr>
      <w:r>
        <w:rPr>
          <w:rFonts w:ascii="SimSun" w:eastAsia="SimSun" w:hAnsi="SimSun" w:cs="SimSun"/>
          <w:spacing w:val="-3"/>
          <w:sz w:val="24"/>
          <w:szCs w:val="24"/>
        </w:rPr>
        <w:t>价的方法和程序符合《注册管理办法》及《承销业务实施细则》等法律法规的相</w:t>
      </w:r>
    </w:p>
    <w:p>
      <w:pPr>
        <w:spacing w:line="218" w:lineRule="auto"/>
        <w:rPr>
          <w:rFonts w:ascii="SimSun" w:eastAsia="SimSun" w:hAnsi="SimSun" w:cs="SimSun"/>
          <w:sz w:val="24"/>
          <w:szCs w:val="24"/>
        </w:rPr>
        <w:sectPr>
          <w:footerReference w:type="default" r:id="rId12"/>
          <w:type w:val="nextPage"/>
          <w:pgSz w:w="11905" w:h="16836"/>
          <w:pgMar w:top="1431" w:right="1782" w:bottom="899" w:left="1785" w:header="0" w:footer="711" w:gutter="0"/>
          <w:pgNumType w:start="12"/>
          <w:cols w:space="708"/>
          <w:titlePg w:val="0"/>
        </w:sectPr>
      </w:pPr>
    </w:p>
    <w:p>
      <w:pPr>
        <w:spacing w:before="116" w:line="218" w:lineRule="auto"/>
        <w:ind w:left="29"/>
        <w:rPr>
          <w:rFonts w:ascii="SimSun" w:eastAsia="SimSun" w:hAnsi="SimSun" w:cs="SimSun"/>
          <w:sz w:val="24"/>
          <w:szCs w:val="24"/>
        </w:rPr>
      </w:pPr>
      <w:r>
        <w:rPr>
          <w:rFonts w:ascii="SimSun" w:eastAsia="SimSun" w:hAnsi="SimSun" w:cs="SimSun"/>
          <w:spacing w:val="-2"/>
          <w:sz w:val="24"/>
          <w:szCs w:val="24"/>
        </w:rPr>
        <w:t>关规定，本次发行定价的方法和程序合理。</w:t>
      </w:r>
    </w:p>
    <w:p>
      <w:pPr>
        <w:spacing w:before="184" w:line="469" w:lineRule="exact"/>
        <w:ind w:right="18"/>
        <w:jc w:val="right"/>
        <w:rPr>
          <w:rFonts w:ascii="SimSun" w:eastAsia="SimSun" w:hAnsi="SimSun" w:cs="SimSun"/>
          <w:sz w:val="24"/>
          <w:szCs w:val="24"/>
        </w:rPr>
      </w:pPr>
      <w:r>
        <w:rPr>
          <w:rFonts w:ascii="SimSun" w:eastAsia="SimSun" w:hAnsi="SimSun" w:cs="SimSun"/>
          <w:spacing w:val="-3"/>
          <w:position w:val="17"/>
          <w:sz w:val="24"/>
          <w:szCs w:val="24"/>
        </w:rPr>
        <w:t>综上，本次发行定价的原则、依据、方法和程</w:t>
      </w:r>
      <w:r>
        <w:rPr>
          <w:rFonts w:ascii="SimSun" w:eastAsia="SimSun" w:hAnsi="SimSun" w:cs="SimSun"/>
          <w:spacing w:val="-4"/>
          <w:position w:val="17"/>
          <w:sz w:val="24"/>
          <w:szCs w:val="24"/>
        </w:rPr>
        <w:t>序符合《注册管理办法》等有</w:t>
      </w:r>
    </w:p>
    <w:p>
      <w:pPr>
        <w:spacing w:line="219" w:lineRule="auto"/>
        <w:ind w:left="29"/>
        <w:rPr>
          <w:rFonts w:ascii="SimSun" w:eastAsia="SimSun" w:hAnsi="SimSun" w:cs="SimSun"/>
          <w:sz w:val="24"/>
          <w:szCs w:val="24"/>
        </w:rPr>
      </w:pPr>
      <w:r>
        <w:rPr>
          <w:rFonts w:ascii="SimSun" w:eastAsia="SimSun" w:hAnsi="SimSun" w:cs="SimSun"/>
          <w:spacing w:val="-2"/>
          <w:sz w:val="24"/>
          <w:szCs w:val="24"/>
        </w:rPr>
        <w:t>关法律、法规和规范性文件的要求，合规合理。</w:t>
      </w:r>
    </w:p>
    <w:p>
      <w:pPr>
        <w:spacing w:before="320" w:line="222" w:lineRule="auto"/>
        <w:ind w:left="599"/>
        <w:outlineLvl w:val="0"/>
        <w:rPr>
          <w:rFonts w:ascii="SimHei" w:eastAsia="SimHei" w:hAnsi="SimHei" w:cs="SimHei"/>
          <w:sz w:val="27"/>
          <w:szCs w:val="27"/>
        </w:rPr>
      </w:pPr>
      <w:r>
        <w:rPr>
          <w:rFonts w:ascii="SimHei" w:eastAsia="SimHei" w:hAnsi="SimHei" w:cs="SimHei"/>
          <w:spacing w:val="12"/>
          <w:sz w:val="27"/>
          <w:szCs w:val="27"/>
          <w14:textOutline w14:w="5007">
            <w14:solidFill>
              <w14:srgbClr w14:val="000000"/>
            </w14:solidFill>
            <w14:prstDash w14:val="solid"/>
            <w14:miter w14:lim="10"/>
          </w14:textOutline>
        </w:rPr>
        <w:t>五、本次发行方式的可行性</w:t>
      </w:r>
    </w:p>
    <w:p>
      <w:pPr>
        <w:spacing w:before="294" w:line="218" w:lineRule="auto"/>
        <w:ind w:left="521"/>
        <w:outlineLvl w:val="1"/>
        <w:rPr>
          <w:rFonts w:ascii="SimHei" w:eastAsia="SimHei" w:hAnsi="SimHei" w:cs="SimHei"/>
          <w:sz w:val="24"/>
          <w:szCs w:val="24"/>
        </w:rPr>
      </w:pPr>
      <w:r>
        <w:rPr>
          <w:rFonts w:ascii="SimHei" w:eastAsia="SimHei" w:hAnsi="SimHei" w:cs="SimHei"/>
          <w:spacing w:val="1"/>
          <w:sz w:val="24"/>
          <w:szCs w:val="24"/>
          <w14:textOutline w14:w="4354">
            <w14:solidFill>
              <w14:srgbClr w14:val="000000"/>
            </w14:solidFill>
            <w14:prstDash w14:val="solid"/>
            <w14:miter w14:lim="10"/>
          </w14:textOutline>
        </w:rPr>
        <w:t>（一）本次发行方式合法合规</w:t>
      </w:r>
    </w:p>
    <w:p>
      <w:pPr>
        <w:spacing w:before="244" w:line="219" w:lineRule="auto"/>
        <w:ind w:left="512"/>
        <w:outlineLvl w:val="2"/>
        <w:rPr>
          <w:rFonts w:ascii="SimSun" w:eastAsia="SimSun" w:hAnsi="SimSun" w:cs="SimSun"/>
          <w:sz w:val="24"/>
          <w:szCs w:val="24"/>
        </w:rPr>
      </w:pPr>
      <w:r>
        <w:rPr>
          <w:rFonts w:ascii="Times New Roman" w:eastAsia="Times New Roman" w:hAnsi="Times New Roman" w:cs="Times New Roman"/>
          <w:b/>
          <w:bCs/>
          <w:spacing w:val="1"/>
          <w:sz w:val="24"/>
          <w:szCs w:val="24"/>
        </w:rPr>
        <w:t>1</w:t>
      </w:r>
      <w:r>
        <w:rPr>
          <w:rFonts w:ascii="SimSun" w:eastAsia="SimSun" w:hAnsi="SimSun" w:cs="SimSun"/>
          <w:spacing w:val="1"/>
          <w:sz w:val="24"/>
          <w:szCs w:val="24"/>
          <w14:textOutline w14:w="4354">
            <w14:solidFill>
              <w14:srgbClr w14:val="000000"/>
            </w14:solidFill>
            <w14:prstDash w14:val="solid"/>
            <w14:miter w14:lim="10"/>
          </w14:textOutline>
        </w:rPr>
        <w:t>、本次发行符合《证券法》规定的发行条件</w:t>
      </w:r>
    </w:p>
    <w:p>
      <w:pPr>
        <w:spacing w:before="244" w:line="468" w:lineRule="exact"/>
        <w:ind w:right="9"/>
        <w:jc w:val="right"/>
        <w:rPr>
          <w:rFonts w:ascii="SimSun" w:eastAsia="SimSun" w:hAnsi="SimSun" w:cs="SimSun"/>
          <w:sz w:val="24"/>
          <w:szCs w:val="24"/>
        </w:rPr>
      </w:pPr>
      <w:r>
        <w:rPr>
          <w:rFonts w:ascii="SimSun" w:eastAsia="SimSun" w:hAnsi="SimSun" w:cs="SimSun"/>
          <w:spacing w:val="-3"/>
          <w:position w:val="17"/>
          <w:sz w:val="24"/>
          <w:szCs w:val="24"/>
        </w:rPr>
        <w:t>本次发行符合《证券法》第九条的相关规定：非公开发行证券，不得采</w:t>
      </w:r>
      <w:r>
        <w:rPr>
          <w:rFonts w:ascii="SimSun" w:eastAsia="SimSun" w:hAnsi="SimSun" w:cs="SimSun"/>
          <w:spacing w:val="-4"/>
          <w:position w:val="17"/>
          <w:sz w:val="24"/>
          <w:szCs w:val="24"/>
        </w:rPr>
        <w:t>用广</w:t>
      </w:r>
    </w:p>
    <w:p>
      <w:pPr>
        <w:spacing w:before="1" w:line="218" w:lineRule="auto"/>
        <w:ind w:left="31"/>
        <w:rPr>
          <w:rFonts w:ascii="SimSun" w:eastAsia="SimSun" w:hAnsi="SimSun" w:cs="SimSun"/>
          <w:sz w:val="24"/>
          <w:szCs w:val="24"/>
        </w:rPr>
      </w:pPr>
      <w:r>
        <w:rPr>
          <w:rFonts w:ascii="SimSun" w:eastAsia="SimSun" w:hAnsi="SimSun" w:cs="SimSun"/>
          <w:spacing w:val="-3"/>
          <w:sz w:val="24"/>
          <w:szCs w:val="24"/>
        </w:rPr>
        <w:t>告、公开劝诱和变相公开方式。</w:t>
      </w:r>
    </w:p>
    <w:p>
      <w:pPr>
        <w:spacing w:before="185" w:line="360" w:lineRule="auto"/>
        <w:ind w:left="26" w:firstLine="480"/>
        <w:rPr>
          <w:rFonts w:ascii="SimSun" w:eastAsia="SimSun" w:hAnsi="SimSun" w:cs="SimSun"/>
          <w:sz w:val="24"/>
          <w:szCs w:val="24"/>
        </w:rPr>
      </w:pPr>
      <w:r>
        <w:rPr>
          <w:rFonts w:ascii="SimSun" w:eastAsia="SimSun" w:hAnsi="SimSun" w:cs="SimSun"/>
          <w:spacing w:val="-5"/>
          <w:sz w:val="24"/>
          <w:szCs w:val="24"/>
        </w:rPr>
        <w:t>本次发行符合《证券法》第十二条的相关规定：</w:t>
      </w:r>
      <w:r>
        <w:rPr>
          <w:rFonts w:ascii="SimSun" w:eastAsia="SimSun" w:hAnsi="SimSun" w:cs="SimSun"/>
          <w:spacing w:val="-44"/>
          <w:sz w:val="24"/>
          <w:szCs w:val="24"/>
        </w:rPr>
        <w:t xml:space="preserve"> </w:t>
      </w:r>
      <w:r>
        <w:rPr>
          <w:rFonts w:ascii="SimSun" w:eastAsia="SimSun" w:hAnsi="SimSun" w:cs="SimSun"/>
          <w:spacing w:val="-5"/>
          <w:sz w:val="24"/>
          <w:szCs w:val="24"/>
        </w:rPr>
        <w:t>上市公司</w:t>
      </w:r>
      <w:r>
        <w:rPr>
          <w:rFonts w:ascii="SimSun" w:eastAsia="SimSun" w:hAnsi="SimSun" w:cs="SimSun"/>
          <w:spacing w:val="-6"/>
          <w:sz w:val="24"/>
          <w:szCs w:val="24"/>
        </w:rPr>
        <w:t>发行新股，应当符</w:t>
      </w:r>
      <w:r>
        <w:rPr>
          <w:rFonts w:ascii="SimSun" w:eastAsia="SimSun" w:hAnsi="SimSun" w:cs="SimSun"/>
          <w:sz w:val="24"/>
          <w:szCs w:val="24"/>
        </w:rPr>
        <w:t xml:space="preserve"> </w:t>
      </w:r>
      <w:r>
        <w:rPr>
          <w:rFonts w:ascii="SimSun" w:eastAsia="SimSun" w:hAnsi="SimSun" w:cs="SimSun"/>
          <w:spacing w:val="-5"/>
          <w:sz w:val="24"/>
          <w:szCs w:val="24"/>
        </w:rPr>
        <w:t>合经国务院批准的国务院证券监督管理机构规定的条件，</w:t>
      </w:r>
      <w:r>
        <w:rPr>
          <w:rFonts w:ascii="SimSun" w:eastAsia="SimSun" w:hAnsi="SimSun" w:cs="SimSun"/>
          <w:spacing w:val="-30"/>
          <w:sz w:val="24"/>
          <w:szCs w:val="24"/>
        </w:rPr>
        <w:t xml:space="preserve"> </w:t>
      </w:r>
      <w:r>
        <w:rPr>
          <w:rFonts w:ascii="SimSun" w:eastAsia="SimSun" w:hAnsi="SimSun" w:cs="SimSun"/>
          <w:spacing w:val="-5"/>
          <w:sz w:val="24"/>
          <w:szCs w:val="24"/>
        </w:rPr>
        <w:t>具体管理</w:t>
      </w:r>
      <w:r>
        <w:rPr>
          <w:rFonts w:ascii="SimSun" w:eastAsia="SimSun" w:hAnsi="SimSun" w:cs="SimSun"/>
          <w:spacing w:val="-6"/>
          <w:sz w:val="24"/>
          <w:szCs w:val="24"/>
        </w:rPr>
        <w:t>办法由国务院</w:t>
      </w:r>
    </w:p>
    <w:p>
      <w:pPr>
        <w:spacing w:before="1" w:line="218" w:lineRule="auto"/>
        <w:ind w:left="25"/>
        <w:rPr>
          <w:rFonts w:ascii="SimSun" w:eastAsia="SimSun" w:hAnsi="SimSun" w:cs="SimSun"/>
          <w:sz w:val="24"/>
          <w:szCs w:val="24"/>
        </w:rPr>
      </w:pPr>
      <w:r>
        <w:rPr>
          <w:rFonts w:ascii="SimSun" w:eastAsia="SimSun" w:hAnsi="SimSun" w:cs="SimSun"/>
          <w:spacing w:val="-4"/>
          <w:sz w:val="24"/>
          <w:szCs w:val="24"/>
        </w:rPr>
        <w:t>证券监督管理机构规定。</w:t>
      </w:r>
    </w:p>
    <w:p>
      <w:pPr>
        <w:spacing w:before="256" w:line="219" w:lineRule="auto"/>
        <w:ind w:right="6"/>
        <w:jc w:val="right"/>
        <w:outlineLvl w:val="2"/>
        <w:rPr>
          <w:rFonts w:ascii="SimSun" w:eastAsia="SimSun" w:hAnsi="SimSun" w:cs="SimSun"/>
          <w:sz w:val="24"/>
          <w:szCs w:val="24"/>
        </w:rPr>
      </w:pPr>
      <w:r>
        <w:rPr>
          <w:rFonts w:ascii="Times New Roman" w:eastAsia="Times New Roman" w:hAnsi="Times New Roman" w:cs="Times New Roman"/>
          <w:b/>
          <w:bCs/>
          <w:spacing w:val="1"/>
          <w:sz w:val="24"/>
          <w:szCs w:val="24"/>
        </w:rPr>
        <w:t>2</w:t>
      </w:r>
      <w:r>
        <w:rPr>
          <w:rFonts w:ascii="SimSun" w:eastAsia="SimSun" w:hAnsi="SimSun" w:cs="SimSun"/>
          <w:spacing w:val="1"/>
          <w:sz w:val="24"/>
          <w:szCs w:val="24"/>
          <w14:textOutline w14:w="4354">
            <w14:solidFill>
              <w14:srgbClr w14:val="000000"/>
            </w14:solidFill>
            <w14:prstDash w14:val="solid"/>
            <w14:miter w14:lim="10"/>
          </w14:textOutline>
        </w:rPr>
        <w:t>、公司不存在《注册管理办法》第十一条规定的创业板上市</w:t>
      </w:r>
      <w:r>
        <w:rPr>
          <w:rFonts w:ascii="SimSun" w:eastAsia="SimSun" w:hAnsi="SimSun" w:cs="SimSun"/>
          <w:sz w:val="24"/>
          <w:szCs w:val="24"/>
          <w14:textOutline w14:w="4354">
            <w14:solidFill>
              <w14:srgbClr w14:val="000000"/>
            </w14:solidFill>
            <w14:prstDash w14:val="solid"/>
            <w14:miter w14:lim="10"/>
          </w14:textOutline>
        </w:rPr>
        <w:t>公司不得向特</w:t>
      </w:r>
    </w:p>
    <w:p>
      <w:pPr>
        <w:spacing w:before="183" w:line="220" w:lineRule="auto"/>
        <w:ind w:left="31"/>
        <w:rPr>
          <w:rFonts w:ascii="SimSun" w:eastAsia="SimSun" w:hAnsi="SimSun" w:cs="SimSun"/>
          <w:sz w:val="24"/>
          <w:szCs w:val="24"/>
        </w:rPr>
      </w:pPr>
      <w:r>
        <w:rPr>
          <w:rFonts w:ascii="SimSun" w:eastAsia="SimSun" w:hAnsi="SimSun" w:cs="SimSun"/>
          <w:spacing w:val="3"/>
          <w:sz w:val="24"/>
          <w:szCs w:val="24"/>
          <w14:textOutline w14:w="4354">
            <w14:solidFill>
              <w14:srgbClr w14:val="000000"/>
            </w14:solidFill>
            <w14:prstDash w14:val="solid"/>
            <w14:miter w14:lim="10"/>
          </w14:textOutline>
        </w:rPr>
        <w:t>定对象发行股票的情形</w:t>
      </w:r>
    </w:p>
    <w:p>
      <w:pPr>
        <w:spacing w:before="231" w:line="219" w:lineRule="auto"/>
        <w:ind w:left="512"/>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1</w:t>
      </w:r>
      <w:r>
        <w:rPr>
          <w:rFonts w:ascii="SimSun" w:eastAsia="SimSun" w:hAnsi="SimSun" w:cs="SimSun"/>
          <w:spacing w:val="-2"/>
          <w:sz w:val="24"/>
          <w:szCs w:val="24"/>
        </w:rPr>
        <w:t>）擅自改变前次募集资金用途未作纠正，或者未经股东大会认可；</w:t>
      </w:r>
    </w:p>
    <w:p>
      <w:pPr>
        <w:spacing w:before="185" w:line="360" w:lineRule="auto"/>
        <w:ind w:left="25" w:firstLine="486"/>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2</w:t>
      </w:r>
      <w:r>
        <w:rPr>
          <w:rFonts w:ascii="SimSun" w:eastAsia="SimSun" w:hAnsi="SimSun" w:cs="SimSun"/>
          <w:sz w:val="24"/>
          <w:szCs w:val="24"/>
        </w:rPr>
        <w:t>）最近一年财务报表的编制和披露在重大方面不符合企业会计准则或者</w:t>
      </w:r>
      <w:r>
        <w:rPr>
          <w:rFonts w:ascii="SimSun" w:eastAsia="SimSun" w:hAnsi="SimSun" w:cs="SimSun"/>
          <w:spacing w:val="10"/>
          <w:sz w:val="24"/>
          <w:szCs w:val="24"/>
        </w:rPr>
        <w:t xml:space="preserve"> </w:t>
      </w:r>
      <w:r>
        <w:rPr>
          <w:rFonts w:ascii="SimSun" w:eastAsia="SimSun" w:hAnsi="SimSun" w:cs="SimSun"/>
          <w:spacing w:val="-5"/>
          <w:sz w:val="24"/>
          <w:szCs w:val="24"/>
        </w:rPr>
        <w:t>相关信息披露规则的规定；</w:t>
      </w:r>
      <w:r>
        <w:rPr>
          <w:rFonts w:ascii="SimSun" w:eastAsia="SimSun" w:hAnsi="SimSun" w:cs="SimSun"/>
          <w:spacing w:val="-28"/>
          <w:sz w:val="24"/>
          <w:szCs w:val="24"/>
        </w:rPr>
        <w:t xml:space="preserve"> </w:t>
      </w:r>
      <w:r>
        <w:rPr>
          <w:rFonts w:ascii="SimSun" w:eastAsia="SimSun" w:hAnsi="SimSun" w:cs="SimSun"/>
          <w:spacing w:val="-5"/>
          <w:sz w:val="24"/>
          <w:szCs w:val="24"/>
        </w:rPr>
        <w:t>最近一年财务会计报告被出具否定意</w:t>
      </w:r>
      <w:r>
        <w:rPr>
          <w:rFonts w:ascii="SimSun" w:eastAsia="SimSun" w:hAnsi="SimSun" w:cs="SimSun"/>
          <w:spacing w:val="-6"/>
          <w:sz w:val="24"/>
          <w:szCs w:val="24"/>
        </w:rPr>
        <w:t>见或者无法表示</w:t>
      </w:r>
      <w:r>
        <w:rPr>
          <w:rFonts w:ascii="SimSun" w:eastAsia="SimSun" w:hAnsi="SimSun" w:cs="SimSun"/>
          <w:sz w:val="24"/>
          <w:szCs w:val="24"/>
        </w:rPr>
        <w:t xml:space="preserve"> </w:t>
      </w:r>
      <w:r>
        <w:rPr>
          <w:rFonts w:ascii="SimSun" w:eastAsia="SimSun" w:hAnsi="SimSun" w:cs="SimSun"/>
          <w:spacing w:val="-9"/>
          <w:sz w:val="24"/>
          <w:szCs w:val="24"/>
        </w:rPr>
        <w:t>意见的审计报告； 最近一年财务会计报告被出具保留意见的审计报告， 且保留意</w:t>
      </w:r>
      <w:r>
        <w:rPr>
          <w:rFonts w:ascii="SimSun" w:eastAsia="SimSun" w:hAnsi="SimSun" w:cs="SimSun"/>
          <w:spacing w:val="2"/>
          <w:sz w:val="24"/>
          <w:szCs w:val="24"/>
        </w:rPr>
        <w:t xml:space="preserve"> </w:t>
      </w:r>
      <w:r>
        <w:rPr>
          <w:rFonts w:ascii="SimSun" w:eastAsia="SimSun" w:hAnsi="SimSun" w:cs="SimSun"/>
          <w:spacing w:val="-3"/>
          <w:sz w:val="24"/>
          <w:szCs w:val="24"/>
        </w:rPr>
        <w:t>见所涉及事项对上市公司的重大不利影响尚未消除。本次发行涉及重大资产重组</w:t>
      </w:r>
    </w:p>
    <w:p>
      <w:pPr>
        <w:spacing w:before="1" w:line="219" w:lineRule="auto"/>
        <w:ind w:left="45"/>
        <w:rPr>
          <w:rFonts w:ascii="SimSun" w:eastAsia="SimSun" w:hAnsi="SimSun" w:cs="SimSun"/>
          <w:sz w:val="24"/>
          <w:szCs w:val="24"/>
        </w:rPr>
      </w:pPr>
      <w:r>
        <w:rPr>
          <w:rFonts w:ascii="SimSun" w:eastAsia="SimSun" w:hAnsi="SimSun" w:cs="SimSun"/>
          <w:spacing w:val="-16"/>
          <w:sz w:val="24"/>
          <w:szCs w:val="24"/>
        </w:rPr>
        <w:t>的除外；</w:t>
      </w:r>
    </w:p>
    <w:p>
      <w:pPr>
        <w:spacing w:before="183" w:line="468" w:lineRule="exact"/>
        <w:ind w:right="54"/>
        <w:jc w:val="right"/>
        <w:rPr>
          <w:rFonts w:ascii="SimSun" w:eastAsia="SimSun" w:hAnsi="SimSun" w:cs="SimSun"/>
          <w:sz w:val="24"/>
          <w:szCs w:val="24"/>
        </w:rPr>
      </w:pP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3</w:t>
      </w:r>
      <w:r>
        <w:rPr>
          <w:rFonts w:ascii="SimSun" w:eastAsia="SimSun" w:hAnsi="SimSun" w:cs="SimSun"/>
          <w:spacing w:val="-1"/>
          <w:position w:val="17"/>
          <w:sz w:val="24"/>
          <w:szCs w:val="24"/>
        </w:rPr>
        <w:t>）现任董事、监事和高级管理人员最近三年受到中国证监会行政处罚，</w:t>
      </w:r>
    </w:p>
    <w:p>
      <w:pPr>
        <w:spacing w:before="1" w:line="219" w:lineRule="auto"/>
        <w:ind w:left="28"/>
        <w:rPr>
          <w:rFonts w:ascii="SimSun" w:eastAsia="SimSun" w:hAnsi="SimSun" w:cs="SimSun"/>
          <w:sz w:val="24"/>
          <w:szCs w:val="24"/>
        </w:rPr>
      </w:pPr>
      <w:r>
        <w:rPr>
          <w:rFonts w:ascii="SimSun" w:eastAsia="SimSun" w:hAnsi="SimSun" w:cs="SimSun"/>
          <w:spacing w:val="-4"/>
          <w:sz w:val="24"/>
          <w:szCs w:val="24"/>
        </w:rPr>
        <w:t>或者最近一年受到证券交易所公开谴责；</w:t>
      </w:r>
    </w:p>
    <w:p>
      <w:pPr>
        <w:spacing w:before="183" w:line="468" w:lineRule="exact"/>
        <w:ind w:right="21"/>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4</w:t>
      </w:r>
      <w:r>
        <w:rPr>
          <w:rFonts w:ascii="SimSun" w:eastAsia="SimSun" w:hAnsi="SimSun" w:cs="SimSun"/>
          <w:position w:val="17"/>
          <w:sz w:val="24"/>
          <w:szCs w:val="24"/>
        </w:rPr>
        <w:t>）上市公司及其现任董事、监事和高级管理人员因涉嫌犯罪正在被司法</w:t>
      </w:r>
    </w:p>
    <w:p>
      <w:pPr>
        <w:spacing w:before="1" w:line="218" w:lineRule="auto"/>
        <w:ind w:left="24"/>
        <w:rPr>
          <w:rFonts w:ascii="SimSun" w:eastAsia="SimSun" w:hAnsi="SimSun" w:cs="SimSun"/>
          <w:sz w:val="24"/>
          <w:szCs w:val="24"/>
        </w:rPr>
      </w:pPr>
      <w:r>
        <w:rPr>
          <w:rFonts w:ascii="SimSun" w:eastAsia="SimSun" w:hAnsi="SimSun" w:cs="SimSun"/>
          <w:spacing w:val="-2"/>
          <w:sz w:val="24"/>
          <w:szCs w:val="24"/>
        </w:rPr>
        <w:t>机关立案侦查或者涉嫌违法违规正在被中国证监会立案调查；</w:t>
      </w:r>
    </w:p>
    <w:p>
      <w:pPr>
        <w:spacing w:before="184" w:line="468" w:lineRule="exact"/>
        <w:ind w:right="30"/>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5</w:t>
      </w:r>
      <w:r>
        <w:rPr>
          <w:rFonts w:ascii="SimSun" w:eastAsia="SimSun" w:hAnsi="SimSun" w:cs="SimSun"/>
          <w:position w:val="17"/>
          <w:sz w:val="24"/>
          <w:szCs w:val="24"/>
        </w:rPr>
        <w:t>）控股股东、实际控制人最近三年存在严重损害上市</w:t>
      </w:r>
      <w:r>
        <w:rPr>
          <w:rFonts w:ascii="SimSun" w:eastAsia="SimSun" w:hAnsi="SimSun" w:cs="SimSun"/>
          <w:spacing w:val="-1"/>
          <w:position w:val="17"/>
          <w:sz w:val="24"/>
          <w:szCs w:val="24"/>
        </w:rPr>
        <w:t>公司利益或者投资</w:t>
      </w:r>
    </w:p>
    <w:p>
      <w:pPr>
        <w:spacing w:before="1" w:line="219" w:lineRule="auto"/>
        <w:ind w:left="27"/>
        <w:rPr>
          <w:rFonts w:ascii="SimSun" w:eastAsia="SimSun" w:hAnsi="SimSun" w:cs="SimSun"/>
          <w:sz w:val="24"/>
          <w:szCs w:val="24"/>
        </w:rPr>
      </w:pPr>
      <w:r>
        <w:rPr>
          <w:rFonts w:ascii="SimSun" w:eastAsia="SimSun" w:hAnsi="SimSun" w:cs="SimSun"/>
          <w:spacing w:val="-5"/>
          <w:sz w:val="24"/>
          <w:szCs w:val="24"/>
        </w:rPr>
        <w:t>者合法权益的重大违法行为；</w:t>
      </w:r>
    </w:p>
    <w:p>
      <w:pPr>
        <w:spacing w:before="183" w:line="468" w:lineRule="exact"/>
        <w:ind w:right="21"/>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6</w:t>
      </w:r>
      <w:r>
        <w:rPr>
          <w:rFonts w:ascii="SimSun" w:eastAsia="SimSun" w:hAnsi="SimSun" w:cs="SimSun"/>
          <w:position w:val="17"/>
          <w:sz w:val="24"/>
          <w:szCs w:val="24"/>
        </w:rPr>
        <w:t>）最近三年存在严重损害投资者合法权益或者社会公共利益的重大违法</w:t>
      </w:r>
    </w:p>
    <w:p>
      <w:pPr>
        <w:spacing w:before="1" w:line="220" w:lineRule="auto"/>
        <w:ind w:left="29"/>
        <w:rPr>
          <w:rFonts w:ascii="SimSun" w:eastAsia="SimSun" w:hAnsi="SimSun" w:cs="SimSun"/>
          <w:sz w:val="24"/>
          <w:szCs w:val="24"/>
        </w:rPr>
        <w:sectPr>
          <w:footerReference w:type="default" r:id="rId13"/>
          <w:pgSz w:w="11905" w:h="16836"/>
          <w:pgMar w:top="1431" w:right="1781" w:bottom="902" w:left="1785" w:header="0" w:footer="711" w:gutter="0"/>
          <w:pgNumType w:start="13"/>
          <w:cols w:space="708"/>
        </w:sectPr>
      </w:pPr>
      <w:r>
        <w:rPr>
          <w:rFonts w:ascii="SimSun" w:eastAsia="SimSun" w:hAnsi="SimSun" w:cs="SimSun"/>
          <w:spacing w:val="-11"/>
          <w:sz w:val="24"/>
          <w:szCs w:val="24"/>
        </w:rPr>
        <w:t>行为。</w:t>
      </w:r>
    </w:p>
    <w:p>
      <w:pPr>
        <w:spacing w:before="253" w:line="220" w:lineRule="auto"/>
        <w:ind w:left="500"/>
        <w:outlineLvl w:val="2"/>
        <w:rPr>
          <w:rFonts w:ascii="SimSun" w:eastAsia="SimSun" w:hAnsi="SimSun" w:cs="SimSun"/>
          <w:sz w:val="24"/>
          <w:szCs w:val="24"/>
        </w:rPr>
      </w:pPr>
      <w:r>
        <w:rPr>
          <w:rFonts w:ascii="Times New Roman" w:eastAsia="Times New Roman" w:hAnsi="Times New Roman" w:cs="Times New Roman"/>
          <w:b/>
          <w:bCs/>
          <w:spacing w:val="2"/>
          <w:sz w:val="24"/>
          <w:szCs w:val="24"/>
        </w:rPr>
        <w:t>3</w:t>
      </w:r>
      <w:r>
        <w:rPr>
          <w:rFonts w:ascii="SimSun" w:eastAsia="SimSun" w:hAnsi="SimSun" w:cs="SimSun"/>
          <w:spacing w:val="2"/>
          <w:sz w:val="24"/>
          <w:szCs w:val="24"/>
          <w14:textOutline w14:w="4354">
            <w14:solidFill>
              <w14:srgbClr w14:val="000000"/>
            </w14:solidFill>
            <w14:prstDash w14:val="solid"/>
            <w14:miter w14:lim="10"/>
          </w14:textOutline>
        </w:rPr>
        <w:t>、公司募集资金使用符合《注册管理办法》第十二条的规定</w:t>
      </w:r>
    </w:p>
    <w:p>
      <w:pPr>
        <w:spacing w:line="220" w:lineRule="auto"/>
        <w:rPr>
          <w:rFonts w:ascii="SimSun" w:eastAsia="SimSun" w:hAnsi="SimSun" w:cs="SimSun"/>
          <w:sz w:val="24"/>
          <w:szCs w:val="24"/>
        </w:rPr>
        <w:sectPr>
          <w:footerReference w:type="default" r:id="rId14"/>
          <w:type w:val="nextPage"/>
          <w:pgSz w:w="11905" w:h="16836"/>
          <w:pgMar w:top="1431" w:right="1781" w:bottom="902" w:left="1785" w:header="0" w:footer="711" w:gutter="0"/>
          <w:pgNumType w:start="14"/>
          <w:cols w:space="708"/>
          <w:titlePg w:val="0"/>
        </w:sectPr>
      </w:pPr>
    </w:p>
    <w:p>
      <w:pPr>
        <w:spacing w:before="115" w:line="220" w:lineRule="auto"/>
        <w:ind w:right="6"/>
        <w:jc w:val="right"/>
        <w:rPr>
          <w:rFonts w:ascii="SimSun" w:eastAsia="SimSun" w:hAnsi="SimSun" w:cs="SimSun"/>
          <w:sz w:val="24"/>
          <w:szCs w:val="24"/>
        </w:rPr>
      </w:pPr>
      <w:r>
        <w:rPr>
          <w:rFonts w:ascii="SimSun" w:eastAsia="SimSun" w:hAnsi="SimSun" w:cs="SimSun"/>
          <w:spacing w:val="-7"/>
          <w:sz w:val="24"/>
          <w:szCs w:val="24"/>
        </w:rPr>
        <w:t>（</w:t>
      </w:r>
      <w:r>
        <w:rPr>
          <w:rFonts w:ascii="Times New Roman" w:eastAsia="Times New Roman" w:hAnsi="Times New Roman" w:cs="Times New Roman"/>
          <w:spacing w:val="-7"/>
          <w:sz w:val="24"/>
          <w:szCs w:val="24"/>
        </w:rPr>
        <w:t>1</w:t>
      </w:r>
      <w:r>
        <w:rPr>
          <w:rFonts w:ascii="SimSun" w:eastAsia="SimSun" w:hAnsi="SimSun" w:cs="SimSun"/>
          <w:spacing w:val="-7"/>
          <w:sz w:val="24"/>
          <w:szCs w:val="24"/>
        </w:rPr>
        <w:t>）符合国家产业政策和有关环境保护、土地管理等法律、行政法规规定；</w:t>
      </w:r>
    </w:p>
    <w:p>
      <w:pPr>
        <w:spacing w:before="182" w:line="469" w:lineRule="exact"/>
        <w:ind w:right="24"/>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2</w:t>
      </w:r>
      <w:r>
        <w:rPr>
          <w:rFonts w:ascii="SimSun" w:eastAsia="SimSun" w:hAnsi="SimSun" w:cs="SimSun"/>
          <w:position w:val="17"/>
          <w:sz w:val="24"/>
          <w:szCs w:val="24"/>
        </w:rPr>
        <w:t>）除金融类企业外，本次募集资金使用不得为持有财务性投资，不</w:t>
      </w:r>
      <w:r>
        <w:rPr>
          <w:rFonts w:ascii="SimSun" w:eastAsia="SimSun" w:hAnsi="SimSun" w:cs="SimSun"/>
          <w:spacing w:val="-1"/>
          <w:position w:val="17"/>
          <w:sz w:val="24"/>
          <w:szCs w:val="24"/>
        </w:rPr>
        <w:t>得直</w:t>
      </w:r>
    </w:p>
    <w:p>
      <w:pPr>
        <w:spacing w:line="218" w:lineRule="auto"/>
        <w:ind w:left="24"/>
        <w:rPr>
          <w:rFonts w:ascii="SimSun" w:eastAsia="SimSun" w:hAnsi="SimSun" w:cs="SimSun"/>
          <w:sz w:val="24"/>
          <w:szCs w:val="24"/>
        </w:rPr>
      </w:pPr>
      <w:r>
        <w:rPr>
          <w:rFonts w:ascii="SimSun" w:eastAsia="SimSun" w:hAnsi="SimSun" w:cs="SimSun"/>
          <w:spacing w:val="-2"/>
          <w:sz w:val="24"/>
          <w:szCs w:val="24"/>
        </w:rPr>
        <w:t>接或者间接投资于以买卖有价证券为主要业务的</w:t>
      </w:r>
      <w:r>
        <w:rPr>
          <w:rFonts w:ascii="SimSun" w:eastAsia="SimSun" w:hAnsi="SimSun" w:cs="SimSun"/>
          <w:spacing w:val="-3"/>
          <w:sz w:val="24"/>
          <w:szCs w:val="24"/>
        </w:rPr>
        <w:t>公司；</w:t>
      </w:r>
    </w:p>
    <w:p>
      <w:pPr>
        <w:spacing w:before="185" w:line="360" w:lineRule="auto"/>
        <w:ind w:left="29" w:firstLine="483"/>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3</w:t>
      </w:r>
      <w:r>
        <w:rPr>
          <w:rFonts w:ascii="SimSun" w:eastAsia="SimSun" w:hAnsi="SimSun" w:cs="SimSun"/>
          <w:sz w:val="24"/>
          <w:szCs w:val="24"/>
        </w:rPr>
        <w:t>）募集资金项目实施后，不会与控股股东、实际控制人及其控制的其他</w:t>
      </w:r>
      <w:r>
        <w:rPr>
          <w:rFonts w:ascii="SimSun" w:eastAsia="SimSun" w:hAnsi="SimSun" w:cs="SimSun"/>
          <w:spacing w:val="10"/>
          <w:sz w:val="24"/>
          <w:szCs w:val="24"/>
        </w:rPr>
        <w:t xml:space="preserve"> </w:t>
      </w:r>
      <w:r>
        <w:rPr>
          <w:rFonts w:ascii="SimSun" w:eastAsia="SimSun" w:hAnsi="SimSun" w:cs="SimSun"/>
          <w:spacing w:val="-6"/>
          <w:sz w:val="24"/>
          <w:szCs w:val="24"/>
        </w:rPr>
        <w:t>企业新增构成重大不利影响的同业竞争、显失公平的关联交易， 或者严重影响公</w:t>
      </w:r>
    </w:p>
    <w:p>
      <w:pPr>
        <w:spacing w:line="219" w:lineRule="auto"/>
        <w:ind w:left="35"/>
        <w:rPr>
          <w:rFonts w:ascii="SimSun" w:eastAsia="SimSun" w:hAnsi="SimSun" w:cs="SimSun"/>
          <w:sz w:val="24"/>
          <w:szCs w:val="24"/>
        </w:rPr>
      </w:pPr>
      <w:r>
        <w:rPr>
          <w:rFonts w:ascii="SimSun" w:eastAsia="SimSun" w:hAnsi="SimSun" w:cs="SimSun"/>
          <w:spacing w:val="-5"/>
          <w:sz w:val="24"/>
          <w:szCs w:val="24"/>
        </w:rPr>
        <w:t>司生产经营的独立性。</w:t>
      </w:r>
    </w:p>
    <w:p>
      <w:pPr>
        <w:spacing w:before="254" w:line="219" w:lineRule="auto"/>
        <w:ind w:right="7"/>
        <w:jc w:val="right"/>
        <w:outlineLvl w:val="2"/>
        <w:rPr>
          <w:rFonts w:ascii="SimSun" w:eastAsia="SimSun" w:hAnsi="SimSun" w:cs="SimSun"/>
          <w:sz w:val="24"/>
          <w:szCs w:val="24"/>
        </w:rPr>
      </w:pPr>
      <w:r>
        <w:rPr>
          <w:rFonts w:ascii="Times New Roman" w:eastAsia="Times New Roman" w:hAnsi="Times New Roman" w:cs="Times New Roman"/>
          <w:b/>
          <w:bCs/>
          <w:spacing w:val="1"/>
          <w:sz w:val="24"/>
          <w:szCs w:val="24"/>
        </w:rPr>
        <w:t>4</w:t>
      </w:r>
      <w:r>
        <w:rPr>
          <w:rFonts w:ascii="SimSun" w:eastAsia="SimSun" w:hAnsi="SimSun" w:cs="SimSun"/>
          <w:spacing w:val="1"/>
          <w:sz w:val="24"/>
          <w:szCs w:val="24"/>
          <w14:textOutline w14:w="4354">
            <w14:solidFill>
              <w14:srgbClr w14:val="000000"/>
            </w14:solidFill>
            <w14:prstDash w14:val="solid"/>
            <w14:miter w14:lim="10"/>
          </w14:textOutline>
        </w:rPr>
        <w:t>、本次发行符合《注册管理办法》第二十一条、第二十</w:t>
      </w:r>
      <w:r>
        <w:rPr>
          <w:rFonts w:ascii="SimSun" w:eastAsia="SimSun" w:hAnsi="SimSun" w:cs="SimSun"/>
          <w:sz w:val="24"/>
          <w:szCs w:val="24"/>
          <w14:textOutline w14:w="4354">
            <w14:solidFill>
              <w14:srgbClr w14:val="000000"/>
            </w14:solidFill>
            <w14:prstDash w14:val="solid"/>
            <w14:miter w14:lim="10"/>
          </w14:textOutline>
        </w:rPr>
        <w:t>八条关于适用简易</w:t>
      </w:r>
    </w:p>
    <w:p>
      <w:pPr>
        <w:spacing w:before="184" w:line="220" w:lineRule="auto"/>
        <w:ind w:left="24"/>
        <w:rPr>
          <w:rFonts w:ascii="SimSun" w:eastAsia="SimSun" w:hAnsi="SimSun" w:cs="SimSun"/>
          <w:sz w:val="24"/>
          <w:szCs w:val="24"/>
        </w:rPr>
      </w:pPr>
      <w:r>
        <w:rPr>
          <w:rFonts w:ascii="SimSun" w:eastAsia="SimSun" w:hAnsi="SimSun" w:cs="SimSun"/>
          <w:spacing w:val="5"/>
          <w:sz w:val="24"/>
          <w:szCs w:val="24"/>
          <w14:textOutline w14:w="4354">
            <w14:solidFill>
              <w14:srgbClr w14:val="000000"/>
            </w14:solidFill>
            <w14:prstDash w14:val="solid"/>
            <w14:miter w14:lim="10"/>
          </w14:textOutline>
        </w:rPr>
        <w:t>程序的规定</w:t>
      </w:r>
    </w:p>
    <w:p>
      <w:pPr>
        <w:spacing w:before="231" w:line="360" w:lineRule="auto"/>
        <w:ind w:left="31" w:right="13" w:firstLine="476"/>
        <w:jc w:val="both"/>
        <w:rPr>
          <w:rFonts w:ascii="SimSun" w:eastAsia="SimSun" w:hAnsi="SimSun" w:cs="SimSun"/>
          <w:sz w:val="24"/>
          <w:szCs w:val="24"/>
        </w:rPr>
      </w:pPr>
      <w:r>
        <w:rPr>
          <w:rFonts w:ascii="SimSun" w:eastAsia="SimSun" w:hAnsi="SimSun" w:cs="SimSun"/>
          <w:spacing w:val="-7"/>
          <w:sz w:val="24"/>
          <w:szCs w:val="24"/>
        </w:rPr>
        <w:t>上市公司年度股东大会可以根据《公司章程》的规定， 授权董事会决定向特</w:t>
      </w:r>
      <w:r>
        <w:rPr>
          <w:rFonts w:ascii="SimSun" w:eastAsia="SimSun" w:hAnsi="SimSun" w:cs="SimSun"/>
          <w:spacing w:val="12"/>
          <w:sz w:val="24"/>
          <w:szCs w:val="24"/>
        </w:rPr>
        <w:t xml:space="preserve"> </w:t>
      </w:r>
      <w:r>
        <w:rPr>
          <w:rFonts w:ascii="SimSun" w:eastAsia="SimSun" w:hAnsi="SimSun" w:cs="SimSun"/>
          <w:spacing w:val="1"/>
          <w:sz w:val="24"/>
          <w:szCs w:val="24"/>
        </w:rPr>
        <w:t xml:space="preserve">定对象发行融资总额不超过人民币三亿元且不超过最近一年末净资产 </w:t>
      </w:r>
      <w:r>
        <w:rPr>
          <w:rFonts w:ascii="Times New Roman" w:eastAsia="Times New Roman" w:hAnsi="Times New Roman" w:cs="Times New Roman"/>
          <w:spacing w:val="1"/>
          <w:sz w:val="24"/>
          <w:szCs w:val="24"/>
        </w:rPr>
        <w:t>20%</w:t>
      </w:r>
      <w:r>
        <w:rPr>
          <w:rFonts w:ascii="SimSun" w:eastAsia="SimSun" w:hAnsi="SimSun" w:cs="SimSun"/>
          <w:spacing w:val="1"/>
          <w:sz w:val="24"/>
          <w:szCs w:val="24"/>
        </w:rPr>
        <w:t>的股</w:t>
      </w:r>
    </w:p>
    <w:p>
      <w:pPr>
        <w:spacing w:before="2" w:line="218" w:lineRule="auto"/>
        <w:ind w:left="27"/>
        <w:rPr>
          <w:rFonts w:ascii="SimSun" w:eastAsia="SimSun" w:hAnsi="SimSun" w:cs="SimSun"/>
          <w:sz w:val="24"/>
          <w:szCs w:val="24"/>
        </w:rPr>
      </w:pPr>
      <w:r>
        <w:rPr>
          <w:rFonts w:ascii="SimSun" w:eastAsia="SimSun" w:hAnsi="SimSun" w:cs="SimSun"/>
          <w:spacing w:val="-2"/>
          <w:sz w:val="24"/>
          <w:szCs w:val="24"/>
        </w:rPr>
        <w:t>票，该项授权在下一年度股东大会召开日失效。</w:t>
      </w:r>
    </w:p>
    <w:p>
      <w:pPr>
        <w:spacing w:before="255" w:line="219" w:lineRule="auto"/>
        <w:ind w:right="8"/>
        <w:jc w:val="right"/>
        <w:outlineLvl w:val="2"/>
        <w:rPr>
          <w:rFonts w:ascii="SimSun" w:eastAsia="SimSun" w:hAnsi="SimSun" w:cs="SimSun"/>
          <w:sz w:val="24"/>
          <w:szCs w:val="24"/>
        </w:rPr>
      </w:pPr>
      <w:r>
        <w:rPr>
          <w:rFonts w:ascii="Times New Roman" w:eastAsia="Times New Roman" w:hAnsi="Times New Roman" w:cs="Times New Roman"/>
          <w:b/>
          <w:bCs/>
          <w:spacing w:val="1"/>
          <w:sz w:val="24"/>
          <w:szCs w:val="24"/>
        </w:rPr>
        <w:t>5</w:t>
      </w:r>
      <w:r>
        <w:rPr>
          <w:rFonts w:ascii="SimSun" w:eastAsia="SimSun" w:hAnsi="SimSun" w:cs="SimSun"/>
          <w:spacing w:val="1"/>
          <w:sz w:val="24"/>
          <w:szCs w:val="24"/>
          <w14:textOutline w14:w="4354">
            <w14:solidFill>
              <w14:srgbClr w14:val="000000"/>
            </w14:solidFill>
            <w14:prstDash w14:val="solid"/>
            <w14:miter w14:lim="10"/>
          </w14:textOutline>
        </w:rPr>
        <w:t>、本次发行不存在《深圳证券交易所上市公司证</w:t>
      </w:r>
      <w:r>
        <w:rPr>
          <w:rFonts w:ascii="SimSun" w:eastAsia="SimSun" w:hAnsi="SimSun" w:cs="SimSun"/>
          <w:sz w:val="24"/>
          <w:szCs w:val="24"/>
          <w14:textOutline w14:w="4354">
            <w14:solidFill>
              <w14:srgbClr w14:val="000000"/>
            </w14:solidFill>
            <w14:prstDash w14:val="solid"/>
            <w14:miter w14:lim="10"/>
          </w14:textOutline>
        </w:rPr>
        <w:t>券发行上市审核规则》第</w:t>
      </w:r>
    </w:p>
    <w:p>
      <w:pPr>
        <w:spacing w:before="184" w:line="219" w:lineRule="auto"/>
        <w:ind w:left="25"/>
        <w:rPr>
          <w:rFonts w:ascii="SimSun" w:eastAsia="SimSun" w:hAnsi="SimSun" w:cs="SimSun"/>
          <w:sz w:val="24"/>
          <w:szCs w:val="24"/>
        </w:rPr>
      </w:pPr>
      <w:r>
        <w:rPr>
          <w:rFonts w:ascii="SimSun" w:eastAsia="SimSun" w:hAnsi="SimSun" w:cs="SimSun"/>
          <w:spacing w:val="2"/>
          <w:sz w:val="24"/>
          <w:szCs w:val="24"/>
          <w14:textOutline w14:w="4354">
            <w14:solidFill>
              <w14:srgbClr w14:val="000000"/>
            </w14:solidFill>
            <w14:prstDash w14:val="solid"/>
            <w14:miter w14:lim="10"/>
          </w14:textOutline>
        </w:rPr>
        <w:t>三十五条规定不得适用简易程序的情形</w:t>
      </w:r>
    </w:p>
    <w:p>
      <w:pPr>
        <w:spacing w:before="243" w:line="220" w:lineRule="auto"/>
        <w:ind w:left="512"/>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1</w:t>
      </w:r>
      <w:r>
        <w:rPr>
          <w:rFonts w:ascii="SimSun" w:eastAsia="SimSun" w:hAnsi="SimSun" w:cs="SimSun"/>
          <w:spacing w:val="-2"/>
          <w:sz w:val="24"/>
          <w:szCs w:val="24"/>
        </w:rPr>
        <w:t>）上市公司股票被实施退市风险警示或</w:t>
      </w:r>
      <w:r>
        <w:rPr>
          <w:rFonts w:ascii="SimSun" w:eastAsia="SimSun" w:hAnsi="SimSun" w:cs="SimSun"/>
          <w:spacing w:val="-3"/>
          <w:sz w:val="24"/>
          <w:szCs w:val="24"/>
        </w:rPr>
        <w:t>其他风险警示；</w:t>
      </w:r>
    </w:p>
    <w:p>
      <w:pPr>
        <w:spacing w:before="184" w:line="360" w:lineRule="auto"/>
        <w:ind w:left="35" w:firstLine="477"/>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2</w:t>
      </w:r>
      <w:r>
        <w:rPr>
          <w:rFonts w:ascii="SimSun" w:eastAsia="SimSun" w:hAnsi="SimSun" w:cs="SimSun"/>
          <w:sz w:val="24"/>
          <w:szCs w:val="24"/>
        </w:rPr>
        <w:t>）上市公司及其控股股东、实际控制人、现任董事、监事、高级管理人</w:t>
      </w:r>
      <w:r>
        <w:rPr>
          <w:rFonts w:ascii="SimSun" w:eastAsia="SimSun" w:hAnsi="SimSun" w:cs="SimSun"/>
          <w:spacing w:val="10"/>
          <w:sz w:val="24"/>
          <w:szCs w:val="24"/>
        </w:rPr>
        <w:t xml:space="preserve"> </w:t>
      </w:r>
      <w:r>
        <w:rPr>
          <w:rFonts w:ascii="SimSun" w:eastAsia="SimSun" w:hAnsi="SimSun" w:cs="SimSun"/>
          <w:spacing w:val="-3"/>
          <w:sz w:val="24"/>
          <w:szCs w:val="24"/>
        </w:rPr>
        <w:t>员最近三年受到中国证监会行政处罚、最近一年受到中国证监会行政监管措施或</w:t>
      </w:r>
    </w:p>
    <w:p>
      <w:pPr>
        <w:spacing w:line="219" w:lineRule="auto"/>
        <w:ind w:left="25"/>
        <w:rPr>
          <w:rFonts w:ascii="SimSun" w:eastAsia="SimSun" w:hAnsi="SimSun" w:cs="SimSun"/>
          <w:sz w:val="24"/>
          <w:szCs w:val="24"/>
        </w:rPr>
      </w:pPr>
      <w:r>
        <w:rPr>
          <w:rFonts w:ascii="SimSun" w:eastAsia="SimSun" w:hAnsi="SimSun" w:cs="SimSun"/>
          <w:spacing w:val="-6"/>
          <w:sz w:val="24"/>
          <w:szCs w:val="24"/>
        </w:rPr>
        <w:t>证券交易所纪律处分；</w:t>
      </w:r>
    </w:p>
    <w:p>
      <w:pPr>
        <w:spacing w:before="183" w:line="468" w:lineRule="exact"/>
        <w:ind w:right="14"/>
        <w:jc w:val="right"/>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3</w:t>
      </w:r>
      <w:r>
        <w:rPr>
          <w:rFonts w:ascii="SimSun" w:eastAsia="SimSun" w:hAnsi="SimSun" w:cs="SimSun"/>
          <w:position w:val="17"/>
          <w:sz w:val="24"/>
          <w:szCs w:val="24"/>
        </w:rPr>
        <w:t>）本次发行上市的保荐人或保荐代表人、证券服务机构或相关签字人员</w:t>
      </w:r>
    </w:p>
    <w:p>
      <w:pPr>
        <w:spacing w:before="1" w:line="218" w:lineRule="auto"/>
        <w:ind w:left="28"/>
        <w:rPr>
          <w:rFonts w:ascii="SimSun" w:eastAsia="SimSun" w:hAnsi="SimSun" w:cs="SimSun"/>
          <w:sz w:val="24"/>
          <w:szCs w:val="24"/>
        </w:rPr>
      </w:pPr>
      <w:r>
        <w:rPr>
          <w:rFonts w:ascii="SimSun" w:eastAsia="SimSun" w:hAnsi="SimSun" w:cs="SimSun"/>
          <w:spacing w:val="-1"/>
          <w:sz w:val="24"/>
          <w:szCs w:val="24"/>
        </w:rPr>
        <w:t>最近一年同类业务受到中国证监会行政处罚或者受到证券交易所纪律处分。</w:t>
      </w:r>
    </w:p>
    <w:p>
      <w:pPr>
        <w:spacing w:before="256" w:line="219" w:lineRule="auto"/>
        <w:ind w:left="505"/>
        <w:outlineLvl w:val="2"/>
        <w:rPr>
          <w:rFonts w:ascii="SimSun" w:eastAsia="SimSun" w:hAnsi="SimSun" w:cs="SimSun"/>
          <w:sz w:val="24"/>
          <w:szCs w:val="24"/>
        </w:rPr>
      </w:pPr>
      <w:r>
        <w:rPr>
          <w:rFonts w:ascii="Times New Roman" w:eastAsia="Times New Roman" w:hAnsi="Times New Roman" w:cs="Times New Roman"/>
          <w:b/>
          <w:bCs/>
          <w:sz w:val="24"/>
          <w:szCs w:val="24"/>
        </w:rPr>
        <w:t>6</w:t>
      </w:r>
      <w:r>
        <w:rPr>
          <w:rFonts w:ascii="SimSun" w:eastAsia="SimSun" w:hAnsi="SimSun" w:cs="SimSun"/>
          <w:sz w:val="24"/>
          <w:szCs w:val="24"/>
          <w14:textOutline w14:w="4354">
            <w14:solidFill>
              <w14:srgbClr w14:val="000000"/>
            </w14:solidFill>
            <w14:prstDash w14:val="solid"/>
            <w14:miter w14:lim="10"/>
          </w14:textOutline>
        </w:rPr>
        <w:t>、本次发行符合《证券期货法律适用意见第</w:t>
      </w:r>
      <w:r>
        <w:rPr>
          <w:rFonts w:ascii="SimSun" w:eastAsia="SimSun" w:hAnsi="SimSun" w:cs="SimSun"/>
          <w:spacing w:val="-28"/>
          <w:sz w:val="24"/>
          <w:szCs w:val="24"/>
        </w:rPr>
        <w:t xml:space="preserve"> </w:t>
      </w:r>
      <w:r>
        <w:rPr>
          <w:rFonts w:ascii="Times New Roman" w:eastAsia="Times New Roman" w:hAnsi="Times New Roman" w:cs="Times New Roman"/>
          <w:b/>
          <w:bCs/>
          <w:sz w:val="24"/>
          <w:szCs w:val="24"/>
        </w:rPr>
        <w:t>18</w:t>
      </w:r>
      <w:r>
        <w:rPr>
          <w:rFonts w:ascii="Times New Roman" w:eastAsia="Times New Roman" w:hAnsi="Times New Roman" w:cs="Times New Roman"/>
          <w:b/>
          <w:bCs/>
          <w:spacing w:val="16"/>
          <w:sz w:val="24"/>
          <w:szCs w:val="24"/>
        </w:rPr>
        <w:t xml:space="preserve"> </w:t>
      </w:r>
      <w:r>
        <w:rPr>
          <w:rFonts w:ascii="SimSun" w:eastAsia="SimSun" w:hAnsi="SimSun" w:cs="SimSun"/>
          <w:sz w:val="24"/>
          <w:szCs w:val="24"/>
          <w14:textOutline w14:w="4354">
            <w14:solidFill>
              <w14:srgbClr w14:val="000000"/>
            </w14:solidFill>
            <w14:prstDash w14:val="solid"/>
            <w14:miter w14:lim="10"/>
          </w14:textOutline>
        </w:rPr>
        <w:t>号》的相关规定</w:t>
      </w:r>
    </w:p>
    <w:p>
      <w:pPr>
        <w:spacing w:before="232" w:line="220" w:lineRule="auto"/>
        <w:ind w:left="512"/>
        <w:rPr>
          <w:rFonts w:ascii="SimSun" w:eastAsia="SimSun" w:hAnsi="SimSun" w:cs="SimSun"/>
          <w:sz w:val="24"/>
          <w:szCs w:val="24"/>
        </w:rPr>
      </w:pPr>
      <w:r>
        <w:rPr>
          <w:rFonts w:ascii="SimSun" w:eastAsia="SimSun" w:hAnsi="SimSun" w:cs="SimSun"/>
          <w:spacing w:val="-3"/>
          <w:sz w:val="24"/>
          <w:szCs w:val="24"/>
        </w:rPr>
        <w:t>（</w:t>
      </w:r>
      <w:r>
        <w:rPr>
          <w:rFonts w:ascii="Times New Roman" w:eastAsia="Times New Roman" w:hAnsi="Times New Roman" w:cs="Times New Roman"/>
          <w:spacing w:val="-3"/>
          <w:sz w:val="24"/>
          <w:szCs w:val="24"/>
        </w:rPr>
        <w:t>1</w:t>
      </w:r>
      <w:r>
        <w:rPr>
          <w:rFonts w:ascii="SimSun" w:eastAsia="SimSun" w:hAnsi="SimSun" w:cs="SimSun"/>
          <w:spacing w:val="-3"/>
          <w:sz w:val="24"/>
          <w:szCs w:val="24"/>
        </w:rPr>
        <w:t>）公司最近一期末不存在金额较大的财务性投资；</w:t>
      </w:r>
    </w:p>
    <w:p>
      <w:pPr>
        <w:spacing w:before="182" w:line="469" w:lineRule="exact"/>
        <w:ind w:right="39"/>
        <w:jc w:val="right"/>
        <w:rPr>
          <w:rFonts w:ascii="SimSun" w:eastAsia="SimSun" w:hAnsi="SimSun" w:cs="SimSun"/>
          <w:sz w:val="24"/>
          <w:szCs w:val="24"/>
        </w:rPr>
      </w:pP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2</w:t>
      </w:r>
      <w:r>
        <w:rPr>
          <w:rFonts w:ascii="SimSun" w:eastAsia="SimSun" w:hAnsi="SimSun" w:cs="SimSun"/>
          <w:spacing w:val="-1"/>
          <w:position w:val="17"/>
          <w:sz w:val="24"/>
          <w:szCs w:val="24"/>
        </w:rPr>
        <w:t>）最近三年，公司及其控股股东、实际控制人不存在严重损害上市公司</w:t>
      </w:r>
    </w:p>
    <w:p>
      <w:pPr>
        <w:spacing w:before="1" w:line="218" w:lineRule="auto"/>
        <w:ind w:left="26"/>
        <w:rPr>
          <w:rFonts w:ascii="SimSun" w:eastAsia="SimSun" w:hAnsi="SimSun" w:cs="SimSun"/>
          <w:sz w:val="24"/>
          <w:szCs w:val="24"/>
        </w:rPr>
      </w:pPr>
      <w:r>
        <w:rPr>
          <w:rFonts w:ascii="SimSun" w:eastAsia="SimSun" w:hAnsi="SimSun" w:cs="SimSun"/>
          <w:spacing w:val="-2"/>
          <w:sz w:val="24"/>
          <w:szCs w:val="24"/>
        </w:rPr>
        <w:t>利益、投资者合法权益、社会公共利益的重大违法</w:t>
      </w:r>
      <w:r>
        <w:rPr>
          <w:rFonts w:ascii="SimSun" w:eastAsia="SimSun" w:hAnsi="SimSun" w:cs="SimSun"/>
          <w:spacing w:val="-3"/>
          <w:sz w:val="24"/>
          <w:szCs w:val="24"/>
        </w:rPr>
        <w:t>行为；</w:t>
      </w:r>
    </w:p>
    <w:p>
      <w:pPr>
        <w:spacing w:before="184" w:line="219" w:lineRule="auto"/>
        <w:ind w:left="512"/>
        <w:rPr>
          <w:rFonts w:ascii="SimSun" w:eastAsia="SimSun" w:hAnsi="SimSun" w:cs="SimSun"/>
          <w:sz w:val="24"/>
          <w:szCs w:val="24"/>
        </w:rPr>
      </w:pPr>
      <w:r>
        <w:rPr>
          <w:rFonts w:ascii="SimSun" w:eastAsia="SimSun" w:hAnsi="SimSun" w:cs="SimSun"/>
          <w:spacing w:val="-1"/>
          <w:sz w:val="24"/>
          <w:szCs w:val="24"/>
        </w:rPr>
        <w:t>（</w:t>
      </w:r>
      <w:r>
        <w:rPr>
          <w:rFonts w:ascii="Times New Roman" w:eastAsia="Times New Roman" w:hAnsi="Times New Roman" w:cs="Times New Roman"/>
          <w:spacing w:val="-1"/>
          <w:sz w:val="24"/>
          <w:szCs w:val="24"/>
        </w:rPr>
        <w:t>3</w:t>
      </w:r>
      <w:r>
        <w:rPr>
          <w:rFonts w:ascii="SimSun" w:eastAsia="SimSun" w:hAnsi="SimSun" w:cs="SimSun"/>
          <w:spacing w:val="-1"/>
          <w:sz w:val="24"/>
          <w:szCs w:val="24"/>
        </w:rPr>
        <w:t>）本次拟发行股票数量不超过本次发行前公司总股本的</w:t>
      </w:r>
      <w:r>
        <w:rPr>
          <w:rFonts w:ascii="SimSun" w:eastAsia="SimSun" w:hAnsi="SimSun" w:cs="SimSun"/>
          <w:spacing w:val="-37"/>
          <w:sz w:val="24"/>
          <w:szCs w:val="24"/>
        </w:rPr>
        <w:t xml:space="preserve"> </w:t>
      </w:r>
      <w:r>
        <w:rPr>
          <w:rFonts w:ascii="Times New Roman" w:eastAsia="Times New Roman" w:hAnsi="Times New Roman" w:cs="Times New Roman"/>
          <w:spacing w:val="-2"/>
          <w:sz w:val="24"/>
          <w:szCs w:val="24"/>
        </w:rPr>
        <w:t>30%</w:t>
      </w:r>
      <w:r>
        <w:rPr>
          <w:rFonts w:ascii="SimSun" w:eastAsia="SimSun" w:hAnsi="SimSun" w:cs="SimSun"/>
          <w:spacing w:val="-2"/>
          <w:sz w:val="24"/>
          <w:szCs w:val="24"/>
        </w:rPr>
        <w:t>；</w:t>
      </w:r>
    </w:p>
    <w:p>
      <w:pPr>
        <w:spacing w:before="183" w:line="469" w:lineRule="exact"/>
        <w:ind w:left="512"/>
        <w:rPr>
          <w:rFonts w:ascii="SimSun" w:eastAsia="SimSun" w:hAnsi="SimSun" w:cs="SimSun"/>
          <w:sz w:val="24"/>
          <w:szCs w:val="24"/>
        </w:rPr>
      </w:pPr>
      <w:r>
        <w:rPr>
          <w:rFonts w:ascii="SimSun" w:eastAsia="SimSun" w:hAnsi="SimSun" w:cs="SimSun"/>
          <w:spacing w:val="-2"/>
          <w:position w:val="17"/>
          <w:sz w:val="24"/>
          <w:szCs w:val="24"/>
        </w:rPr>
        <w:t>（</w:t>
      </w:r>
      <w:r>
        <w:rPr>
          <w:rFonts w:ascii="Times New Roman" w:eastAsia="Times New Roman" w:hAnsi="Times New Roman" w:cs="Times New Roman"/>
          <w:spacing w:val="-2"/>
          <w:position w:val="17"/>
          <w:sz w:val="24"/>
          <w:szCs w:val="24"/>
        </w:rPr>
        <w:t>4</w:t>
      </w:r>
      <w:r>
        <w:rPr>
          <w:rFonts w:ascii="SimSun" w:eastAsia="SimSun" w:hAnsi="SimSun" w:cs="SimSun"/>
          <w:spacing w:val="-2"/>
          <w:position w:val="17"/>
          <w:sz w:val="24"/>
          <w:szCs w:val="24"/>
        </w:rPr>
        <w:t>）本次发行适用简易程序，不适用再融资间隔</w:t>
      </w:r>
      <w:r>
        <w:rPr>
          <w:rFonts w:ascii="SimSun" w:eastAsia="SimSun" w:hAnsi="SimSun" w:cs="SimSun"/>
          <w:spacing w:val="-3"/>
          <w:position w:val="17"/>
          <w:sz w:val="24"/>
          <w:szCs w:val="24"/>
        </w:rPr>
        <w:t>期的规定；</w:t>
      </w:r>
    </w:p>
    <w:p>
      <w:pPr>
        <w:spacing w:before="1" w:line="218" w:lineRule="auto"/>
        <w:ind w:left="512"/>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5</w:t>
      </w:r>
      <w:r>
        <w:rPr>
          <w:rFonts w:ascii="SimSun" w:eastAsia="SimSun" w:hAnsi="SimSun" w:cs="SimSun"/>
          <w:spacing w:val="-2"/>
          <w:sz w:val="24"/>
          <w:szCs w:val="24"/>
        </w:rPr>
        <w:t>）本次募集资金的非资本性支出未超过</w:t>
      </w:r>
      <w:r>
        <w:rPr>
          <w:rFonts w:ascii="SimSun" w:eastAsia="SimSun" w:hAnsi="SimSun" w:cs="SimSun"/>
          <w:spacing w:val="-27"/>
          <w:sz w:val="24"/>
          <w:szCs w:val="24"/>
        </w:rPr>
        <w:t xml:space="preserve"> </w:t>
      </w:r>
      <w:r>
        <w:rPr>
          <w:rFonts w:ascii="Times New Roman" w:eastAsia="Times New Roman" w:hAnsi="Times New Roman" w:cs="Times New Roman"/>
          <w:spacing w:val="-2"/>
          <w:sz w:val="24"/>
          <w:szCs w:val="24"/>
        </w:rPr>
        <w:t>30%</w:t>
      </w:r>
      <w:r>
        <w:rPr>
          <w:rFonts w:ascii="SimSun" w:eastAsia="SimSun" w:hAnsi="SimSun" w:cs="SimSun"/>
          <w:spacing w:val="-2"/>
          <w:sz w:val="24"/>
          <w:szCs w:val="24"/>
        </w:rPr>
        <w:t>。</w:t>
      </w:r>
    </w:p>
    <w:p>
      <w:pPr>
        <w:spacing w:before="255" w:line="220" w:lineRule="auto"/>
        <w:ind w:left="504"/>
        <w:outlineLvl w:val="2"/>
        <w:rPr>
          <w:rFonts w:ascii="SimSun" w:eastAsia="SimSun" w:hAnsi="SimSun" w:cs="SimSun"/>
          <w:sz w:val="24"/>
          <w:szCs w:val="24"/>
        </w:rPr>
      </w:pPr>
      <w:r>
        <w:rPr>
          <w:rFonts w:ascii="Times New Roman" w:eastAsia="Times New Roman" w:hAnsi="Times New Roman" w:cs="Times New Roman"/>
          <w:b/>
          <w:bCs/>
          <w:spacing w:val="2"/>
          <w:sz w:val="24"/>
          <w:szCs w:val="24"/>
        </w:rPr>
        <w:t>7</w:t>
      </w:r>
      <w:r>
        <w:rPr>
          <w:rFonts w:ascii="SimSun" w:eastAsia="SimSun" w:hAnsi="SimSun" w:cs="SimSun"/>
          <w:spacing w:val="2"/>
          <w:sz w:val="24"/>
          <w:szCs w:val="24"/>
          <w14:textOutline w14:w="4354">
            <w14:solidFill>
              <w14:srgbClr w14:val="000000"/>
            </w14:solidFill>
            <w14:prstDash w14:val="solid"/>
            <w14:miter w14:lim="10"/>
          </w14:textOutline>
        </w:rPr>
        <w:t>、公司不属于一般失信企业和海关失信企业</w:t>
      </w: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https://d.book118.com/468002051006006040</w:t>
        </w:r>
      </w:hyperlink>
    </w:p>
    <w:p>
      <w:pPr>
        <w:spacing w:before="255" w:line="220" w:lineRule="auto"/>
        <w:ind w:left="504"/>
        <w:outlineLvl w:val="2"/>
        <w:rPr>
          <w:rFonts w:ascii="SimSun" w:eastAsia="SimSun" w:hAnsi="SimSun" w:cs="SimSun"/>
          <w:sz w:val="24"/>
          <w:szCs w:val="24"/>
        </w:rPr>
      </w:pPr>
    </w:p>
    <w:sectPr>
      <w:footerReference w:type="default" r:id="rId16"/>
      <w:pgSz w:w="11905" w:h="16836"/>
      <w:pgMar w:top="1431" w:right="1781" w:bottom="899" w:left="1785" w:header="0" w:footer="711"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1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2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2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1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411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12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12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468002051006006040"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tsao jackie</dc:creator>
  <cp:revision>0</cp:revision>
  <dcterms:created xsi:type="dcterms:W3CDTF">2024-02-21T23:15:35Z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2024-02-22T12:23:33Z</vt:filetime>
  </property>
  <property fmtid="{D5CDD505-2E9C-101B-9397-08002B2CF9AE}" pid="3" name="CRO">
    <vt:lpwstr>wqlLaW5nc29mdCBQREYgdG8gV1BTIDkw</vt:lpwstr>
  </property>
</Properties>
</file>