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1、[题干]动脉导管未闭患者可能出现的体征是()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A.胸骨左缘第2肋间有连续性杂音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B.肺动脉瓣区第二音增强、分裂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C.心尖区有舒张中期杂音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D.有奇脉。E,股动脉有枪击音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2、[题干]大便艰涩，排出困难，小便清长，面色觥白，四肢不温，喜热怕冷，腹中冷痛，舌淡苔白，脉沉迟。此属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A.温胆汤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B.苓桂术甘汤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C.顺气导痰汤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D.半夏白术天麻汤。E,二陈汤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3、[题干]按脏腑分类，将咳嗽分为肺咳、心咳、肝咳、脾咳、肾咳的是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A.《诸病源候论》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B.《景岳全书》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C.《素问》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D.《河间六书》。E,《医学心悟》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4、[题干]新生儿娩出后，全身皮肤青紫，心率85次/分，呼吸慢而且不规则，四肢能活动，弹足底有皱眉动作。该小儿按Apgar评分法可评为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A.9分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B.8分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C.7分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D.6分。E,5分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5、[题干]婴儿秋季腹泻的病原体为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A.金黄色葡萄球菌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B.大肠杆菌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C.鼠伤寒沙门菌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D.轮状病毒。E,埃可病毒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https://d.book118.com/468003014021006037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468003014021006037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