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64" w:line="354" w:lineRule="auto"/>
        <w:ind w:left="2" w:right="7212" w:firstLine="1"/>
        <w:outlineLvl w:val="0"/>
        <w:rPr>
          <w:rFonts w:ascii="SimHei" w:eastAsia="SimHei" w:hAnsi="SimHei" w:cs="SimHei"/>
          <w:sz w:val="21"/>
          <w:szCs w:val="21"/>
        </w:rPr>
      </w:pPr>
      <w:r>
        <w:rPr>
          <w:rFonts w:ascii="SimHei" w:eastAsia="SimHei" w:hAnsi="SimHei" w:cs="SimHei"/>
          <w:b/>
          <w:bCs/>
          <w:spacing w:val="-10"/>
          <w:sz w:val="28"/>
          <w:szCs w:val="28"/>
        </w:rPr>
        <w:t>1</w:t>
      </w:r>
      <w:r>
        <w:rPr>
          <w:rFonts w:ascii="SimHei" w:eastAsia="SimHei" w:hAnsi="SimHei" w:cs="SimHei"/>
          <w:spacing w:val="-10"/>
          <w:sz w:val="28"/>
          <w:szCs w:val="28"/>
        </w:rPr>
        <w:t xml:space="preserve"> </w:t>
      </w:r>
      <w:r>
        <w:rPr>
          <w:rFonts w:ascii="SimHei" w:eastAsia="SimHei" w:hAnsi="SimHei" w:cs="SimHei"/>
          <w:b/>
          <w:bCs/>
          <w:spacing w:val="-10"/>
          <w:sz w:val="28"/>
          <w:szCs w:val="28"/>
        </w:rPr>
        <w:t>项目背景</w:t>
      </w:r>
      <w:r>
        <w:rPr>
          <w:rFonts w:ascii="SimHei" w:eastAsia="SimHei" w:hAnsi="SimHei" w:cs="SimHei"/>
          <w:spacing w:val="3"/>
          <w:sz w:val="28"/>
          <w:szCs w:val="28"/>
        </w:rPr>
        <w:t xml:space="preserve"> </w:t>
      </w:r>
      <w:r>
        <w:rPr>
          <w:rFonts w:ascii="SimHei" w:eastAsia="SimHei" w:hAnsi="SimHei" w:cs="SimHei"/>
          <w:b/>
          <w:bCs/>
          <w:spacing w:val="3"/>
          <w:sz w:val="21"/>
          <w:szCs w:val="21"/>
        </w:rPr>
        <w:t>1.1</w:t>
      </w:r>
      <w:r>
        <w:rPr>
          <w:rFonts w:ascii="SimHei" w:eastAsia="SimHei" w:hAnsi="SimHei" w:cs="SimHei"/>
          <w:spacing w:val="3"/>
          <w:sz w:val="21"/>
          <w:szCs w:val="21"/>
        </w:rPr>
        <w:t xml:space="preserve"> </w:t>
      </w:r>
      <w:r>
        <w:rPr>
          <w:rFonts w:ascii="SimHei" w:eastAsia="SimHei" w:hAnsi="SimHei" w:cs="SimHei"/>
          <w:b/>
          <w:bCs/>
          <w:spacing w:val="3"/>
          <w:sz w:val="21"/>
          <w:szCs w:val="21"/>
        </w:rPr>
        <w:t>任务来源</w:t>
      </w:r>
    </w:p>
    <w:p>
      <w:pPr>
        <w:pStyle w:val="BodyText"/>
        <w:spacing w:before="283" w:line="413" w:lineRule="auto"/>
        <w:ind w:right="95" w:firstLine="409"/>
        <w:jc w:val="both"/>
      </w:pPr>
      <w:r>
        <w:rPr>
          <w:spacing w:val="2"/>
        </w:rPr>
        <w:t>2022年，生态环境部办公厅印发《关于开展2022年度第二批国家生态环境标准项目实施</w:t>
      </w:r>
      <w:r>
        <w:rPr>
          <w:spacing w:val="5"/>
        </w:rPr>
        <w:t xml:space="preserve"> </w:t>
      </w:r>
      <w:r>
        <w:rPr>
          <w:spacing w:val="7"/>
        </w:rPr>
        <w:t>工作的通知》</w:t>
      </w:r>
      <w:r>
        <w:rPr>
          <w:spacing w:val="88"/>
        </w:rPr>
        <w:t xml:space="preserve"> </w:t>
      </w:r>
      <w:r>
        <w:rPr>
          <w:spacing w:val="7"/>
        </w:rPr>
        <w:t>(环办法规函〔2022)205号〕,下达了编制《钢铁工业(烧结)</w:t>
      </w:r>
      <w:r>
        <w:rPr>
          <w:spacing w:val="6"/>
        </w:rPr>
        <w:t>超低排放治理</w:t>
      </w:r>
      <w:r>
        <w:t xml:space="preserve"> </w:t>
      </w:r>
      <w:r>
        <w:rPr>
          <w:spacing w:val="-3"/>
        </w:rPr>
        <w:t>工程技术规范》的任务，由冶金工业规划研究院承担，生态环境部环境</w:t>
      </w:r>
      <w:r>
        <w:rPr>
          <w:spacing w:val="-4"/>
        </w:rPr>
        <w:t>工程评估中心为协作单</w:t>
      </w:r>
    </w:p>
    <w:p>
      <w:pPr>
        <w:pStyle w:val="BodyText"/>
        <w:spacing w:line="219" w:lineRule="auto"/>
      </w:pPr>
      <w:r>
        <w:rPr>
          <w:spacing w:val="-5"/>
        </w:rPr>
        <w:t>位。项目统一编号：2022-28。</w:t>
      </w:r>
    </w:p>
    <w:p>
      <w:pPr>
        <w:spacing w:before="186" w:line="222" w:lineRule="auto"/>
        <w:ind w:left="2"/>
        <w:rPr>
          <w:rFonts w:ascii="SimHei" w:eastAsia="SimHei" w:hAnsi="SimHei" w:cs="SimHei"/>
          <w:sz w:val="21"/>
          <w:szCs w:val="21"/>
        </w:rPr>
      </w:pPr>
      <w:r>
        <w:rPr>
          <w:rFonts w:ascii="SimHei" w:eastAsia="SimHei" w:hAnsi="SimHei" w:cs="SimHei"/>
          <w:b/>
          <w:bCs/>
          <w:spacing w:val="-1"/>
          <w:sz w:val="21"/>
          <w:szCs w:val="21"/>
        </w:rPr>
        <w:t>1.2</w:t>
      </w:r>
      <w:r>
        <w:rPr>
          <w:rFonts w:ascii="SimHei" w:eastAsia="SimHei" w:hAnsi="SimHei" w:cs="SimHei"/>
          <w:spacing w:val="32"/>
          <w:sz w:val="21"/>
          <w:szCs w:val="21"/>
        </w:rPr>
        <w:t xml:space="preserve"> </w:t>
      </w:r>
      <w:r>
        <w:rPr>
          <w:rFonts w:ascii="SimHei" w:eastAsia="SimHei" w:hAnsi="SimHei" w:cs="SimHei"/>
          <w:b/>
          <w:bCs/>
          <w:spacing w:val="-1"/>
          <w:sz w:val="21"/>
          <w:szCs w:val="21"/>
        </w:rPr>
        <w:t>工作过程</w:t>
      </w:r>
    </w:p>
    <w:p>
      <w:pPr>
        <w:pStyle w:val="BodyText"/>
        <w:spacing w:before="281" w:line="422" w:lineRule="auto"/>
        <w:ind w:right="94" w:firstLine="409"/>
      </w:pPr>
      <w:r>
        <w:rPr>
          <w:spacing w:val="5"/>
        </w:rPr>
        <w:t>2022年6月，项目组在已有工作基础上，对钢铁烧结工序超低排放治理工</w:t>
      </w:r>
      <w:r>
        <w:rPr>
          <w:spacing w:val="4"/>
        </w:rPr>
        <w:t>程启动了广泛</w:t>
      </w:r>
      <w:r>
        <w:t xml:space="preserve"> </w:t>
      </w:r>
      <w:r>
        <w:rPr>
          <w:spacing w:val="-3"/>
        </w:rPr>
        <w:t>调研。根据调研情况，综合考虑工程实施资质、超低排放业绩等因素，依</w:t>
      </w:r>
      <w:r>
        <w:rPr>
          <w:spacing w:val="-4"/>
        </w:rPr>
        <w:t>托中冶北方工程技术</w:t>
      </w:r>
      <w:r>
        <w:t xml:space="preserve"> </w:t>
      </w:r>
      <w:r>
        <w:rPr>
          <w:spacing w:val="-3"/>
        </w:rPr>
        <w:t>有限公司、中钢集团天澄环保科技股份有限公司、山东国舜建设集团</w:t>
      </w:r>
      <w:r>
        <w:rPr>
          <w:spacing w:val="-4"/>
        </w:rPr>
        <w:t>有限公司、南京泽众环保</w:t>
      </w:r>
    </w:p>
    <w:p>
      <w:pPr>
        <w:pStyle w:val="BodyText"/>
        <w:spacing w:line="218" w:lineRule="auto"/>
      </w:pPr>
      <w:r>
        <w:rPr>
          <w:spacing w:val="-1"/>
        </w:rPr>
        <w:t>科技有限公司、广州市华滤环保设备有限公司等单位组建了标准编制技术支撑团</w:t>
      </w:r>
      <w:r>
        <w:rPr>
          <w:spacing w:val="-2"/>
        </w:rPr>
        <w:t>队。</w:t>
      </w:r>
    </w:p>
    <w:p>
      <w:pPr>
        <w:pStyle w:val="BodyText"/>
        <w:spacing w:before="231" w:line="219" w:lineRule="auto"/>
        <w:ind w:left="409"/>
      </w:pPr>
      <w:r>
        <w:rPr>
          <w:spacing w:val="4"/>
        </w:rPr>
        <w:t>2022年7月，生态环境部大气环境司下达了标准制修订项目任务书。</w:t>
      </w:r>
    </w:p>
    <w:p>
      <w:pPr>
        <w:pStyle w:val="BodyText"/>
        <w:spacing w:before="223" w:line="421" w:lineRule="auto"/>
        <w:ind w:right="95" w:firstLine="409"/>
      </w:pPr>
      <w:r>
        <w:rPr>
          <w:spacing w:val="7"/>
        </w:rPr>
        <w:t>2022年8至2023年2月，项目组查阅了大量国内外相关文献、标准、超低项目初步设计</w:t>
      </w:r>
      <w:r>
        <w:rPr>
          <w:spacing w:val="4"/>
        </w:rPr>
        <w:t xml:space="preserve"> </w:t>
      </w:r>
      <w:r>
        <w:rPr>
          <w:spacing w:val="-3"/>
        </w:rPr>
        <w:t>等资料，筛选出满足超低排放要求的典型技术，梳理重点工艺参数，编制</w:t>
      </w:r>
      <w:r>
        <w:rPr>
          <w:spacing w:val="-4"/>
        </w:rPr>
        <w:t>完成标准开题论证报</w:t>
      </w:r>
    </w:p>
    <w:p>
      <w:pPr>
        <w:pStyle w:val="BodyText"/>
        <w:spacing w:before="1" w:line="217" w:lineRule="auto"/>
      </w:pPr>
      <w:r>
        <w:rPr>
          <w:spacing w:val="-7"/>
        </w:rPr>
        <w:t>告与草案。</w:t>
      </w:r>
    </w:p>
    <w:p>
      <w:pPr>
        <w:pStyle w:val="BodyText"/>
        <w:spacing w:before="244" w:line="413" w:lineRule="auto"/>
        <w:ind w:right="89" w:firstLine="409"/>
      </w:pPr>
      <w:r>
        <w:rPr>
          <w:spacing w:val="5"/>
        </w:rPr>
        <w:t>2023年4月17日，生态环境部大气环境司在北京组织召开了标准开题</w:t>
      </w:r>
      <w:r>
        <w:rPr>
          <w:spacing w:val="4"/>
        </w:rPr>
        <w:t>论证会，专家组听</w:t>
      </w:r>
      <w:r>
        <w:t xml:space="preserve"> </w:t>
      </w:r>
      <w:r>
        <w:rPr>
          <w:spacing w:val="-7"/>
        </w:rPr>
        <w:t>取了项目组的汇报，经质询、讨论后，</w:t>
      </w:r>
      <w:r>
        <w:rPr>
          <w:spacing w:val="57"/>
        </w:rPr>
        <w:t xml:space="preserve"> </w:t>
      </w:r>
      <w:r>
        <w:rPr>
          <w:spacing w:val="-7"/>
        </w:rPr>
        <w:t>一致同意通过本标准的开题论证。专家组认为本标准的</w:t>
      </w:r>
      <w:r>
        <w:t xml:space="preserve"> </w:t>
      </w:r>
      <w:r>
        <w:rPr>
          <w:spacing w:val="-3"/>
        </w:rPr>
        <w:t>制定可为钢铁行业烧结废气超低排放治理工程提供重要的技术支撑，</w:t>
      </w:r>
      <w:r>
        <w:rPr>
          <w:spacing w:val="-4"/>
        </w:rPr>
        <w:t>标准材料符合生态环境标</w:t>
      </w:r>
      <w:r>
        <w:t xml:space="preserve"> </w:t>
      </w:r>
      <w:r>
        <w:rPr>
          <w:spacing w:val="-3"/>
        </w:rPr>
        <w:t>准编制要求，内容定位准确，技术路线基本可行；建议进一步明确标准适用范</w:t>
      </w:r>
      <w:r>
        <w:rPr>
          <w:spacing w:val="-4"/>
        </w:rPr>
        <w:t>围，梳理标准技</w:t>
      </w:r>
    </w:p>
    <w:p>
      <w:pPr>
        <w:pStyle w:val="BodyText"/>
        <w:spacing w:line="219" w:lineRule="auto"/>
      </w:pPr>
      <w:r>
        <w:rPr>
          <w:spacing w:val="-2"/>
        </w:rPr>
        <w:t>术内容，细化相关技术要求，并补充超低排放工程案例。</w:t>
      </w:r>
    </w:p>
    <w:p>
      <w:pPr>
        <w:pStyle w:val="BodyText"/>
        <w:spacing w:before="261" w:line="413" w:lineRule="auto"/>
        <w:ind w:right="96" w:firstLine="409"/>
      </w:pPr>
      <w:r>
        <w:rPr>
          <w:spacing w:val="7"/>
        </w:rPr>
        <w:t>2023年5至9月，项目组开展了针对性地现场补充调研、组织内部专家讨论，完成了标</w:t>
      </w:r>
      <w:r>
        <w:rPr>
          <w:spacing w:val="17"/>
        </w:rPr>
        <w:t xml:space="preserve"> </w:t>
      </w:r>
      <w:r>
        <w:rPr>
          <w:spacing w:val="4"/>
        </w:rPr>
        <w:t>准文本和编制说明征求意见稿初稿。9月18日，项目组召开了标准征求意见稿初稿的专家研</w:t>
      </w:r>
      <w:r>
        <w:rPr>
          <w:spacing w:val="18"/>
        </w:rPr>
        <w:t xml:space="preserve"> </w:t>
      </w:r>
      <w:r>
        <w:rPr>
          <w:spacing w:val="-4"/>
        </w:rPr>
        <w:t>讨会，专家组及管理部门参会代表对标准文本及编制说明内容进行了研讨，建议对照《环境工</w:t>
      </w:r>
    </w:p>
    <w:p>
      <w:pPr>
        <w:pStyle w:val="BodyText"/>
        <w:spacing w:before="1" w:line="218" w:lineRule="auto"/>
      </w:pPr>
      <w:r>
        <w:rPr>
          <w:spacing w:val="-2"/>
        </w:rPr>
        <w:t>程技术规范制订技术导则》进一步完善文本内容。</w:t>
      </w:r>
    </w:p>
    <w:p>
      <w:pPr>
        <w:pStyle w:val="BodyText"/>
        <w:spacing w:before="261" w:line="413" w:lineRule="auto"/>
        <w:ind w:firstLine="409"/>
      </w:pPr>
      <w:r>
        <w:rPr>
          <w:spacing w:val="2"/>
        </w:rPr>
        <w:t>2023年11月2日，生态环境部大气环境司在北京组织召开了标准征求意见稿技</w:t>
      </w:r>
      <w:r>
        <w:rPr>
          <w:spacing w:val="1"/>
        </w:rPr>
        <w:t>术审查会。</w:t>
      </w:r>
      <w:r>
        <w:t xml:space="preserve"> </w:t>
      </w:r>
      <w:r>
        <w:rPr>
          <w:spacing w:val="-3"/>
        </w:rPr>
        <w:t>会议通过了标准的征求意见稿技术审查，专家组一致认为标准提供的材料齐全</w:t>
      </w:r>
      <w:r>
        <w:rPr>
          <w:spacing w:val="-4"/>
        </w:rPr>
        <w:t>、内容完整，符</w:t>
      </w:r>
    </w:p>
    <w:p>
      <w:pPr>
        <w:pStyle w:val="BodyText"/>
        <w:spacing w:before="1" w:line="218" w:lineRule="auto"/>
      </w:pPr>
      <w:r>
        <w:rPr>
          <w:spacing w:val="-4"/>
        </w:rPr>
        <w:t>合生态环境标准编制规则，同时建议将标准名称调整为《钢铁工业烧结废气超低排放治理工程</w:t>
      </w:r>
    </w:p>
    <w:p>
      <w:pPr>
        <w:spacing w:line="218" w:lineRule="auto"/>
        <w:sectPr>
          <w:footerReference w:type="default" r:id="rId4"/>
          <w:pgSz w:w="11910" w:h="16840"/>
          <w:pgMar w:top="1431" w:right="1634" w:bottom="998" w:left="1700" w:header="0" w:footer="859" w:gutter="0"/>
          <w:cols w:space="708"/>
        </w:sectPr>
      </w:pPr>
    </w:p>
    <w:p>
      <w:pPr>
        <w:pStyle w:val="BodyText"/>
        <w:spacing w:before="123" w:line="483" w:lineRule="exact"/>
      </w:pPr>
      <w:r>
        <w:rPr>
          <w:position w:val="21"/>
        </w:rPr>
        <w:t>技术规范》,并进一步规范标准文本和编制说明。会后，项目组完成</w:t>
      </w:r>
      <w:r>
        <w:rPr>
          <w:spacing w:val="-1"/>
          <w:position w:val="21"/>
        </w:rPr>
        <w:t>了《钢铁工业烧结废气超</w:t>
      </w:r>
    </w:p>
    <w:p>
      <w:pPr>
        <w:pStyle w:val="BodyText"/>
        <w:spacing w:line="218" w:lineRule="auto"/>
      </w:pPr>
      <w:r>
        <w:rPr>
          <w:spacing w:val="-1"/>
        </w:rPr>
        <w:t>低排放治理工程技术规范》</w:t>
      </w:r>
      <w:r>
        <w:rPr>
          <w:spacing w:val="95"/>
        </w:rPr>
        <w:t xml:space="preserve"> </w:t>
      </w:r>
      <w:r>
        <w:rPr>
          <w:spacing w:val="-1"/>
        </w:rPr>
        <w:t>(征求意见稿)标准</w:t>
      </w:r>
      <w:r>
        <w:rPr>
          <w:spacing w:val="-2"/>
        </w:rPr>
        <w:t>文本和编制说明。</w:t>
      </w:r>
    </w:p>
    <w:p>
      <w:pPr>
        <w:spacing w:before="271" w:line="222" w:lineRule="auto"/>
        <w:ind w:left="4"/>
        <w:rPr>
          <w:rFonts w:ascii="SimHei" w:eastAsia="SimHei" w:hAnsi="SimHei" w:cs="SimHei"/>
          <w:sz w:val="28"/>
          <w:szCs w:val="28"/>
        </w:rPr>
      </w:pPr>
      <w:r>
        <w:rPr>
          <w:rFonts w:ascii="SimHei" w:eastAsia="SimHei" w:hAnsi="SimHei" w:cs="SimHei"/>
          <w:b/>
          <w:bCs/>
          <w:spacing w:val="-6"/>
          <w:sz w:val="28"/>
          <w:szCs w:val="28"/>
        </w:rPr>
        <w:t>2</w:t>
      </w:r>
      <w:r>
        <w:rPr>
          <w:rFonts w:ascii="SimHei" w:eastAsia="SimHei" w:hAnsi="SimHei" w:cs="SimHei"/>
          <w:spacing w:val="-6"/>
          <w:sz w:val="28"/>
          <w:szCs w:val="28"/>
        </w:rPr>
        <w:t xml:space="preserve"> </w:t>
      </w:r>
      <w:r>
        <w:rPr>
          <w:rFonts w:ascii="SimHei" w:eastAsia="SimHei" w:hAnsi="SimHei" w:cs="SimHei"/>
          <w:b/>
          <w:bCs/>
          <w:spacing w:val="-6"/>
          <w:sz w:val="28"/>
          <w:szCs w:val="28"/>
        </w:rPr>
        <w:t>标准制订必要性</w:t>
      </w:r>
    </w:p>
    <w:p>
      <w:pPr>
        <w:spacing w:line="280" w:lineRule="auto"/>
        <w:rPr>
          <w:rFonts w:ascii="Arial"/>
          <w:sz w:val="21"/>
        </w:rPr>
      </w:pPr>
    </w:p>
    <w:p>
      <w:pPr>
        <w:spacing w:before="68" w:line="222" w:lineRule="auto"/>
        <w:ind w:left="2"/>
        <w:outlineLvl w:val="0"/>
        <w:rPr>
          <w:rFonts w:ascii="SimHei" w:eastAsia="SimHei" w:hAnsi="SimHei" w:cs="SimHei"/>
          <w:sz w:val="21"/>
          <w:szCs w:val="21"/>
        </w:rPr>
      </w:pPr>
      <w:r>
        <w:rPr>
          <w:rFonts w:ascii="SimHei" w:eastAsia="SimHei" w:hAnsi="SimHei" w:cs="SimHei"/>
          <w:b/>
          <w:bCs/>
          <w:spacing w:val="18"/>
          <w:sz w:val="21"/>
          <w:szCs w:val="21"/>
        </w:rPr>
        <w:t>2.1</w:t>
      </w:r>
      <w:r>
        <w:rPr>
          <w:rFonts w:ascii="SimHei" w:eastAsia="SimHei" w:hAnsi="SimHei" w:cs="SimHei"/>
          <w:spacing w:val="18"/>
          <w:sz w:val="21"/>
          <w:szCs w:val="21"/>
        </w:rPr>
        <w:t xml:space="preserve"> </w:t>
      </w:r>
      <w:r>
        <w:rPr>
          <w:rFonts w:ascii="SimHei" w:eastAsia="SimHei" w:hAnsi="SimHei" w:cs="SimHei"/>
          <w:b/>
          <w:bCs/>
          <w:spacing w:val="18"/>
          <w:sz w:val="21"/>
          <w:szCs w:val="21"/>
        </w:rPr>
        <w:t>支撑国家环境管理的相关要求</w:t>
      </w:r>
    </w:p>
    <w:p>
      <w:pPr>
        <w:pStyle w:val="BodyText"/>
        <w:tabs>
          <w:tab w:val="left" w:pos="118"/>
        </w:tabs>
        <w:spacing w:before="271" w:line="418" w:lineRule="auto"/>
        <w:ind w:firstLine="419"/>
      </w:pPr>
      <w:r>
        <w:rPr>
          <w:spacing w:val="2"/>
        </w:rPr>
        <w:t>2019年4月，生态环境部等五部委联合印发了《关于推进</w:t>
      </w:r>
      <w:r>
        <w:rPr>
          <w:spacing w:val="1"/>
        </w:rPr>
        <w:t>实施钢铁行业超低排放的意见》</w:t>
      </w:r>
      <w:r>
        <w:t xml:space="preserve"> </w:t>
      </w:r>
      <w:r>
        <w:tab/>
      </w:r>
      <w:r>
        <w:rPr>
          <w:spacing w:val="11"/>
        </w:rPr>
        <w:t xml:space="preserve">(环大气(2019)35号，以下简称《意见》),鼓励钢铁企业分阶段分区域完成全厂超低排 </w:t>
      </w:r>
      <w:r>
        <w:rPr>
          <w:spacing w:val="4"/>
        </w:rPr>
        <w:t>放改造，提出到2020年底前，重点区域钢铁企业超低排放改造取得明显进展，力争60%左右</w:t>
      </w:r>
      <w:r>
        <w:rPr>
          <w:spacing w:val="7"/>
        </w:rPr>
        <w:t xml:space="preserve">  </w:t>
      </w:r>
      <w:r>
        <w:rPr>
          <w:spacing w:val="4"/>
        </w:rPr>
        <w:t xml:space="preserve">产能完成改造；到2025年底前，重点区域钢铁企业超低排放改造基本完成，全国力争80%以 </w:t>
      </w:r>
      <w:r>
        <w:rPr>
          <w:spacing w:val="-4"/>
        </w:rPr>
        <w:t>上产能完成改造。烧结工序作为钢铁企业产排污强度最大的节</w:t>
      </w:r>
      <w:r>
        <w:rPr>
          <w:spacing w:val="-5"/>
        </w:rPr>
        <w:t>点，颗粒物、二氧化硫和氮氧化</w:t>
      </w:r>
    </w:p>
    <w:p>
      <w:pPr>
        <w:pStyle w:val="BodyText"/>
        <w:spacing w:line="216" w:lineRule="auto"/>
      </w:pPr>
      <w:r>
        <w:rPr>
          <w:spacing w:val="9"/>
        </w:rPr>
        <w:t>物排放总量可占到全厂总量的45%、65%与60%,是钢铁全流程超低排放的</w:t>
      </w:r>
      <w:r>
        <w:rPr>
          <w:spacing w:val="8"/>
        </w:rPr>
        <w:t>关键环节。</w:t>
      </w:r>
    </w:p>
    <w:p>
      <w:pPr>
        <w:pStyle w:val="BodyText"/>
        <w:spacing w:before="267" w:line="413" w:lineRule="auto"/>
        <w:ind w:right="81" w:firstLine="439"/>
        <w:jc w:val="both"/>
      </w:pPr>
      <w:r>
        <w:rPr>
          <w:spacing w:val="-4"/>
        </w:rPr>
        <w:t>当前，钢铁行业超低排放工作将逐步由重点区域向全国全面展开，与重点区域相比，其他</w:t>
      </w:r>
      <w:r>
        <w:rPr>
          <w:spacing w:val="3"/>
        </w:rPr>
        <w:t xml:space="preserve"> </w:t>
      </w:r>
      <w:r>
        <w:rPr>
          <w:spacing w:val="-3"/>
        </w:rPr>
        <w:t>区域企业的情况更加复杂，基础更加薄弱。</w:t>
      </w:r>
      <w:r>
        <w:rPr>
          <w:spacing w:val="-4"/>
        </w:rPr>
        <w:t>如何因地制宜选择超低排放可行工艺技术，如何确</w:t>
      </w:r>
      <w:r>
        <w:t xml:space="preserve"> </w:t>
      </w:r>
      <w:r>
        <w:rPr>
          <w:spacing w:val="-3"/>
        </w:rPr>
        <w:t>保超低排放工程的质量将是未来钢铁行业超低排放改造的重点与难点问题。</w:t>
      </w:r>
      <w:r>
        <w:rPr>
          <w:spacing w:val="-4"/>
        </w:rPr>
        <w:t>尤其是产排污环节</w:t>
      </w:r>
      <w:r>
        <w:t xml:space="preserve"> </w:t>
      </w:r>
      <w:r>
        <w:rPr>
          <w:spacing w:val="-4"/>
        </w:rPr>
        <w:t>占比最重的烧结工序，迫切需要通过超低排放治理工程技术规范的出台，为企业提供工艺参数</w:t>
      </w:r>
      <w:r>
        <w:rPr>
          <w:spacing w:val="11"/>
        </w:rPr>
        <w:t xml:space="preserve"> </w:t>
      </w:r>
      <w:r>
        <w:rPr>
          <w:spacing w:val="-3"/>
        </w:rPr>
        <w:t>可行、达标能力有保障、次生污染控制好的技术支撑，确保我国钢铁烧结工序超低排放工程质</w:t>
      </w:r>
      <w:r>
        <w:rPr>
          <w:spacing w:val="5"/>
        </w:rPr>
        <w:t xml:space="preserve"> </w:t>
      </w:r>
      <w:r>
        <w:rPr>
          <w:spacing w:val="-3"/>
        </w:rPr>
        <w:t>量，提升整体排放绩效水平，同时对二噁英类、氟化物等特征污染因子进行高效协同脱除，以</w:t>
      </w:r>
    </w:p>
    <w:p>
      <w:pPr>
        <w:pStyle w:val="BodyText"/>
        <w:spacing w:before="1" w:line="218" w:lineRule="auto"/>
      </w:pPr>
      <w:r>
        <w:rPr>
          <w:spacing w:val="-2"/>
        </w:rPr>
        <w:t>高水平超低排放技术支撑国家持续改善生态环境现状的战略布局。</w:t>
      </w:r>
    </w:p>
    <w:p>
      <w:pPr>
        <w:spacing w:before="287" w:line="221" w:lineRule="auto"/>
        <w:ind w:left="2"/>
        <w:outlineLvl w:val="0"/>
        <w:rPr>
          <w:rFonts w:ascii="SimHei" w:eastAsia="SimHei" w:hAnsi="SimHei" w:cs="SimHei"/>
          <w:sz w:val="21"/>
          <w:szCs w:val="21"/>
        </w:rPr>
      </w:pPr>
      <w:r>
        <w:rPr>
          <w:rFonts w:ascii="SimHei" w:eastAsia="SimHei" w:hAnsi="SimHei" w:cs="SimHei"/>
          <w:b/>
          <w:bCs/>
          <w:spacing w:val="19"/>
          <w:sz w:val="21"/>
          <w:szCs w:val="21"/>
        </w:rPr>
        <w:t>2.2</w:t>
      </w:r>
      <w:r>
        <w:rPr>
          <w:rFonts w:ascii="SimHei" w:eastAsia="SimHei" w:hAnsi="SimHei" w:cs="SimHei"/>
          <w:spacing w:val="69"/>
          <w:sz w:val="21"/>
          <w:szCs w:val="21"/>
        </w:rPr>
        <w:t xml:space="preserve"> </w:t>
      </w:r>
      <w:r>
        <w:rPr>
          <w:rFonts w:ascii="SimHei" w:eastAsia="SimHei" w:hAnsi="SimHei" w:cs="SimHei"/>
          <w:b/>
          <w:bCs/>
          <w:spacing w:val="19"/>
          <w:sz w:val="21"/>
          <w:szCs w:val="21"/>
        </w:rPr>
        <w:t>国家产业政策及行业发展规划的环保要求</w:t>
      </w:r>
    </w:p>
    <w:p>
      <w:pPr>
        <w:pStyle w:val="BodyText"/>
        <w:spacing w:before="225" w:line="413" w:lineRule="auto"/>
        <w:ind w:firstLine="424"/>
      </w:pPr>
      <w:r>
        <w:rPr>
          <w:spacing w:val="9"/>
        </w:rPr>
        <w:t>《产业结构调整指导目录(2019年本)》明确将180平方米以下烧结机(铁合金烧结机、</w:t>
      </w:r>
      <w:r>
        <w:t xml:space="preserve"> </w:t>
      </w:r>
      <w:r>
        <w:rPr>
          <w:spacing w:val="-1"/>
        </w:rPr>
        <w:t>铸造用生铁烧结机除外)作为限制类装备。目前通过全国排污许可证管理平台统计的钢铁行业</w:t>
      </w:r>
      <w:r>
        <w:rPr>
          <w:spacing w:val="6"/>
        </w:rPr>
        <w:t xml:space="preserve">  </w:t>
      </w:r>
      <w:r>
        <w:rPr>
          <w:spacing w:val="6"/>
        </w:rPr>
        <w:t>烧结机数量为580台，处于300平方米以上领先水平的烧结机装备共计154台，</w:t>
      </w:r>
      <w:r>
        <w:rPr>
          <w:spacing w:val="5"/>
        </w:rPr>
        <w:t>占比26.55%;</w:t>
      </w:r>
      <w:r>
        <w:t xml:space="preserve">  </w:t>
      </w:r>
      <w:r>
        <w:rPr>
          <w:spacing w:val="7"/>
        </w:rPr>
        <w:t>处于180~299平方米先进水平的烧结机装备共计289台，占比49.83%;处于90~179</w:t>
      </w:r>
      <w:r>
        <w:rPr>
          <w:spacing w:val="6"/>
        </w:rPr>
        <w:t>平方米-</w:t>
      </w:r>
      <w:r>
        <w:t xml:space="preserve">   </w:t>
      </w:r>
      <w:r>
        <w:rPr>
          <w:spacing w:val="7"/>
        </w:rPr>
        <w:t>般水平的烧结机装备共计137台，占比23.6</w:t>
      </w:r>
      <w:r>
        <w:rPr>
          <w:spacing w:val="6"/>
        </w:rPr>
        <w:t xml:space="preserve">2%。根据产业政策，上述180平方米以下的限制 </w:t>
      </w:r>
      <w:r>
        <w:t>类烧结机均需汰小上大，且随着钢铁工业的提质增效，30</w:t>
      </w:r>
      <w:r>
        <w:rPr>
          <w:spacing w:val="-1"/>
        </w:rPr>
        <w:t xml:space="preserve">0平米以下的烧结机未来也将逐步置 </w:t>
      </w:r>
      <w:r>
        <w:rPr>
          <w:spacing w:val="-5"/>
        </w:rPr>
        <w:t>换升级。根据国家《“十四五”原材料工业发展规划》,新</w:t>
      </w:r>
      <w:r>
        <w:rPr>
          <w:spacing w:val="-6"/>
        </w:rPr>
        <w:t>建钢铁项目需满足超低排放标准，因</w:t>
      </w:r>
      <w:r>
        <w:t xml:space="preserve"> </w:t>
      </w:r>
      <w:r>
        <w:rPr>
          <w:spacing w:val="-3"/>
        </w:rPr>
        <w:t>此，未来将有超过一半产能的烧结机置换升级项目需要同步配套超低排放治理工程</w:t>
      </w:r>
      <w:r>
        <w:rPr>
          <w:spacing w:val="-4"/>
        </w:rPr>
        <w:t>，工程的实</w:t>
      </w:r>
    </w:p>
    <w:p>
      <w:pPr>
        <w:pStyle w:val="BodyText"/>
        <w:spacing w:line="218" w:lineRule="auto"/>
      </w:pPr>
      <w:r>
        <w:rPr>
          <w:spacing w:val="-4"/>
        </w:rPr>
        <w:t>施需要本标准作为指导。</w:t>
      </w:r>
    </w:p>
    <w:p>
      <w:pPr>
        <w:spacing w:line="218" w:lineRule="auto"/>
        <w:sectPr>
          <w:footerReference w:type="default" r:id="rId5"/>
          <w:pgSz w:w="11910" w:h="16840"/>
          <w:pgMar w:top="1431" w:right="1635" w:bottom="1015" w:left="1700" w:header="0" w:footer="866" w:gutter="0"/>
          <w:pgNumType w:start="2"/>
          <w:cols w:space="708"/>
        </w:sectPr>
      </w:pPr>
    </w:p>
    <w:p>
      <w:pPr>
        <w:spacing w:before="152" w:line="222" w:lineRule="auto"/>
        <w:ind w:left="2"/>
        <w:outlineLvl w:val="0"/>
        <w:rPr>
          <w:rFonts w:ascii="SimHei" w:eastAsia="SimHei" w:hAnsi="SimHei" w:cs="SimHei"/>
          <w:sz w:val="21"/>
          <w:szCs w:val="21"/>
        </w:rPr>
      </w:pPr>
      <w:r>
        <w:rPr>
          <w:rFonts w:ascii="SimHei" w:eastAsia="SimHei" w:hAnsi="SimHei" w:cs="SimHei"/>
          <w:b/>
          <w:bCs/>
          <w:spacing w:val="17"/>
          <w:sz w:val="21"/>
          <w:szCs w:val="21"/>
        </w:rPr>
        <w:t>2.3</w:t>
      </w:r>
      <w:r>
        <w:rPr>
          <w:rFonts w:ascii="SimHei" w:eastAsia="SimHei" w:hAnsi="SimHei" w:cs="SimHei"/>
          <w:spacing w:val="47"/>
          <w:sz w:val="21"/>
          <w:szCs w:val="21"/>
        </w:rPr>
        <w:t xml:space="preserve"> </w:t>
      </w:r>
      <w:r>
        <w:rPr>
          <w:rFonts w:ascii="SimHei" w:eastAsia="SimHei" w:hAnsi="SimHei" w:cs="SimHei"/>
          <w:b/>
          <w:bCs/>
          <w:spacing w:val="17"/>
          <w:sz w:val="21"/>
          <w:szCs w:val="21"/>
        </w:rPr>
        <w:t>部分超低排放治理工程亟待规范</w:t>
      </w:r>
    </w:p>
    <w:p>
      <w:pPr>
        <w:pStyle w:val="BodyText"/>
        <w:spacing w:before="202" w:line="219" w:lineRule="auto"/>
        <w:ind w:left="419"/>
      </w:pPr>
      <w:r>
        <w:rPr>
          <w:spacing w:val="-4"/>
        </w:rPr>
        <w:t>2.3.1污染物源强及设计参数确定不当</w:t>
      </w:r>
    </w:p>
    <w:p>
      <w:pPr>
        <w:pStyle w:val="BodyText"/>
        <w:spacing w:before="219" w:line="422" w:lineRule="auto"/>
        <w:ind w:right="76" w:firstLine="419"/>
      </w:pPr>
      <w:r>
        <w:rPr>
          <w:spacing w:val="-4"/>
        </w:rPr>
        <w:t>部分环保工程公司过分夸大其治理技术的污染物去除效率，未对企业污染物负荷等设计参</w:t>
      </w:r>
      <w:r>
        <w:rPr>
          <w:spacing w:val="14"/>
        </w:rPr>
        <w:t xml:space="preserve"> </w:t>
      </w:r>
      <w:r>
        <w:rPr>
          <w:spacing w:val="-1"/>
        </w:rPr>
        <w:t>数的合理性充分调研，导致工程设计参数取值较小，“小马拉大车”,存在无法长期稳定超低</w:t>
      </w:r>
      <w:r>
        <w:rPr>
          <w:spacing w:val="8"/>
        </w:rPr>
        <w:t xml:space="preserve"> </w:t>
      </w:r>
      <w:r>
        <w:rPr>
          <w:spacing w:val="-3"/>
        </w:rPr>
        <w:t>排放的风险，特别是当原燃料配比与生产负荷发生较大波动时，污染治理设施去除效率的设计</w:t>
      </w:r>
      <w:r>
        <w:t xml:space="preserve"> </w:t>
      </w:r>
      <w:r>
        <w:rPr>
          <w:spacing w:val="-3"/>
        </w:rPr>
        <w:t>裕度无法满足要求，个别企业采取临时加大脱硫剂、脱硝</w:t>
      </w:r>
      <w:r>
        <w:rPr>
          <w:spacing w:val="-4"/>
        </w:rPr>
        <w:t>剂投加量应付检查，甚至出现监测数</w:t>
      </w:r>
    </w:p>
    <w:p>
      <w:pPr>
        <w:pStyle w:val="BodyText"/>
        <w:spacing w:line="218" w:lineRule="auto"/>
      </w:pPr>
      <w:r>
        <w:rPr>
          <w:spacing w:val="-4"/>
        </w:rPr>
        <w:t>据造假等严重问题。</w:t>
      </w:r>
    </w:p>
    <w:p>
      <w:pPr>
        <w:pStyle w:val="BodyText"/>
        <w:spacing w:before="232" w:line="219" w:lineRule="auto"/>
        <w:ind w:left="419"/>
      </w:pPr>
      <w:r>
        <w:rPr>
          <w:spacing w:val="-4"/>
        </w:rPr>
        <w:t>2.3.2部分工程缺乏源头控制和系统统筹</w:t>
      </w:r>
    </w:p>
    <w:p>
      <w:pPr>
        <w:pStyle w:val="BodyText"/>
        <w:spacing w:before="239" w:line="414" w:lineRule="auto"/>
        <w:ind w:right="80" w:firstLine="419"/>
      </w:pPr>
      <w:r>
        <w:rPr>
          <w:spacing w:val="-4"/>
        </w:rPr>
        <w:t>钢铁企业在实施超低排放改造工程时，往往忽视了烧结机机头静电除尘器等上游关键环节</w:t>
      </w:r>
      <w:r>
        <w:rPr>
          <w:spacing w:val="15"/>
        </w:rPr>
        <w:t xml:space="preserve"> </w:t>
      </w:r>
      <w:r>
        <w:rPr>
          <w:spacing w:val="-3"/>
        </w:rPr>
        <w:t>提标改造，再加上烧结配料回配钾、钠等碱金属除尘灰以</w:t>
      </w:r>
      <w:r>
        <w:rPr>
          <w:spacing w:val="-4"/>
        </w:rPr>
        <w:t>及含油污泥较多，导致出现具有粘结</w:t>
      </w:r>
      <w:r>
        <w:t xml:space="preserve"> </w:t>
      </w:r>
      <w:r>
        <w:rPr>
          <w:spacing w:val="-6"/>
        </w:rPr>
        <w:t>性的碱金属富集、烧结“糊篦条”、烧结矿质量下降、脱硝催化剂寿命缩短、机头烟气中VOCs</w:t>
      </w:r>
      <w:r>
        <w:rPr>
          <w:spacing w:val="6"/>
        </w:rPr>
        <w:t xml:space="preserve">  </w:t>
      </w:r>
      <w:r>
        <w:rPr>
          <w:spacing w:val="2"/>
        </w:rPr>
        <w:t>和二噁英类物质的生成量增加、二噁英类物质和重金属等有毒有害物质进入脱硫副产物等问</w:t>
      </w:r>
    </w:p>
    <w:p>
      <w:pPr>
        <w:pStyle w:val="BodyText"/>
        <w:spacing w:before="1" w:line="221" w:lineRule="auto"/>
      </w:pPr>
      <w:r>
        <w:rPr>
          <w:spacing w:val="-4"/>
        </w:rPr>
        <w:t>题。</w:t>
      </w:r>
    </w:p>
    <w:p>
      <w:pPr>
        <w:pStyle w:val="BodyText"/>
        <w:spacing w:before="256" w:line="219" w:lineRule="auto"/>
        <w:ind w:left="419"/>
      </w:pPr>
      <w:r>
        <w:rPr>
          <w:spacing w:val="-7"/>
        </w:rPr>
        <w:t>2.3.3 少数工程技术路线选择不当</w:t>
      </w:r>
    </w:p>
    <w:p>
      <w:pPr>
        <w:pStyle w:val="BodyText"/>
        <w:spacing w:before="231" w:line="413" w:lineRule="auto"/>
        <w:ind w:firstLine="419"/>
      </w:pPr>
      <w:r>
        <w:rPr>
          <w:spacing w:val="-3"/>
        </w:rPr>
        <w:t>一些钢铁企业在选择超低排放治理工艺时，由于缺乏可供参考的</w:t>
      </w:r>
      <w:r>
        <w:rPr>
          <w:spacing w:val="-4"/>
        </w:rPr>
        <w:t xml:space="preserve">指导性技术规范，在采购 </w:t>
      </w:r>
      <w:r>
        <w:rPr>
          <w:spacing w:val="-6"/>
        </w:rPr>
        <w:t>招标时选择了反应机理不明、减排效果未得到可靠验证的技术路线，从而造成治理工</w:t>
      </w:r>
      <w:r>
        <w:rPr>
          <w:spacing w:val="-7"/>
        </w:rPr>
        <w:t>程投运后，</w:t>
      </w:r>
      <w:r>
        <w:t xml:space="preserve"> </w:t>
      </w:r>
      <w:r>
        <w:rPr>
          <w:spacing w:val="-1"/>
        </w:rPr>
        <w:t xml:space="preserve">无法满足稳定超低排放的要求，项目推倒重建；或者进行二次投资，选择其他工艺串/并联处 </w:t>
      </w:r>
      <w:r>
        <w:rPr>
          <w:spacing w:val="-3"/>
        </w:rPr>
        <w:t>理，虽然整改后可满足超低限值要求，但多套治理设施</w:t>
      </w:r>
      <w:r>
        <w:rPr>
          <w:spacing w:val="-4"/>
        </w:rPr>
        <w:t>并用，能耗物耗增量都不符合当前钢铁</w:t>
      </w:r>
    </w:p>
    <w:p>
      <w:pPr>
        <w:pStyle w:val="BodyText"/>
        <w:spacing w:before="1" w:line="219" w:lineRule="auto"/>
      </w:pPr>
      <w:r>
        <w:rPr>
          <w:spacing w:val="-4"/>
        </w:rPr>
        <w:t>行业减污降碳的发展要求。</w:t>
      </w:r>
    </w:p>
    <w:p>
      <w:pPr>
        <w:pStyle w:val="BodyText"/>
        <w:spacing w:before="259" w:line="219" w:lineRule="auto"/>
        <w:ind w:left="419"/>
      </w:pPr>
      <w:r>
        <w:rPr>
          <w:spacing w:val="-7"/>
        </w:rPr>
        <w:t>2.3.4 工程主要设备与材料选型不当</w:t>
      </w:r>
    </w:p>
    <w:p>
      <w:pPr>
        <w:pStyle w:val="BodyText"/>
        <w:spacing w:before="213" w:line="422" w:lineRule="auto"/>
        <w:ind w:firstLine="419"/>
      </w:pPr>
      <w:r>
        <w:rPr>
          <w:spacing w:val="-8"/>
        </w:rPr>
        <w:t>由于缺乏指导性的工程技术规范，</w:t>
      </w:r>
      <w:r>
        <w:rPr>
          <w:spacing w:val="65"/>
        </w:rPr>
        <w:t xml:space="preserve"> </w:t>
      </w:r>
      <w:r>
        <w:rPr>
          <w:spacing w:val="-8"/>
        </w:rPr>
        <w:t>一些钢铁企业在工程招投标时，难以合理设定主要设备</w:t>
      </w:r>
      <w:r>
        <w:t xml:space="preserve">  </w:t>
      </w:r>
      <w:r>
        <w:rPr>
          <w:spacing w:val="-6"/>
        </w:rPr>
        <w:t>和材料选型要求，导致出现了一些低质低价的工程，工程施工方为降低成本，在关键</w:t>
      </w:r>
      <w:r>
        <w:rPr>
          <w:spacing w:val="-7"/>
        </w:rPr>
        <w:t>设计参数、</w:t>
      </w:r>
      <w:r>
        <w:t xml:space="preserve"> </w:t>
      </w:r>
      <w:r>
        <w:rPr>
          <w:spacing w:val="-6"/>
        </w:rPr>
        <w:t>主要设备与材质选型、检测与过程控制等方面减配，投运后出现核心设备频繁损坏、</w:t>
      </w:r>
      <w:r>
        <w:rPr>
          <w:spacing w:val="-7"/>
        </w:rPr>
        <w:t>故障率高、</w:t>
      </w:r>
      <w:r>
        <w:t xml:space="preserve"> </w:t>
      </w:r>
      <w:r>
        <w:rPr>
          <w:spacing w:val="-7"/>
        </w:rPr>
        <w:t>运行工况不稳定与数据保存周期短等问题。</w:t>
      </w:r>
      <w:r>
        <w:rPr>
          <w:spacing w:val="53"/>
        </w:rPr>
        <w:t xml:space="preserve"> </w:t>
      </w:r>
      <w:r>
        <w:rPr>
          <w:spacing w:val="-7"/>
        </w:rPr>
        <w:t>一些超低排放改造工程在设计施工以及运维过程中</w:t>
      </w:r>
      <w:r>
        <w:t xml:space="preserve"> </w:t>
      </w:r>
      <w:r>
        <w:rPr>
          <w:spacing w:val="-3"/>
        </w:rPr>
        <w:t>未对建构筑物的载荷、有害气体的泄漏检测、设备防腐等相</w:t>
      </w:r>
      <w:r>
        <w:rPr>
          <w:spacing w:val="-4"/>
        </w:rPr>
        <w:t>关因素进行重点考虑，留下安全风</w:t>
      </w:r>
    </w:p>
    <w:p>
      <w:pPr>
        <w:pStyle w:val="BodyText"/>
        <w:spacing w:line="220" w:lineRule="auto"/>
      </w:pPr>
      <w:r>
        <w:rPr>
          <w:spacing w:val="-10"/>
        </w:rPr>
        <w:t>险隐患。</w:t>
      </w:r>
    </w:p>
    <w:p>
      <w:pPr>
        <w:pStyle w:val="BodyText"/>
        <w:spacing w:before="239" w:line="219" w:lineRule="auto"/>
        <w:ind w:left="419"/>
      </w:pPr>
      <w:r>
        <w:rPr>
          <w:spacing w:val="-7"/>
        </w:rPr>
        <w:t>2.3.5 二次污染问题未得到有效重视</w:t>
      </w:r>
    </w:p>
    <w:p>
      <w:pPr>
        <w:pStyle w:val="BodyText"/>
        <w:spacing w:before="210" w:line="490" w:lineRule="exact"/>
        <w:ind w:left="419"/>
        <w:sectPr>
          <w:footerReference w:type="default" r:id="rId6"/>
          <w:pgSz w:w="11910" w:h="16840"/>
          <w:pgMar w:top="1431" w:right="1645" w:bottom="1015" w:left="1700" w:header="0" w:footer="866" w:gutter="0"/>
          <w:pgNumType w:start="3"/>
          <w:cols w:space="708"/>
        </w:sectPr>
      </w:pPr>
      <w:r>
        <w:rPr>
          <w:spacing w:val="-4"/>
          <w:position w:val="21"/>
        </w:rPr>
        <w:t>烧结机机头烟气湿法脱硫废水未经氧化固硫处理直接用于高炉冲渣或钢渣焖渣，以及半干</w:t>
      </w:r>
    </w:p>
    <w:p>
      <w:pPr>
        <w:pStyle w:val="BodyText"/>
        <w:spacing w:before="1" w:line="218" w:lineRule="auto"/>
      </w:pPr>
      <w:r>
        <w:rPr>
          <w:spacing w:val="-3"/>
        </w:rPr>
        <w:t>法脱硫灰未妥善处置均存在二氧化硫再次分解排放的风险；活</w:t>
      </w:r>
      <w:r>
        <w:rPr>
          <w:spacing w:val="-4"/>
        </w:rPr>
        <w:t>性炭脱硫脱硝一体化系统也存在</w:t>
      </w:r>
    </w:p>
    <w:p>
      <w:pPr>
        <w:spacing w:line="218" w:lineRule="auto"/>
        <w:sectPr>
          <w:footerReference w:type="default" r:id="rId7"/>
          <w:type w:val="nextPage"/>
          <w:pgSz w:w="11910" w:h="16840"/>
          <w:pgMar w:top="1431" w:right="1645" w:bottom="1015" w:left="1700" w:header="0" w:footer="866" w:gutter="0"/>
          <w:pgNumType w:start="4"/>
          <w:cols w:space="708"/>
          <w:titlePg w:val="0"/>
        </w:sectPr>
      </w:pPr>
    </w:p>
    <w:p>
      <w:pPr>
        <w:pStyle w:val="BodyText"/>
        <w:spacing w:before="146" w:line="461" w:lineRule="exact"/>
      </w:pPr>
      <w:r>
        <w:rPr>
          <w:spacing w:val="-3"/>
          <w:position w:val="19"/>
        </w:rPr>
        <w:t>制酸富硫尾气外排等风险；脱硝工艺普遍存在过量喷氨现象，导致出现氨逃逸以</w:t>
      </w:r>
      <w:r>
        <w:rPr>
          <w:spacing w:val="-4"/>
          <w:position w:val="19"/>
        </w:rPr>
        <w:t>及生成铵盐等</w:t>
      </w:r>
    </w:p>
    <w:p>
      <w:pPr>
        <w:pStyle w:val="BodyText"/>
        <w:spacing w:line="219" w:lineRule="auto"/>
      </w:pPr>
      <w:r>
        <w:rPr>
          <w:spacing w:val="-4"/>
        </w:rPr>
        <w:t>可凝结颗粒物的问题，需引起高度重视。</w:t>
      </w:r>
    </w:p>
    <w:p>
      <w:pPr>
        <w:spacing w:before="268" w:line="639" w:lineRule="exact"/>
        <w:ind w:left="4"/>
        <w:rPr>
          <w:rFonts w:ascii="SimHei" w:eastAsia="SimHei" w:hAnsi="SimHei" w:cs="SimHei"/>
          <w:sz w:val="28"/>
          <w:szCs w:val="28"/>
        </w:rPr>
      </w:pPr>
      <w:r>
        <w:rPr>
          <w:rFonts w:ascii="SimHei" w:eastAsia="SimHei" w:hAnsi="SimHei" w:cs="SimHei"/>
          <w:b/>
          <w:bCs/>
          <w:spacing w:val="-9"/>
          <w:position w:val="27"/>
          <w:sz w:val="28"/>
          <w:szCs w:val="28"/>
        </w:rPr>
        <w:t>3</w:t>
      </w:r>
      <w:r>
        <w:rPr>
          <w:rFonts w:ascii="SimHei" w:eastAsia="SimHei" w:hAnsi="SimHei" w:cs="SimHei"/>
          <w:spacing w:val="36"/>
          <w:position w:val="27"/>
          <w:sz w:val="28"/>
          <w:szCs w:val="28"/>
        </w:rPr>
        <w:t xml:space="preserve"> </w:t>
      </w:r>
      <w:r>
        <w:rPr>
          <w:rFonts w:ascii="SimHei" w:eastAsia="SimHei" w:hAnsi="SimHei" w:cs="SimHei"/>
          <w:b/>
          <w:bCs/>
          <w:spacing w:val="-9"/>
          <w:position w:val="27"/>
          <w:sz w:val="28"/>
          <w:szCs w:val="28"/>
        </w:rPr>
        <w:t>国内外相关标准研究</w:t>
      </w:r>
    </w:p>
    <w:p>
      <w:pPr>
        <w:spacing w:line="221" w:lineRule="auto"/>
        <w:ind w:left="2"/>
        <w:rPr>
          <w:rFonts w:ascii="SimHei" w:eastAsia="SimHei" w:hAnsi="SimHei" w:cs="SimHei"/>
          <w:sz w:val="24"/>
          <w:szCs w:val="24"/>
        </w:rPr>
      </w:pPr>
      <w:r>
        <w:rPr>
          <w:rFonts w:ascii="SimHei" w:eastAsia="SimHei" w:hAnsi="SimHei" w:cs="SimHei"/>
          <w:b/>
          <w:bCs/>
          <w:spacing w:val="-11"/>
          <w:sz w:val="24"/>
          <w:szCs w:val="24"/>
        </w:rPr>
        <w:t>3.1</w:t>
      </w:r>
      <w:r>
        <w:rPr>
          <w:rFonts w:ascii="SimHei" w:eastAsia="SimHei" w:hAnsi="SimHei" w:cs="SimHei"/>
          <w:spacing w:val="-11"/>
          <w:sz w:val="24"/>
          <w:szCs w:val="24"/>
        </w:rPr>
        <w:t xml:space="preserve"> </w:t>
      </w:r>
      <w:r>
        <w:rPr>
          <w:rFonts w:ascii="SimHei" w:eastAsia="SimHei" w:hAnsi="SimHei" w:cs="SimHei"/>
          <w:b/>
          <w:bCs/>
          <w:spacing w:val="-11"/>
          <w:sz w:val="24"/>
          <w:szCs w:val="24"/>
        </w:rPr>
        <w:t>国外相关标准研究</w:t>
      </w:r>
    </w:p>
    <w:p>
      <w:pPr>
        <w:pStyle w:val="BodyText"/>
        <w:spacing w:before="284" w:line="422" w:lineRule="auto"/>
        <w:ind w:firstLine="429"/>
        <w:jc w:val="both"/>
      </w:pPr>
      <w:r>
        <w:rPr>
          <w:spacing w:val="2"/>
        </w:rPr>
        <w:t>美国钢铁企业气体污染物排放(针对颗粒物)的标准非常详细，除</w:t>
      </w:r>
      <w:r>
        <w:rPr>
          <w:spacing w:val="1"/>
        </w:rPr>
        <w:t>有国家排放标准外，各</w:t>
      </w:r>
      <w:r>
        <w:t xml:space="preserve">  </w:t>
      </w:r>
      <w:r>
        <w:rPr>
          <w:spacing w:val="-3"/>
        </w:rPr>
        <w:t>州均对区域内各企业的不同工序、不同排放点制定了排放标准，对于</w:t>
      </w:r>
      <w:r>
        <w:rPr>
          <w:spacing w:val="-4"/>
        </w:rPr>
        <w:t>不同钢铁企业的同一类排</w:t>
      </w:r>
      <w:r>
        <w:t xml:space="preserve">  </w:t>
      </w:r>
      <w:r>
        <w:rPr>
          <w:spacing w:val="-3"/>
        </w:rPr>
        <w:t>放点，各州污染物排放标准的差距比较大。欧盟委员会发布了污染综合防治</w:t>
      </w:r>
      <w:r>
        <w:rPr>
          <w:spacing w:val="-4"/>
        </w:rPr>
        <w:t>指令，提出建立最</w:t>
      </w:r>
      <w:r>
        <w:t xml:space="preserve">  </w:t>
      </w:r>
      <w:r>
        <w:rPr>
          <w:spacing w:val="-3"/>
        </w:rPr>
        <w:t>佳可用技术体系，设立专门的欧盟综合性污染防治控制局来制定、评</w:t>
      </w:r>
      <w:r>
        <w:rPr>
          <w:spacing w:val="-4"/>
        </w:rPr>
        <w:t>估及更新基于行业的最佳</w:t>
      </w:r>
      <w:r>
        <w:t xml:space="preserve">  </w:t>
      </w:r>
      <w:r>
        <w:t>可行技术指南；世界银行下属机构国际金融公司</w:t>
      </w:r>
      <w:r>
        <w:rPr>
          <w:spacing w:val="-1"/>
        </w:rPr>
        <w:t>制定的《联合炼钢厂环境、健康与安全指南》</w:t>
      </w:r>
      <w:r>
        <w:t xml:space="preserve"> </w:t>
      </w:r>
      <w:r>
        <w:rPr>
          <w:spacing w:val="-3"/>
        </w:rPr>
        <w:t>适用于烧结矿生产过程中产生的废气、废水和固体废料种类识</w:t>
      </w:r>
      <w:r>
        <w:rPr>
          <w:spacing w:val="-4"/>
        </w:rPr>
        <w:t>别与防控措施的确定。但由于国</w:t>
      </w:r>
    </w:p>
    <w:p>
      <w:pPr>
        <w:pStyle w:val="BodyText"/>
        <w:spacing w:line="219" w:lineRule="auto"/>
      </w:pPr>
      <w:r>
        <w:rPr>
          <w:spacing w:val="-1"/>
        </w:rPr>
        <w:t>外钢铁企业均未执行超低排放，因此也未制</w:t>
      </w:r>
      <w:r>
        <w:rPr>
          <w:spacing w:val="-2"/>
        </w:rPr>
        <w:t>定过类似的工程技术规范。</w:t>
      </w:r>
    </w:p>
    <w:p>
      <w:pPr>
        <w:spacing w:before="197" w:line="222" w:lineRule="auto"/>
        <w:ind w:left="2"/>
        <w:outlineLvl w:val="6"/>
        <w:rPr>
          <w:rFonts w:ascii="SimHei" w:eastAsia="SimHei" w:hAnsi="SimHei" w:cs="SimHei"/>
          <w:sz w:val="24"/>
          <w:szCs w:val="24"/>
        </w:rPr>
      </w:pPr>
      <w:r>
        <w:rPr>
          <w:rFonts w:ascii="SimHei" w:eastAsia="SimHei" w:hAnsi="SimHei" w:cs="SimHei"/>
          <w:b/>
          <w:bCs/>
          <w:spacing w:val="-15"/>
          <w:sz w:val="24"/>
          <w:szCs w:val="24"/>
        </w:rPr>
        <w:t>3.2</w:t>
      </w:r>
      <w:r>
        <w:rPr>
          <w:rFonts w:ascii="SimHei" w:eastAsia="SimHei" w:hAnsi="SimHei" w:cs="SimHei"/>
          <w:spacing w:val="44"/>
          <w:sz w:val="24"/>
          <w:szCs w:val="24"/>
        </w:rPr>
        <w:t xml:space="preserve"> </w:t>
      </w:r>
      <w:r>
        <w:rPr>
          <w:rFonts w:ascii="SimHei" w:eastAsia="SimHei" w:hAnsi="SimHei" w:cs="SimHei"/>
          <w:b/>
          <w:bCs/>
          <w:spacing w:val="-15"/>
          <w:sz w:val="24"/>
          <w:szCs w:val="24"/>
        </w:rPr>
        <w:t>国内相关标准研究</w:t>
      </w:r>
    </w:p>
    <w:p>
      <w:pPr>
        <w:pStyle w:val="BodyText"/>
        <w:spacing w:before="232" w:line="414" w:lineRule="auto"/>
        <w:ind w:right="112" w:firstLine="429"/>
        <w:jc w:val="both"/>
      </w:pPr>
      <w:r>
        <w:rPr>
          <w:spacing w:val="-5"/>
        </w:rPr>
        <w:t>目前，我国已出台的相关标准有《钢铁工业除尘工程技术规范》</w:t>
      </w:r>
      <w:r>
        <w:rPr>
          <w:spacing w:val="95"/>
        </w:rPr>
        <w:t xml:space="preserve"> </w:t>
      </w:r>
      <w:r>
        <w:rPr>
          <w:spacing w:val="-5"/>
        </w:rPr>
        <w:t>(HJ4</w:t>
      </w:r>
      <w:r>
        <w:rPr>
          <w:spacing w:val="-6"/>
        </w:rPr>
        <w:t>35-2008)、</w:t>
      </w:r>
      <w:r>
        <w:rPr>
          <w:spacing w:val="39"/>
        </w:rPr>
        <w:t xml:space="preserve">  </w:t>
      </w:r>
      <w:r>
        <w:rPr>
          <w:spacing w:val="-6"/>
        </w:rPr>
        <w:t>《钢</w:t>
      </w:r>
      <w:r>
        <w:t xml:space="preserve"> </w:t>
      </w:r>
      <w:r>
        <w:rPr>
          <w:spacing w:val="-4"/>
        </w:rPr>
        <w:t>铁工业烧结机烟气脱硫工程技术规范湿式石灰石/石灰一石膏法》</w:t>
      </w:r>
      <w:r>
        <w:rPr>
          <w:spacing w:val="86"/>
        </w:rPr>
        <w:t xml:space="preserve"> </w:t>
      </w:r>
      <w:r>
        <w:rPr>
          <w:spacing w:val="-4"/>
        </w:rPr>
        <w:t>(HJ2052-2016)、</w:t>
      </w:r>
      <w:r>
        <w:rPr>
          <w:spacing w:val="31"/>
        </w:rPr>
        <w:t xml:space="preserve">  </w:t>
      </w:r>
      <w:r>
        <w:rPr>
          <w:spacing w:val="-4"/>
        </w:rPr>
        <w:t>《烟气</w:t>
      </w:r>
      <w:r>
        <w:t xml:space="preserve"> </w:t>
      </w:r>
      <w:r>
        <w:rPr>
          <w:spacing w:val="-7"/>
        </w:rPr>
        <w:t>循环流化床法脱硫工程通用技术规范》</w:t>
      </w:r>
      <w:r>
        <w:rPr>
          <w:spacing w:val="101"/>
        </w:rPr>
        <w:t xml:space="preserve"> </w:t>
      </w:r>
      <w:r>
        <w:rPr>
          <w:spacing w:val="-7"/>
        </w:rPr>
        <w:t>(HJ178-2018)、</w:t>
      </w:r>
      <w:r>
        <w:rPr>
          <w:spacing w:val="44"/>
        </w:rPr>
        <w:t xml:space="preserve">  </w:t>
      </w:r>
      <w:r>
        <w:rPr>
          <w:spacing w:val="-7"/>
        </w:rPr>
        <w:t>《石灰石/石灰一石膏湿法烟气脱硫</w:t>
      </w:r>
      <w:r>
        <w:t xml:space="preserve"> </w:t>
      </w:r>
      <w:r>
        <w:rPr>
          <w:spacing w:val="-2"/>
        </w:rPr>
        <w:t>工程通用技术规范》</w:t>
      </w:r>
      <w:r>
        <w:rPr>
          <w:spacing w:val="96"/>
        </w:rPr>
        <w:t xml:space="preserve"> </w:t>
      </w:r>
      <w:r>
        <w:rPr>
          <w:spacing w:val="-2"/>
        </w:rPr>
        <w:t>(HJ179-2018)。</w:t>
      </w:r>
      <w:r>
        <w:rPr>
          <w:spacing w:val="36"/>
        </w:rPr>
        <w:t xml:space="preserve">  </w:t>
      </w:r>
      <w:r>
        <w:rPr>
          <w:spacing w:val="-2"/>
        </w:rPr>
        <w:t>但由于发布时间早于《意见》,部分要求不能满足超</w:t>
      </w:r>
    </w:p>
    <w:p>
      <w:pPr>
        <w:pStyle w:val="BodyText"/>
        <w:spacing w:line="220" w:lineRule="auto"/>
      </w:pPr>
      <w:r>
        <w:rPr>
          <w:spacing w:val="-4"/>
        </w:rPr>
        <w:t>低排放工程设计要求。</w:t>
      </w:r>
    </w:p>
    <w:p>
      <w:pPr>
        <w:spacing w:before="277" w:line="658" w:lineRule="exact"/>
        <w:ind w:left="3"/>
        <w:rPr>
          <w:rFonts w:ascii="SimHei" w:eastAsia="SimHei" w:hAnsi="SimHei" w:cs="SimHei"/>
          <w:sz w:val="28"/>
          <w:szCs w:val="28"/>
        </w:rPr>
      </w:pPr>
      <w:r>
        <w:rPr>
          <w:rFonts w:ascii="SimHei" w:eastAsia="SimHei" w:hAnsi="SimHei" w:cs="SimHei"/>
          <w:b/>
          <w:bCs/>
          <w:spacing w:val="-4"/>
          <w:position w:val="28"/>
          <w:sz w:val="28"/>
          <w:szCs w:val="28"/>
        </w:rPr>
        <w:t>4</w:t>
      </w:r>
      <w:r>
        <w:rPr>
          <w:rFonts w:ascii="SimHei" w:eastAsia="SimHei" w:hAnsi="SimHei" w:cs="SimHei"/>
          <w:spacing w:val="-4"/>
          <w:position w:val="28"/>
          <w:sz w:val="28"/>
          <w:szCs w:val="28"/>
        </w:rPr>
        <w:t xml:space="preserve"> </w:t>
      </w:r>
      <w:r>
        <w:rPr>
          <w:rFonts w:ascii="SimHei" w:eastAsia="SimHei" w:hAnsi="SimHei" w:cs="SimHei"/>
          <w:b/>
          <w:bCs/>
          <w:spacing w:val="-4"/>
          <w:position w:val="28"/>
          <w:sz w:val="28"/>
          <w:szCs w:val="28"/>
        </w:rPr>
        <w:t>钢铁工业烧结废气治理工程现状调研</w:t>
      </w:r>
    </w:p>
    <w:p>
      <w:pPr>
        <w:spacing w:before="2" w:line="220" w:lineRule="auto"/>
        <w:ind w:left="2"/>
        <w:rPr>
          <w:rFonts w:ascii="SimHei" w:eastAsia="SimHei" w:hAnsi="SimHei" w:cs="SimHei"/>
          <w:sz w:val="24"/>
          <w:szCs w:val="24"/>
        </w:rPr>
      </w:pPr>
      <w:r>
        <w:rPr>
          <w:rFonts w:ascii="SimHei" w:eastAsia="SimHei" w:hAnsi="SimHei" w:cs="SimHei"/>
          <w:b/>
          <w:bCs/>
          <w:spacing w:val="-7"/>
          <w:sz w:val="24"/>
          <w:szCs w:val="24"/>
        </w:rPr>
        <w:t>4.1</w:t>
      </w:r>
      <w:r>
        <w:rPr>
          <w:rFonts w:ascii="SimHei" w:eastAsia="SimHei" w:hAnsi="SimHei" w:cs="SimHei"/>
          <w:spacing w:val="-7"/>
          <w:sz w:val="24"/>
          <w:szCs w:val="24"/>
        </w:rPr>
        <w:t xml:space="preserve"> </w:t>
      </w:r>
      <w:r>
        <w:rPr>
          <w:rFonts w:ascii="SimHei" w:eastAsia="SimHei" w:hAnsi="SimHei" w:cs="SimHei"/>
          <w:b/>
          <w:bCs/>
          <w:spacing w:val="-7"/>
          <w:sz w:val="24"/>
          <w:szCs w:val="24"/>
        </w:rPr>
        <w:t>烧结工序源头清洁生产技术应用现状</w:t>
      </w:r>
    </w:p>
    <w:p>
      <w:pPr>
        <w:pStyle w:val="BodyText"/>
        <w:spacing w:before="287" w:line="413" w:lineRule="auto"/>
        <w:ind w:right="92" w:firstLine="679"/>
        <w:jc w:val="both"/>
      </w:pPr>
      <w:r>
        <w:rPr>
          <w:spacing w:val="-4"/>
        </w:rPr>
        <w:t>目前钢铁行业采用的烧结工序源头清洁生产减排技术主要包括：</w:t>
      </w:r>
      <w:r>
        <w:rPr>
          <w:spacing w:val="-5"/>
        </w:rPr>
        <w:t>厚料层烧结技术、漏风</w:t>
      </w:r>
      <w:r>
        <w:t xml:space="preserve"> </w:t>
      </w:r>
      <w:r>
        <w:rPr>
          <w:spacing w:val="-3"/>
        </w:rPr>
        <w:t>率控制技术、燃气喷吹补热技术、烧结烟气循环技术、余热回收技术、料面喷</w:t>
      </w:r>
      <w:r>
        <w:rPr>
          <w:spacing w:val="-4"/>
        </w:rPr>
        <w:t>吹蒸汽、富氧烧</w:t>
      </w:r>
    </w:p>
    <w:p>
      <w:pPr>
        <w:pStyle w:val="BodyText"/>
        <w:spacing w:line="219" w:lineRule="auto"/>
      </w:pPr>
      <w:r>
        <w:rPr>
          <w:spacing w:val="2"/>
        </w:rPr>
        <w:t>结等源头污染清洁生产技术。通过源头减排技术的应用，减少污染物排</w:t>
      </w:r>
      <w:r>
        <w:rPr>
          <w:spacing w:val="1"/>
        </w:rPr>
        <w:t>放30%以上。</w:t>
      </w:r>
    </w:p>
    <w:p>
      <w:pPr>
        <w:spacing w:before="216" w:line="221" w:lineRule="auto"/>
        <w:ind w:left="2"/>
        <w:outlineLvl w:val="6"/>
        <w:rPr>
          <w:rFonts w:ascii="SimHei" w:eastAsia="SimHei" w:hAnsi="SimHei" w:cs="SimHei"/>
          <w:sz w:val="24"/>
          <w:szCs w:val="24"/>
        </w:rPr>
      </w:pPr>
      <w:r>
        <w:rPr>
          <w:rFonts w:ascii="SimHei" w:eastAsia="SimHei" w:hAnsi="SimHei" w:cs="SimHei"/>
          <w:b/>
          <w:bCs/>
          <w:spacing w:val="-11"/>
          <w:sz w:val="24"/>
          <w:szCs w:val="24"/>
        </w:rPr>
        <w:t>4.2</w:t>
      </w:r>
      <w:r>
        <w:rPr>
          <w:rFonts w:ascii="SimHei" w:eastAsia="SimHei" w:hAnsi="SimHei" w:cs="SimHei"/>
          <w:spacing w:val="38"/>
          <w:sz w:val="24"/>
          <w:szCs w:val="24"/>
        </w:rPr>
        <w:t xml:space="preserve"> </w:t>
      </w:r>
      <w:r>
        <w:rPr>
          <w:rFonts w:ascii="SimHei" w:eastAsia="SimHei" w:hAnsi="SimHei" w:cs="SimHei"/>
          <w:b/>
          <w:bCs/>
          <w:spacing w:val="-11"/>
          <w:sz w:val="24"/>
          <w:szCs w:val="24"/>
        </w:rPr>
        <w:t>行业烧结工序末端治理技术应用现状</w:t>
      </w:r>
    </w:p>
    <w:p>
      <w:pPr>
        <w:pStyle w:val="BodyText"/>
        <w:spacing w:before="217" w:line="480" w:lineRule="exact"/>
        <w:ind w:left="619"/>
      </w:pPr>
      <w:r>
        <w:rPr>
          <w:spacing w:val="-9"/>
          <w:position w:val="20"/>
        </w:rPr>
        <w:t>4.2.1</w:t>
      </w:r>
      <w:r>
        <w:rPr>
          <w:spacing w:val="36"/>
          <w:position w:val="20"/>
        </w:rPr>
        <w:t xml:space="preserve"> </w:t>
      </w:r>
      <w:r>
        <w:rPr>
          <w:spacing w:val="-9"/>
          <w:position w:val="20"/>
        </w:rPr>
        <w:t>烧结机机头烟气治理系统</w:t>
      </w:r>
    </w:p>
    <w:p>
      <w:pPr>
        <w:pStyle w:val="BodyText"/>
        <w:spacing w:before="1" w:line="219" w:lineRule="auto"/>
        <w:ind w:left="509"/>
        <w:sectPr>
          <w:footerReference w:type="default" r:id="rId8"/>
          <w:pgSz w:w="11910" w:h="16840"/>
          <w:pgMar w:top="1431" w:right="1618" w:bottom="998" w:left="1700" w:header="0" w:footer="859" w:gutter="0"/>
          <w:pgNumType w:start="5"/>
          <w:cols w:space="708"/>
        </w:sectPr>
      </w:pPr>
      <w:r>
        <w:rPr>
          <w:spacing w:val="9"/>
        </w:rPr>
        <w:t>(1)除尘系统</w:t>
      </w:r>
    </w:p>
    <w:p>
      <w:pPr>
        <w:pStyle w:val="BodyText"/>
        <w:spacing w:before="220" w:line="413" w:lineRule="auto"/>
        <w:ind w:right="105" w:firstLine="429"/>
        <w:jc w:val="both"/>
      </w:pPr>
      <w:r>
        <w:rPr>
          <w:spacing w:val="4"/>
        </w:rPr>
        <w:t>目前行业中烧结机机头烟气一次除尘以静电除尘为主，占比99%以上；近年来，也有袋</w:t>
      </w:r>
      <w:r>
        <w:rPr>
          <w:spacing w:val="16"/>
        </w:rPr>
        <w:t xml:space="preserve"> </w:t>
      </w:r>
      <w:r>
        <w:rPr>
          <w:spacing w:val="-3"/>
        </w:rPr>
        <w:t>式除尘应用的案例。湿法脱硫系统后的二次除尘一般采用湿式静电除尘，半干法脱硫系统</w:t>
      </w:r>
      <w:r>
        <w:rPr>
          <w:spacing w:val="-4"/>
        </w:rPr>
        <w:t>后的</w:t>
      </w:r>
    </w:p>
    <w:p>
      <w:pPr>
        <w:pStyle w:val="BodyText"/>
        <w:spacing w:before="1" w:line="218" w:lineRule="auto"/>
      </w:pPr>
      <w:r>
        <w:rPr>
          <w:spacing w:val="-3"/>
        </w:rPr>
        <w:t>二次除尘一般采用袋式除尘。</w:t>
      </w:r>
    </w:p>
    <w:p>
      <w:pPr>
        <w:spacing w:line="218" w:lineRule="auto"/>
        <w:sectPr>
          <w:footerReference w:type="default" r:id="rId9"/>
          <w:type w:val="nextPage"/>
          <w:pgSz w:w="11910" w:h="16840"/>
          <w:pgMar w:top="1431" w:right="1618" w:bottom="998" w:left="1700" w:header="0" w:footer="859" w:gutter="0"/>
          <w:pgNumType w:start="6"/>
          <w:cols w:space="708"/>
          <w:titlePg w:val="0"/>
        </w:sectPr>
      </w:pPr>
    </w:p>
    <w:p>
      <w:pPr>
        <w:pStyle w:val="BodyText"/>
        <w:spacing w:before="128" w:line="221" w:lineRule="auto"/>
        <w:ind w:left="529"/>
      </w:pPr>
      <w:r>
        <w:rPr>
          <w:spacing w:val="12"/>
        </w:rPr>
        <w:t>(2)脱硫系统</w:t>
      </w:r>
    </w:p>
    <w:p>
      <w:pPr>
        <w:pStyle w:val="BodyText"/>
        <w:spacing w:before="227" w:line="421" w:lineRule="auto"/>
        <w:ind w:right="48" w:firstLine="429"/>
      </w:pPr>
      <w:r>
        <w:rPr>
          <w:spacing w:val="2"/>
        </w:rPr>
        <w:t>烧结机机头烟气脱硫通常采用石灰/石灰石一石膏湿法脱硫、循环流</w:t>
      </w:r>
      <w:r>
        <w:rPr>
          <w:spacing w:val="1"/>
        </w:rPr>
        <w:t>化床半干法脱硫(旋</w:t>
      </w:r>
      <w:r>
        <w:t xml:space="preserve"> </w:t>
      </w:r>
      <w:r>
        <w:rPr>
          <w:spacing w:val="2"/>
        </w:rPr>
        <w:t>转喷雾、密相干塔法等其他半干法脱硫)、活性炭一体化干法脱硫工艺技术。其中</w:t>
      </w:r>
      <w:r>
        <w:rPr>
          <w:spacing w:val="1"/>
        </w:rPr>
        <w:t>石灰/石灰</w:t>
      </w:r>
      <w:r>
        <w:t xml:space="preserve"> </w:t>
      </w:r>
      <w:r>
        <w:rPr>
          <w:spacing w:val="7"/>
        </w:rPr>
        <w:t>石—石膏湿法脱硫占比47.75%,循环</w:t>
      </w:r>
      <w:r>
        <w:rPr>
          <w:spacing w:val="6"/>
        </w:rPr>
        <w:t>流化床半干法脱硫占比20.78%,旋转喷雾半干法脱硫占</w:t>
      </w:r>
    </w:p>
    <w:p>
      <w:pPr>
        <w:pStyle w:val="BodyText"/>
        <w:spacing w:line="216" w:lineRule="auto"/>
      </w:pPr>
      <w:r>
        <w:rPr>
          <w:spacing w:val="7"/>
        </w:rPr>
        <w:t>比10.39%,活性炭法占比12.87%。</w:t>
      </w:r>
    </w:p>
    <w:p>
      <w:pPr>
        <w:pStyle w:val="BodyText"/>
        <w:spacing w:before="248" w:line="221" w:lineRule="auto"/>
        <w:ind w:left="529"/>
      </w:pPr>
      <w:r>
        <w:rPr>
          <w:spacing w:val="9"/>
        </w:rPr>
        <w:t>(3)脱硝系统</w:t>
      </w:r>
    </w:p>
    <w:p>
      <w:pPr>
        <w:pStyle w:val="BodyText"/>
        <w:spacing w:before="226" w:line="471" w:lineRule="exact"/>
        <w:ind w:right="24"/>
        <w:jc w:val="right"/>
      </w:pPr>
      <w:r>
        <w:rPr>
          <w:position w:val="20"/>
        </w:rPr>
        <w:t>烧结机机头烟气脱硝通常采用</w:t>
      </w:r>
      <w:r>
        <w:rPr>
          <w:spacing w:val="-35"/>
          <w:position w:val="20"/>
        </w:rPr>
        <w:t xml:space="preserve"> </w:t>
      </w:r>
      <w:r>
        <w:rPr>
          <w:position w:val="20"/>
        </w:rPr>
        <w:t>SCR</w:t>
      </w:r>
      <w:r>
        <w:rPr>
          <w:spacing w:val="29"/>
          <w:position w:val="20"/>
        </w:rPr>
        <w:t xml:space="preserve"> </w:t>
      </w:r>
      <w:r>
        <w:rPr>
          <w:position w:val="20"/>
        </w:rPr>
        <w:t>脱硝、活性炭一体化脱硝或两者组合工艺技术。目前</w:t>
      </w:r>
    </w:p>
    <w:p>
      <w:pPr>
        <w:pStyle w:val="BodyText"/>
        <w:spacing w:line="219" w:lineRule="auto"/>
      </w:pPr>
      <w:r>
        <w:rPr>
          <w:spacing w:val="1"/>
        </w:rPr>
        <w:t>行业中82.25%选择</w:t>
      </w:r>
      <w:r>
        <w:rPr>
          <w:spacing w:val="-42"/>
        </w:rPr>
        <w:t xml:space="preserve"> </w:t>
      </w:r>
      <w:r>
        <w:rPr>
          <w:rFonts w:ascii="Times New Roman" w:eastAsia="Times New Roman" w:hAnsi="Times New Roman" w:cs="Times New Roman"/>
        </w:rPr>
        <w:t>SCR</w:t>
      </w:r>
      <w:r>
        <w:rPr>
          <w:rFonts w:ascii="Times New Roman" w:eastAsia="Times New Roman" w:hAnsi="Times New Roman" w:cs="Times New Roman"/>
          <w:spacing w:val="1"/>
        </w:rPr>
        <w:t xml:space="preserve"> </w:t>
      </w:r>
      <w:r>
        <w:rPr>
          <w:spacing w:val="1"/>
        </w:rPr>
        <w:t>技术、15.66%的企业选择活性炭一体化技术。</w:t>
      </w:r>
    </w:p>
    <w:p>
      <w:pPr>
        <w:pStyle w:val="BodyText"/>
        <w:spacing w:before="219" w:line="219" w:lineRule="auto"/>
        <w:ind w:left="429"/>
      </w:pPr>
      <w:r>
        <w:rPr>
          <w:spacing w:val="-6"/>
        </w:rPr>
        <w:t>4.2.2 烧结机尾与其他环境除尘治理</w:t>
      </w:r>
      <w:r>
        <w:rPr>
          <w:spacing w:val="-7"/>
        </w:rPr>
        <w:t>系统</w:t>
      </w:r>
    </w:p>
    <w:p>
      <w:pPr>
        <w:pStyle w:val="BodyText"/>
        <w:spacing w:before="249" w:line="419" w:lineRule="auto"/>
        <w:ind w:firstLine="429"/>
      </w:pPr>
      <w:r>
        <w:rPr>
          <w:spacing w:val="-3"/>
        </w:rPr>
        <w:t>采用袋式除尘、折叠滤筒除尘、电袋复合除尘工艺技术实现对烧结机尾与配料、环冷、成</w:t>
      </w:r>
      <w:r>
        <w:rPr>
          <w:spacing w:val="5"/>
        </w:rPr>
        <w:t xml:space="preserve"> </w:t>
      </w:r>
      <w:r>
        <w:rPr>
          <w:spacing w:val="-3"/>
        </w:rPr>
        <w:t>品、整粒筛分等其他烟气的高效除尘净化。经过对近三年实施的工程案例进行调研，目</w:t>
      </w:r>
      <w:r>
        <w:rPr>
          <w:spacing w:val="-4"/>
        </w:rPr>
        <w:t>前三种</w:t>
      </w:r>
      <w:r>
        <w:t xml:space="preserve"> </w:t>
      </w:r>
      <w:r>
        <w:rPr>
          <w:spacing w:val="1"/>
        </w:rPr>
        <w:t>技术应用企业均能保证上述区域的环境除尘装置出口颗粒物浓度稳定满足10</w:t>
      </w:r>
      <w:r>
        <w:t>mg</w:t>
      </w:r>
      <w:r>
        <w:rPr>
          <w:spacing w:val="1"/>
        </w:rPr>
        <w:t xml:space="preserve">/m³ 的超低排 </w:t>
      </w:r>
      <w:r>
        <w:rPr>
          <w:spacing w:val="-3"/>
        </w:rPr>
        <w:t>放限值要求。其中折叠滤筒除尘适合场地条件受限，无法扩充仓室但仍</w:t>
      </w:r>
      <w:r>
        <w:rPr>
          <w:spacing w:val="-4"/>
        </w:rPr>
        <w:t>需通过增大除尘过滤面</w:t>
      </w:r>
      <w:r>
        <w:t xml:space="preserve"> </w:t>
      </w:r>
      <w:r>
        <w:rPr>
          <w:spacing w:val="-7"/>
        </w:rPr>
        <w:t>积，从而降低过滤风速提升除尘效率的现场使用；电袋复合除尘器适合现有企业静电除尘改造，</w:t>
      </w:r>
    </w:p>
    <w:p>
      <w:pPr>
        <w:pStyle w:val="BodyText"/>
        <w:spacing w:line="219" w:lineRule="auto"/>
      </w:pPr>
      <w:r>
        <w:rPr>
          <w:spacing w:val="-2"/>
        </w:rPr>
        <w:t>在保留第一或一二电场的条件下，对后续电场进行袋式改造。</w:t>
      </w:r>
    </w:p>
    <w:p>
      <w:pPr>
        <w:pStyle w:val="BodyText"/>
        <w:spacing w:before="221" w:line="219" w:lineRule="auto"/>
        <w:ind w:left="429"/>
      </w:pPr>
      <w:r>
        <w:rPr>
          <w:spacing w:val="-8"/>
        </w:rPr>
        <w:t>4.2.3 含湿废气除尘治理系统</w:t>
      </w:r>
    </w:p>
    <w:p>
      <w:pPr>
        <w:pStyle w:val="BodyText"/>
        <w:spacing w:before="231" w:line="413" w:lineRule="auto"/>
        <w:ind w:right="56" w:firstLine="429"/>
      </w:pPr>
      <w:r>
        <w:rPr>
          <w:spacing w:val="-4"/>
        </w:rPr>
        <w:t>采用高效湿式除尘系统或热风混合袋式除尘、湿式静电除尘技术来处理烧结一次与二次混</w:t>
      </w:r>
      <w:r>
        <w:rPr>
          <w:spacing w:val="13"/>
        </w:rPr>
        <w:t xml:space="preserve"> </w:t>
      </w:r>
      <w:r>
        <w:rPr>
          <w:spacing w:val="-4"/>
        </w:rPr>
        <w:t>合机、混合料胶带机转运点及梭式布料等含尘湿蒸汽节点的无组织排放控制问题，将对外逸散</w:t>
      </w:r>
      <w:r>
        <w:rPr>
          <w:spacing w:val="11"/>
        </w:rPr>
        <w:t xml:space="preserve"> </w:t>
      </w:r>
      <w:r>
        <w:rPr>
          <w:spacing w:val="-4"/>
        </w:rPr>
        <w:t>的含湿粉尘进行集中收集与深度净化。其中热风混合的袋式除尘和湿式静电除尘技术对粉尘的</w:t>
      </w:r>
    </w:p>
    <w:p>
      <w:pPr>
        <w:pStyle w:val="BodyText"/>
        <w:spacing w:before="1" w:line="219" w:lineRule="auto"/>
      </w:pPr>
      <w:r>
        <w:rPr>
          <w:spacing w:val="-1"/>
        </w:rPr>
        <w:t>截留脱除效果更强，适宜在入口颗粒物浓度较高的工况</w:t>
      </w:r>
      <w:r>
        <w:rPr>
          <w:spacing w:val="-2"/>
        </w:rPr>
        <w:t>场景予以应用。</w:t>
      </w:r>
    </w:p>
    <w:p>
      <w:pPr>
        <w:spacing w:before="285" w:line="652" w:lineRule="exact"/>
        <w:ind w:left="4"/>
        <w:rPr>
          <w:rFonts w:ascii="SimHei" w:eastAsia="SimHei" w:hAnsi="SimHei" w:cs="SimHei"/>
          <w:sz w:val="28"/>
          <w:szCs w:val="28"/>
        </w:rPr>
      </w:pPr>
      <w:r>
        <w:rPr>
          <w:rFonts w:ascii="SimHei" w:eastAsia="SimHei" w:hAnsi="SimHei" w:cs="SimHei"/>
          <w:b/>
          <w:bCs/>
          <w:spacing w:val="-4"/>
          <w:position w:val="28"/>
          <w:sz w:val="28"/>
          <w:szCs w:val="28"/>
        </w:rPr>
        <w:t>5</w:t>
      </w:r>
      <w:r>
        <w:rPr>
          <w:rFonts w:ascii="SimHei" w:eastAsia="SimHei" w:hAnsi="SimHei" w:cs="SimHei"/>
          <w:spacing w:val="60"/>
          <w:position w:val="28"/>
          <w:sz w:val="28"/>
          <w:szCs w:val="28"/>
        </w:rPr>
        <w:t xml:space="preserve">  </w:t>
      </w:r>
      <w:r>
        <w:rPr>
          <w:rFonts w:ascii="SimHei" w:eastAsia="SimHei" w:hAnsi="SimHei" w:cs="SimHei"/>
          <w:b/>
          <w:bCs/>
          <w:spacing w:val="-4"/>
          <w:position w:val="28"/>
          <w:sz w:val="28"/>
          <w:szCs w:val="28"/>
        </w:rPr>
        <w:t>标准制修订的基本原则和技术路线</w:t>
      </w:r>
    </w:p>
    <w:p>
      <w:pPr>
        <w:spacing w:before="1" w:line="221" w:lineRule="auto"/>
        <w:ind w:left="3"/>
        <w:rPr>
          <w:rFonts w:ascii="SimHei" w:eastAsia="SimHei" w:hAnsi="SimHei" w:cs="SimHei"/>
          <w:sz w:val="24"/>
          <w:szCs w:val="24"/>
        </w:rPr>
      </w:pPr>
      <w:r>
        <w:rPr>
          <w:rFonts w:ascii="SimHei" w:eastAsia="SimHei" w:hAnsi="SimHei" w:cs="SimHei"/>
          <w:b/>
          <w:bCs/>
          <w:spacing w:val="-9"/>
          <w:sz w:val="24"/>
          <w:szCs w:val="24"/>
        </w:rPr>
        <w:t>5.1</w:t>
      </w:r>
      <w:r>
        <w:rPr>
          <w:rFonts w:ascii="SimHei" w:eastAsia="SimHei" w:hAnsi="SimHei" w:cs="SimHei"/>
          <w:spacing w:val="43"/>
          <w:sz w:val="24"/>
          <w:szCs w:val="24"/>
        </w:rPr>
        <w:t xml:space="preserve">  </w:t>
      </w:r>
      <w:r>
        <w:rPr>
          <w:rFonts w:ascii="SimHei" w:eastAsia="SimHei" w:hAnsi="SimHei" w:cs="SimHei"/>
          <w:b/>
          <w:bCs/>
          <w:spacing w:val="-9"/>
          <w:sz w:val="24"/>
          <w:szCs w:val="24"/>
        </w:rPr>
        <w:t>基本原则</w:t>
      </w:r>
    </w:p>
    <w:p>
      <w:pPr>
        <w:pStyle w:val="BodyText"/>
        <w:spacing w:before="275" w:line="219" w:lineRule="auto"/>
        <w:ind w:left="529"/>
      </w:pPr>
      <w:r>
        <w:rPr>
          <w:spacing w:val="9"/>
        </w:rPr>
        <w:t>(1)政策相符原则</w:t>
      </w:r>
    </w:p>
    <w:p>
      <w:pPr>
        <w:pStyle w:val="BodyText"/>
        <w:spacing w:before="250" w:line="470" w:lineRule="exact"/>
        <w:ind w:right="46"/>
        <w:jc w:val="right"/>
      </w:pPr>
      <w:r>
        <w:rPr>
          <w:spacing w:val="-9"/>
          <w:position w:val="20"/>
        </w:rPr>
        <w:t>本标准符合《中华人民共和国环境保护法》《意见》《减污降碳协同增效实施方案》《“十</w:t>
      </w:r>
    </w:p>
    <w:p>
      <w:pPr>
        <w:pStyle w:val="BodyText"/>
        <w:spacing w:before="1" w:line="218" w:lineRule="auto"/>
      </w:pPr>
      <w:r>
        <w:rPr>
          <w:spacing w:val="-2"/>
        </w:rPr>
        <w:t>四五”原材料工业发展规划》等法律法规与政</w:t>
      </w:r>
      <w:r>
        <w:rPr>
          <w:spacing w:val="-3"/>
        </w:rPr>
        <w:t>策监管要求。</w:t>
      </w:r>
    </w:p>
    <w:p>
      <w:pPr>
        <w:pStyle w:val="BodyText"/>
        <w:spacing w:before="223" w:line="220" w:lineRule="auto"/>
        <w:ind w:left="529"/>
      </w:pPr>
      <w:r>
        <w:rPr>
          <w:spacing w:val="9"/>
        </w:rPr>
        <w:t>(2)综合防治原则</w:t>
      </w:r>
    </w:p>
    <w:p>
      <w:pPr>
        <w:pStyle w:val="BodyText"/>
        <w:spacing w:before="228" w:line="490" w:lineRule="exact"/>
        <w:ind w:right="51"/>
        <w:jc w:val="right"/>
        <w:sectPr>
          <w:footerReference w:type="default" r:id="rId10"/>
          <w:pgSz w:w="11910" w:h="16840"/>
          <w:pgMar w:top="1431" w:right="1684" w:bottom="1014" w:left="1690" w:header="0" w:footer="866" w:gutter="0"/>
          <w:pgNumType w:start="7"/>
          <w:cols w:space="708"/>
        </w:sectPr>
      </w:pPr>
      <w:r>
        <w:rPr>
          <w:spacing w:val="-4"/>
          <w:position w:val="21"/>
        </w:rPr>
        <w:t>本标准综合考虑废气污染物超低排放改造不同工段的协同去除效应，及副产物、还原剂等</w:t>
      </w:r>
    </w:p>
    <w:p>
      <w:pPr>
        <w:pStyle w:val="BodyText"/>
        <w:spacing w:before="1" w:line="218" w:lineRule="auto"/>
      </w:pPr>
      <w:r>
        <w:rPr>
          <w:spacing w:val="-6"/>
        </w:rPr>
        <w:t>污染因子跨介质转移等。</w:t>
      </w:r>
    </w:p>
    <w:p>
      <w:pPr>
        <w:spacing w:line="218" w:lineRule="auto"/>
        <w:sectPr>
          <w:footerReference w:type="default" r:id="rId11"/>
          <w:type w:val="nextPage"/>
          <w:pgSz w:w="11910" w:h="16840"/>
          <w:pgMar w:top="1431" w:right="1684" w:bottom="1014" w:left="1690" w:header="0" w:footer="866" w:gutter="0"/>
          <w:pgNumType w:start="8"/>
          <w:cols w:space="708"/>
          <w:titlePg w:val="0"/>
        </w:sectPr>
      </w:pPr>
    </w:p>
    <w:p>
      <w:pPr>
        <w:pStyle w:val="BodyText"/>
        <w:spacing w:before="127" w:line="220" w:lineRule="auto"/>
        <w:ind w:left="529"/>
      </w:pPr>
      <w:r>
        <w:rPr>
          <w:spacing w:val="9"/>
        </w:rPr>
        <w:t>(3)全面覆盖原则</w:t>
      </w:r>
    </w:p>
    <w:p>
      <w:pPr>
        <w:pStyle w:val="BodyText"/>
        <w:spacing w:before="228" w:line="490" w:lineRule="exact"/>
        <w:ind w:left="429"/>
      </w:pPr>
      <w:r>
        <w:rPr>
          <w:spacing w:val="-4"/>
          <w:position w:val="21"/>
        </w:rPr>
        <w:t>本标准的制订贯穿烧结生产的全过程，所列超低排放治理工艺包含了生产工艺过程源头污</w:t>
      </w:r>
    </w:p>
    <w:p>
      <w:pPr>
        <w:pStyle w:val="BodyText"/>
        <w:spacing w:line="219" w:lineRule="auto"/>
      </w:pPr>
      <w:r>
        <w:rPr>
          <w:spacing w:val="-1"/>
        </w:rPr>
        <w:t>染物减量技术、污染物末端治理技术，可达到主要大气污染物超低排</w:t>
      </w:r>
      <w:r>
        <w:rPr>
          <w:spacing w:val="-2"/>
        </w:rPr>
        <w:t>放限值要求。</w:t>
      </w:r>
    </w:p>
    <w:p>
      <w:pPr>
        <w:pStyle w:val="BodyText"/>
        <w:spacing w:before="221" w:line="220" w:lineRule="auto"/>
        <w:ind w:left="529"/>
      </w:pPr>
      <w:r>
        <w:rPr>
          <w:spacing w:val="9"/>
        </w:rPr>
        <w:t>(4)客观公正原则</w:t>
      </w:r>
    </w:p>
    <w:p>
      <w:pPr>
        <w:pStyle w:val="BodyText"/>
        <w:spacing w:before="228" w:line="422" w:lineRule="auto"/>
        <w:ind w:right="2" w:firstLine="429"/>
      </w:pPr>
      <w:r>
        <w:rPr>
          <w:spacing w:val="-1"/>
        </w:rPr>
        <w:t>充分借鉴欧盟、美国等发达国家在治理工艺</w:t>
      </w:r>
      <w:r>
        <w:rPr>
          <w:spacing w:val="-2"/>
        </w:rPr>
        <w:t>筛选等方面的成功经验，结合我国实际情况，</w:t>
      </w:r>
      <w:r>
        <w:t xml:space="preserve"> </w:t>
      </w:r>
      <w:r>
        <w:rPr>
          <w:spacing w:val="-3"/>
        </w:rPr>
        <w:t>依托已制订的清洁生产、循环经济、节能减排、</w:t>
      </w:r>
      <w:r>
        <w:rPr>
          <w:spacing w:val="-4"/>
        </w:rPr>
        <w:t>污染物末端治理等方面的工艺技术要求，遵循</w:t>
      </w:r>
      <w:r>
        <w:t xml:space="preserve">  </w:t>
      </w:r>
      <w:r>
        <w:rPr>
          <w:spacing w:val="-3"/>
        </w:rPr>
        <w:t>科学、客观和公正的原则，制定本工程技术规范。并且本</w:t>
      </w:r>
      <w:r>
        <w:rPr>
          <w:spacing w:val="-4"/>
        </w:rPr>
        <w:t>标准中涉及的所有技术名称，全部遵</w:t>
      </w:r>
    </w:p>
    <w:p>
      <w:pPr>
        <w:pStyle w:val="BodyText"/>
        <w:spacing w:before="1" w:line="218" w:lineRule="auto"/>
      </w:pPr>
      <w:r>
        <w:rPr>
          <w:spacing w:val="-1"/>
        </w:rPr>
        <w:t>循技术的原理进行命名，不采用任何企业商业性</w:t>
      </w:r>
      <w:r>
        <w:rPr>
          <w:spacing w:val="-2"/>
        </w:rPr>
        <w:t>质标识对工艺命名。</w:t>
      </w:r>
    </w:p>
    <w:p>
      <w:pPr>
        <w:pStyle w:val="BodyText"/>
        <w:spacing w:before="223" w:line="220" w:lineRule="auto"/>
        <w:ind w:left="529"/>
      </w:pPr>
      <w:r>
        <w:rPr>
          <w:spacing w:val="9"/>
        </w:rPr>
        <w:t>(5)动态调整原则</w:t>
      </w:r>
    </w:p>
    <w:p>
      <w:pPr>
        <w:pStyle w:val="BodyText"/>
        <w:spacing w:before="238" w:line="219" w:lineRule="auto"/>
        <w:ind w:left="429"/>
      </w:pPr>
      <w:r>
        <w:rPr>
          <w:spacing w:val="-1"/>
        </w:rPr>
        <w:t>本标准将根据国家环境管理工作需要和钢铁行业超低排放治理工艺发展适</w:t>
      </w:r>
      <w:r>
        <w:rPr>
          <w:spacing w:val="-2"/>
        </w:rPr>
        <w:t>时修订。</w:t>
      </w:r>
    </w:p>
    <w:p>
      <w:pPr>
        <w:spacing w:before="200" w:line="219" w:lineRule="auto"/>
        <w:rPr>
          <w:rFonts w:ascii="SimHei" w:eastAsia="SimHei" w:hAnsi="SimHei" w:cs="SimHei"/>
          <w:sz w:val="24"/>
          <w:szCs w:val="24"/>
        </w:rPr>
      </w:pPr>
      <w:r>
        <w:rPr>
          <w:rFonts w:ascii="SimHei" w:eastAsia="SimHei" w:hAnsi="SimHei" w:cs="SimHei"/>
          <w:spacing w:val="-14"/>
          <w:sz w:val="24"/>
          <w:szCs w:val="24"/>
        </w:rPr>
        <w:t>5.2</w:t>
      </w:r>
      <w:r>
        <w:rPr>
          <w:rFonts w:ascii="SimHei" w:eastAsia="SimHei" w:hAnsi="SimHei" w:cs="SimHei"/>
          <w:spacing w:val="9"/>
          <w:sz w:val="24"/>
          <w:szCs w:val="24"/>
        </w:rPr>
        <w:t xml:space="preserve"> </w:t>
      </w:r>
      <w:r>
        <w:rPr>
          <w:rFonts w:ascii="SimHei" w:eastAsia="SimHei" w:hAnsi="SimHei" w:cs="SimHei"/>
          <w:spacing w:val="-14"/>
          <w:sz w:val="24"/>
          <w:szCs w:val="24"/>
        </w:rPr>
        <w:t>技术路线</w:t>
      </w:r>
    </w:p>
    <w:p>
      <w:pPr>
        <w:pStyle w:val="BodyText"/>
        <w:spacing w:before="214" w:line="414" w:lineRule="auto"/>
        <w:ind w:firstLine="639"/>
        <w:jc w:val="both"/>
      </w:pPr>
      <w:r>
        <w:rPr>
          <w:spacing w:val="-3"/>
        </w:rPr>
        <w:t>参考《环境工程技术规范制订技术导则》  (HJ526-2010)  的有关规</w:t>
      </w:r>
      <w:r>
        <w:rPr>
          <w:spacing w:val="-4"/>
        </w:rPr>
        <w:t>定，在对国内外资</w:t>
      </w:r>
      <w:r>
        <w:t xml:space="preserve">  </w:t>
      </w:r>
      <w:r>
        <w:rPr>
          <w:spacing w:val="-3"/>
        </w:rPr>
        <w:t>料广泛调研、排污许可与监测数据梳理，以及对具有代表性的钢</w:t>
      </w:r>
      <w:r>
        <w:rPr>
          <w:spacing w:val="-4"/>
        </w:rPr>
        <w:t>铁企业现场调研的基础上，编</w:t>
      </w:r>
      <w:r>
        <w:t xml:space="preserve">  </w:t>
      </w:r>
      <w:r>
        <w:rPr>
          <w:spacing w:val="-3"/>
        </w:rPr>
        <w:t>制本标准，技术路线详见图5-1。本标准将</w:t>
      </w:r>
      <w:r>
        <w:rPr>
          <w:spacing w:val="-4"/>
        </w:rPr>
        <w:t>规范钢铁工业烧结废气治理技术的工程设计、施工、</w:t>
      </w:r>
    </w:p>
    <w:p>
      <w:pPr>
        <w:pStyle w:val="BodyText"/>
        <w:spacing w:line="219" w:lineRule="auto"/>
      </w:pPr>
      <w:r>
        <w:rPr>
          <w:spacing w:val="-3"/>
        </w:rPr>
        <w:t>运行、维护、管理等方面的技术要求。</w:t>
      </w:r>
    </w:p>
    <w:p>
      <w:pPr>
        <w:pStyle w:val="BodyText"/>
        <w:spacing w:before="122" w:line="6040" w:lineRule="exact"/>
        <w:ind w:firstLine="2349"/>
      </w:pPr>
      <w:r>
        <w:rPr>
          <w:position w:val="-120"/>
        </w:rPr>
        <w:pict>
          <v:group id="_x0000_i1025" style="width:210.5pt;height:302.05pt;mso-position-horizontal-relative:char;mso-position-vertical-relative:line" coordorigin="0,0" coordsize="4210,604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4210;height:6040;position:absolute" filled="f" stroked="f">
              <v:imagedata r:id="rId12" o:title=""/>
            </v:shape>
            <v:shapetype id="_x0000_t202" coordsize="21600,21600" o:spt="202" path="m,l,21600r21600,l21600,xe">
              <v:stroke joinstyle="miter"/>
              <v:path gradientshapeok="t" o:connecttype="rect"/>
            </v:shapetype>
            <v:shape id="_x0000_s1027" type="#_x0000_t202" style="width:3867;height:5730;left:50;position:absolute;top:152" filled="f" stroked="f">
              <o:lock v:ext="edit" aspectratio="f"/>
              <v:textbox inset="0,0,0,0">
                <w:txbxContent>
                  <w:p>
                    <w:pPr>
                      <w:spacing w:before="20" w:line="219" w:lineRule="auto"/>
                      <w:ind w:left="2569"/>
                      <w:rPr>
                        <w:rFonts w:ascii="SimSun" w:eastAsia="SimSun" w:hAnsi="SimSun" w:cs="SimSun"/>
                        <w:sz w:val="7"/>
                        <w:szCs w:val="7"/>
                      </w:rPr>
                    </w:pPr>
                    <w:r>
                      <w:rPr>
                        <w:rFonts w:ascii="SimSun" w:eastAsia="SimSun" w:hAnsi="SimSun" w:cs="SimSun"/>
                        <w:spacing w:val="2"/>
                        <w:sz w:val="7"/>
                        <w:szCs w:val="7"/>
                      </w:rPr>
                      <w:t>现有工程初步设计</w:t>
                    </w:r>
                  </w:p>
                  <w:p>
                    <w:pPr>
                      <w:spacing w:line="352" w:lineRule="auto"/>
                      <w:rPr>
                        <w:rFonts w:ascii="Arial"/>
                        <w:sz w:val="21"/>
                      </w:rPr>
                    </w:pPr>
                  </w:p>
                  <w:p>
                    <w:pPr>
                      <w:spacing w:before="22" w:line="219" w:lineRule="auto"/>
                      <w:ind w:left="20"/>
                      <w:rPr>
                        <w:rFonts w:ascii="SimSun" w:eastAsia="SimSun" w:hAnsi="SimSun" w:cs="SimSun"/>
                        <w:sz w:val="7"/>
                        <w:szCs w:val="7"/>
                      </w:rPr>
                    </w:pPr>
                    <w:r>
                      <w:rPr>
                        <w:rFonts w:ascii="SimSun" w:eastAsia="SimSun" w:hAnsi="SimSun" w:cs="SimSun"/>
                        <w:color w:val="FFFFFF"/>
                        <w:spacing w:val="-3"/>
                        <w:sz w:val="7"/>
                        <w:szCs w:val="7"/>
                      </w:rPr>
                      <w:t>’数据</w:t>
                    </w:r>
                  </w:p>
                  <w:p>
                    <w:pPr>
                      <w:spacing w:before="6" w:line="225" w:lineRule="auto"/>
                      <w:ind w:left="20"/>
                      <w:rPr>
                        <w:rFonts w:ascii="KaiTi" w:eastAsia="KaiTi" w:hAnsi="KaiTi" w:cs="KaiTi"/>
                        <w:sz w:val="7"/>
                        <w:szCs w:val="7"/>
                      </w:rPr>
                    </w:pPr>
                    <w:r>
                      <w:rPr>
                        <w:rFonts w:ascii="KaiTi" w:eastAsia="KaiTi" w:hAnsi="KaiTi" w:cs="KaiTi"/>
                        <w:spacing w:val="-2"/>
                        <w:sz w:val="7"/>
                        <w:szCs w:val="7"/>
                      </w:rPr>
                      <w:t>分</w:t>
                    </w:r>
                    <w:r>
                      <w:rPr>
                        <w:rFonts w:ascii="KaiTi" w:eastAsia="KaiTi" w:hAnsi="KaiTi" w:cs="KaiTi"/>
                        <w:spacing w:val="-4"/>
                        <w:sz w:val="7"/>
                        <w:szCs w:val="7"/>
                      </w:rPr>
                      <w:t xml:space="preserve"> </w:t>
                    </w:r>
                    <w:r>
                      <w:rPr>
                        <w:rFonts w:ascii="KaiTi" w:eastAsia="KaiTi" w:hAnsi="KaiTi" w:cs="KaiTi"/>
                        <w:spacing w:val="-2"/>
                        <w:sz w:val="7"/>
                        <w:szCs w:val="7"/>
                      </w:rPr>
                      <w:t>费</w:t>
                    </w:r>
                  </w:p>
                  <w:p>
                    <w:pPr>
                      <w:spacing w:line="350" w:lineRule="auto"/>
                      <w:rPr>
                        <w:rFonts w:ascii="Arial"/>
                        <w:sz w:val="21"/>
                      </w:rPr>
                    </w:pPr>
                  </w:p>
                  <w:p>
                    <w:pPr>
                      <w:spacing w:before="23" w:line="220" w:lineRule="auto"/>
                      <w:ind w:left="449"/>
                      <w:rPr>
                        <w:rFonts w:ascii="SimSun" w:eastAsia="SimSun" w:hAnsi="SimSun" w:cs="SimSun"/>
                        <w:sz w:val="7"/>
                        <w:szCs w:val="7"/>
                      </w:rPr>
                    </w:pPr>
                    <w:r>
                      <w:rPr>
                        <w:rFonts w:ascii="SimSun" w:eastAsia="SimSun" w:hAnsi="SimSun" w:cs="SimSun"/>
                        <w:spacing w:val="4"/>
                        <w:sz w:val="7"/>
                        <w:szCs w:val="7"/>
                      </w:rPr>
                      <w:t>电脑薛选与合井</w:t>
                    </w:r>
                  </w:p>
                  <w:p>
                    <w:pPr>
                      <w:spacing w:line="420" w:lineRule="auto"/>
                      <w:rPr>
                        <w:rFonts w:ascii="Arial"/>
                        <w:sz w:val="21"/>
                      </w:rPr>
                    </w:pPr>
                  </w:p>
                  <w:p>
                    <w:pPr>
                      <w:spacing w:before="23" w:line="221" w:lineRule="auto"/>
                      <w:ind w:left="979"/>
                      <w:rPr>
                        <w:rFonts w:ascii="SimSun" w:eastAsia="SimSun" w:hAnsi="SimSun" w:cs="SimSun"/>
                        <w:sz w:val="7"/>
                        <w:szCs w:val="7"/>
                      </w:rPr>
                    </w:pPr>
                    <w:r>
                      <w:rPr>
                        <w:rFonts w:ascii="SimSun" w:eastAsia="SimSun" w:hAnsi="SimSun" w:cs="SimSun"/>
                        <w:spacing w:val="-4"/>
                        <w:sz w:val="7"/>
                        <w:szCs w:val="7"/>
                      </w:rPr>
                      <w:t>备选超低排1</w:t>
                    </w:r>
                    <w:r>
                      <w:rPr>
                        <w:rFonts w:ascii="SimSun" w:eastAsia="SimSun" w:hAnsi="SimSun" w:cs="SimSun"/>
                        <w:spacing w:val="1"/>
                        <w:sz w:val="7"/>
                        <w:szCs w:val="7"/>
                      </w:rPr>
                      <w:t xml:space="preserve">       </w:t>
                    </w:r>
                    <w:r>
                      <w:rPr>
                        <w:rFonts w:ascii="SimSun" w:eastAsia="SimSun" w:hAnsi="SimSun" w:cs="SimSun"/>
                        <w:spacing w:val="-4"/>
                        <w:sz w:val="7"/>
                        <w:szCs w:val="7"/>
                      </w:rPr>
                      <w:t>工程技术清单与</w:t>
                    </w:r>
                  </w:p>
                  <w:p>
                    <w:pPr>
                      <w:spacing w:line="391" w:lineRule="auto"/>
                      <w:rPr>
                        <w:rFonts w:ascii="Arial"/>
                        <w:sz w:val="21"/>
                      </w:rPr>
                    </w:pPr>
                  </w:p>
                  <w:p>
                    <w:pPr>
                      <w:spacing w:before="23" w:line="220" w:lineRule="auto"/>
                      <w:ind w:left="2409"/>
                      <w:rPr>
                        <w:rFonts w:ascii="SimSun" w:eastAsia="SimSun" w:hAnsi="SimSun" w:cs="SimSun"/>
                        <w:sz w:val="7"/>
                        <w:szCs w:val="7"/>
                      </w:rPr>
                    </w:pPr>
                    <w:r>
                      <w:rPr>
                        <w:rFonts w:ascii="SimSun" w:eastAsia="SimSun" w:hAnsi="SimSun" w:cs="SimSun"/>
                        <w:color w:val="FFFFFF"/>
                        <w:spacing w:val="3"/>
                        <w:sz w:val="7"/>
                        <w:szCs w:val="7"/>
                      </w:rPr>
                      <w:t>有组织手]</w:t>
                    </w:r>
                  </w:p>
                  <w:p>
                    <w:pPr>
                      <w:spacing w:line="400" w:lineRule="auto"/>
                      <w:rPr>
                        <w:rFonts w:ascii="Arial"/>
                        <w:sz w:val="21"/>
                      </w:rPr>
                    </w:pPr>
                  </w:p>
                  <w:p>
                    <w:pPr>
                      <w:spacing w:before="23" w:line="227" w:lineRule="auto"/>
                      <w:ind w:left="2609"/>
                      <w:rPr>
                        <w:rFonts w:ascii="KaiTi" w:eastAsia="KaiTi" w:hAnsi="KaiTi" w:cs="KaiTi"/>
                        <w:sz w:val="7"/>
                        <w:szCs w:val="7"/>
                      </w:rPr>
                    </w:pPr>
                    <w:r>
                      <w:rPr>
                        <w:rFonts w:ascii="KaiTi" w:eastAsia="KaiTi" w:hAnsi="KaiTi" w:cs="KaiTi"/>
                        <w:spacing w:val="5"/>
                        <w:sz w:val="7"/>
                        <w:szCs w:val="7"/>
                      </w:rPr>
                      <w:t>现场运行参数</w:t>
                    </w:r>
                  </w:p>
                  <w:p>
                    <w:pPr>
                      <w:spacing w:line="399" w:lineRule="auto"/>
                      <w:rPr>
                        <w:rFonts w:ascii="Arial"/>
                        <w:sz w:val="21"/>
                      </w:rPr>
                    </w:pPr>
                  </w:p>
                  <w:p>
                    <w:pPr>
                      <w:spacing w:before="23" w:line="93" w:lineRule="exact"/>
                      <w:ind w:left="519"/>
                      <w:rPr>
                        <w:rFonts w:ascii="SimSun" w:eastAsia="SimSun" w:hAnsi="SimSun" w:cs="SimSun"/>
                        <w:sz w:val="7"/>
                        <w:szCs w:val="7"/>
                      </w:rPr>
                    </w:pPr>
                    <w:r>
                      <w:rPr>
                        <w:rFonts w:ascii="LiSu" w:eastAsia="LiSu" w:hAnsi="LiSu" w:cs="LiSu"/>
                        <w:spacing w:val="2"/>
                        <w:sz w:val="7"/>
                        <w:szCs w:val="7"/>
                      </w:rPr>
                      <w:t>数据整理</w:t>
                    </w:r>
                    <w:r>
                      <w:rPr>
                        <w:rFonts w:ascii="LiSu" w:eastAsia="LiSu" w:hAnsi="LiSu" w:cs="LiSu"/>
                        <w:spacing w:val="2"/>
                        <w:sz w:val="7"/>
                        <w:szCs w:val="7"/>
                      </w:rPr>
                      <w:t xml:space="preserve">                 </w:t>
                    </w:r>
                    <w:r>
                      <w:rPr>
                        <w:rFonts w:ascii="SimSun" w:eastAsia="SimSun" w:hAnsi="SimSun" w:cs="SimSun"/>
                        <w:spacing w:val="2"/>
                        <w:sz w:val="7"/>
                        <w:szCs w:val="7"/>
                      </w:rPr>
                      <w:t xml:space="preserve">艺参数范围与应用数量          </w:t>
                    </w:r>
                    <w:r>
                      <w:rPr>
                        <w:rFonts w:ascii="SimSun" w:eastAsia="SimSun" w:hAnsi="SimSun" w:cs="SimSun"/>
                        <w:spacing w:val="1"/>
                        <w:sz w:val="7"/>
                        <w:szCs w:val="7"/>
                      </w:rPr>
                      <w:t>极值与未达超低值         有效数据范围</w:t>
                    </w:r>
                  </w:p>
                  <w:p>
                    <w:pPr>
                      <w:spacing w:line="391" w:lineRule="auto"/>
                      <w:rPr>
                        <w:rFonts w:ascii="Arial"/>
                        <w:sz w:val="21"/>
                      </w:rPr>
                    </w:pPr>
                  </w:p>
                  <w:p>
                    <w:pPr>
                      <w:spacing w:before="24" w:line="219" w:lineRule="auto"/>
                      <w:ind w:left="1729"/>
                      <w:rPr>
                        <w:rFonts w:ascii="SimSun" w:eastAsia="SimSun" w:hAnsi="SimSun" w:cs="SimSun"/>
                        <w:sz w:val="7"/>
                        <w:szCs w:val="7"/>
                      </w:rPr>
                    </w:pPr>
                    <w:r>
                      <w:rPr>
                        <w:rFonts w:ascii="SimSun" w:eastAsia="SimSun" w:hAnsi="SimSun" w:cs="SimSun"/>
                        <w:spacing w:val="5"/>
                        <w:sz w:val="7"/>
                        <w:szCs w:val="7"/>
                      </w:rPr>
                      <w:t>专家咨询、专业判断</w:t>
                    </w:r>
                  </w:p>
                  <w:p>
                    <w:pPr>
                      <w:spacing w:line="401" w:lineRule="auto"/>
                      <w:rPr>
                        <w:rFonts w:ascii="Arial"/>
                        <w:sz w:val="21"/>
                      </w:rPr>
                    </w:pPr>
                  </w:p>
                  <w:p>
                    <w:pPr>
                      <w:spacing w:before="23" w:line="219" w:lineRule="auto"/>
                      <w:ind w:left="1420"/>
                      <w:rPr>
                        <w:rFonts w:ascii="SimSun" w:eastAsia="SimSun" w:hAnsi="SimSun" w:cs="SimSun"/>
                        <w:sz w:val="7"/>
                        <w:szCs w:val="7"/>
                      </w:rPr>
                    </w:pPr>
                    <w:r>
                      <w:rPr>
                        <w:rFonts w:ascii="SimSun" w:eastAsia="SimSun" w:hAnsi="SimSun" w:cs="SimSun"/>
                        <w:spacing w:val="7"/>
                        <w:sz w:val="7"/>
                        <w:szCs w:val="7"/>
                      </w:rPr>
                      <w:t>报纳入超低工程技术规范的工艺清单</w:t>
                    </w:r>
                  </w:p>
                  <w:p>
                    <w:pPr>
                      <w:spacing w:line="421" w:lineRule="auto"/>
                      <w:rPr>
                        <w:rFonts w:ascii="Arial"/>
                        <w:sz w:val="21"/>
                      </w:rPr>
                    </w:pPr>
                  </w:p>
                  <w:p>
                    <w:pPr>
                      <w:spacing w:before="23" w:line="219" w:lineRule="auto"/>
                      <w:ind w:left="3290"/>
                      <w:rPr>
                        <w:rFonts w:ascii="SimSun" w:eastAsia="SimSun" w:hAnsi="SimSun" w:cs="SimSun"/>
                        <w:sz w:val="7"/>
                        <w:szCs w:val="7"/>
                      </w:rPr>
                    </w:pPr>
                    <w:r>
                      <w:rPr>
                        <w:rFonts w:ascii="SimSun" w:eastAsia="SimSun" w:hAnsi="SimSun" w:cs="SimSun"/>
                        <w:spacing w:val="9"/>
                        <w:sz w:val="7"/>
                        <w:szCs w:val="7"/>
                      </w:rPr>
                      <w:t>污染跨介质转移</w:t>
                    </w:r>
                  </w:p>
                  <w:p>
                    <w:pPr>
                      <w:spacing w:line="362" w:lineRule="auto"/>
                      <w:rPr>
                        <w:rFonts w:ascii="Arial"/>
                        <w:sz w:val="21"/>
                      </w:rPr>
                    </w:pPr>
                  </w:p>
                  <w:p>
                    <w:pPr>
                      <w:spacing w:before="24" w:line="210" w:lineRule="auto"/>
                      <w:ind w:left="789"/>
                      <w:rPr>
                        <w:rFonts w:ascii="SimSun" w:eastAsia="SimSun" w:hAnsi="SimSun" w:cs="SimSun"/>
                        <w:sz w:val="7"/>
                        <w:szCs w:val="7"/>
                      </w:rPr>
                    </w:pPr>
                    <w:r>
                      <w:rPr>
                        <w:rFonts w:ascii="SimSun" w:eastAsia="SimSun" w:hAnsi="SimSun" w:cs="SimSun"/>
                        <w:spacing w:val="-1"/>
                        <w:sz w:val="7"/>
                        <w:szCs w:val="7"/>
                      </w:rPr>
                      <w:t>专家者询</w:t>
                    </w:r>
                  </w:p>
                  <w:p>
                    <w:pPr>
                      <w:spacing w:line="219" w:lineRule="auto"/>
                      <w:ind w:left="519"/>
                      <w:rPr>
                        <w:rFonts w:ascii="SimSun" w:eastAsia="SimSun" w:hAnsi="SimSun" w:cs="SimSun"/>
                        <w:sz w:val="7"/>
                        <w:szCs w:val="7"/>
                      </w:rPr>
                    </w:pPr>
                    <w:r>
                      <w:rPr>
                        <w:rFonts w:ascii="SimSun" w:eastAsia="SimSun" w:hAnsi="SimSun" w:cs="SimSun"/>
                        <w:spacing w:val="9"/>
                        <w:sz w:val="7"/>
                        <w:szCs w:val="7"/>
                      </w:rPr>
                      <w:t>(设计参数。运行参数</w:t>
                    </w:r>
                  </w:p>
                  <w:p>
                    <w:pPr>
                      <w:spacing w:line="351" w:lineRule="auto"/>
                      <w:rPr>
                        <w:rFonts w:ascii="Arial"/>
                        <w:sz w:val="21"/>
                      </w:rPr>
                    </w:pPr>
                  </w:p>
                  <w:p>
                    <w:pPr>
                      <w:spacing w:before="23" w:line="219" w:lineRule="auto"/>
                      <w:ind w:left="679"/>
                      <w:rPr>
                        <w:rFonts w:ascii="SimSun" w:eastAsia="SimSun" w:hAnsi="SimSun" w:cs="SimSun"/>
                        <w:sz w:val="7"/>
                        <w:szCs w:val="7"/>
                      </w:rPr>
                    </w:pPr>
                    <w:r>
                      <w:rPr>
                        <w:rFonts w:ascii="LiSu" w:eastAsia="LiSu" w:hAnsi="LiSu" w:cs="LiSu"/>
                        <w:spacing w:val="4"/>
                        <w:sz w:val="7"/>
                        <w:szCs w:val="7"/>
                      </w:rPr>
                      <w:t>烧结超低排成工和</w:t>
                    </w:r>
                    <w:r>
                      <w:rPr>
                        <w:rFonts w:ascii="LiSu" w:eastAsia="LiSu" w:hAnsi="LiSu" w:cs="LiSu"/>
                        <w:spacing w:val="-15"/>
                        <w:sz w:val="7"/>
                        <w:szCs w:val="7"/>
                      </w:rPr>
                      <w:t xml:space="preserve"> </w:t>
                    </w:r>
                    <w:r>
                      <w:rPr>
                        <w:rFonts w:ascii="LiSu" w:eastAsia="LiSu" w:hAnsi="LiSu" w:cs="LiSu"/>
                        <w:color w:val="FFFFFF"/>
                        <w:spacing w:val="4"/>
                        <w:sz w:val="7"/>
                        <w:szCs w:val="7"/>
                      </w:rPr>
                      <w:t>程案例</w:t>
                    </w:r>
                    <w:r>
                      <w:rPr>
                        <w:rFonts w:ascii="LiSu" w:eastAsia="LiSu" w:hAnsi="LiSu" w:cs="LiSu"/>
                        <w:color w:val="FFFFFF"/>
                        <w:spacing w:val="4"/>
                        <w:sz w:val="7"/>
                        <w:szCs w:val="7"/>
                      </w:rPr>
                      <w:t xml:space="preserve">          </w:t>
                    </w:r>
                    <w:r>
                      <w:rPr>
                        <w:rFonts w:ascii="LiSu" w:eastAsia="LiSu" w:hAnsi="LiSu" w:cs="LiSu"/>
                        <w:color w:val="FFFFFF"/>
                        <w:spacing w:val="3"/>
                        <w:sz w:val="7"/>
                        <w:szCs w:val="7"/>
                      </w:rPr>
                      <w:t xml:space="preserve">                      </w:t>
                    </w:r>
                    <w:r>
                      <w:rPr>
                        <w:rFonts w:ascii="SimSun" w:eastAsia="SimSun" w:hAnsi="SimSun" w:cs="SimSun"/>
                        <w:spacing w:val="3"/>
                        <w:sz w:val="7"/>
                        <w:szCs w:val="7"/>
                      </w:rPr>
                      <w:t>烧结超低排放治理工程技术清单</w:t>
                    </w:r>
                  </w:p>
                </w:txbxContent>
              </v:textbox>
            </v:shape>
            <v:shape id="_x0000_s1028" type="#_x0000_t202" style="width:986;height:128;left:2929;position:absolute;top:5253" filled="f" stroked="f">
              <o:lock v:ext="edit" aspectratio="f"/>
              <v:textbox inset="0,0,0,0">
                <w:txbxContent>
                  <w:p>
                    <w:pPr>
                      <w:spacing w:before="20" w:line="102" w:lineRule="exact"/>
                      <w:ind w:left="20"/>
                      <w:rPr>
                        <w:rFonts w:ascii="KaiTi" w:eastAsia="KaiTi" w:hAnsi="KaiTi" w:cs="KaiTi"/>
                        <w:sz w:val="7"/>
                        <w:szCs w:val="7"/>
                      </w:rPr>
                    </w:pPr>
                    <w:r>
                      <w:rPr>
                        <w:rFonts w:ascii="SimSun" w:eastAsia="SimSun" w:hAnsi="SimSun" w:cs="SimSun"/>
                        <w:spacing w:val="2"/>
                        <w:sz w:val="7"/>
                        <w:szCs w:val="7"/>
                      </w:rPr>
                      <w:t>指标参数</w:t>
                    </w:r>
                    <w:r>
                      <w:rPr>
                        <w:rFonts w:ascii="SimSun" w:eastAsia="SimSun" w:hAnsi="SimSun" w:cs="SimSun"/>
                        <w:spacing w:val="7"/>
                        <w:sz w:val="7"/>
                        <w:szCs w:val="7"/>
                      </w:rPr>
                      <w:t xml:space="preserve">    </w:t>
                    </w:r>
                    <w:r>
                      <w:rPr>
                        <w:rFonts w:ascii="SimSun" w:eastAsia="SimSun" w:hAnsi="SimSun" w:cs="SimSun"/>
                        <w:spacing w:val="2"/>
                        <w:sz w:val="7"/>
                        <w:szCs w:val="7"/>
                      </w:rPr>
                      <w:t>碱权</w:t>
                    </w:r>
                    <w:r>
                      <w:rPr>
                        <w:rFonts w:ascii="SimSun" w:eastAsia="SimSun" w:hAnsi="SimSun" w:cs="SimSun"/>
                        <w:spacing w:val="5"/>
                        <w:sz w:val="7"/>
                        <w:szCs w:val="7"/>
                      </w:rPr>
                      <w:t xml:space="preserve">     </w:t>
                    </w:r>
                    <w:r>
                      <w:rPr>
                        <w:rFonts w:ascii="KaiTi" w:eastAsia="KaiTi" w:hAnsi="KaiTi" w:cs="KaiTi"/>
                        <w:spacing w:val="2"/>
                        <w:position w:val="1"/>
                        <w:sz w:val="7"/>
                        <w:szCs w:val="7"/>
                      </w:rPr>
                      <w:t>打分</w:t>
                    </w:r>
                  </w:p>
                </w:txbxContent>
              </v:textbox>
            </v:shape>
            <v:shape id="_x0000_s1029" type="#_x0000_t202" style="width:515;height:110;left:679;position:absolute;top:152" filled="f" stroked="f">
              <o:lock v:ext="edit" aspectratio="f"/>
              <v:textbox inset="0,0,0,0">
                <w:txbxContent>
                  <w:p>
                    <w:pPr>
                      <w:spacing w:before="20" w:line="219" w:lineRule="auto"/>
                      <w:ind w:left="20"/>
                      <w:rPr>
                        <w:rFonts w:ascii="SimSun" w:eastAsia="SimSun" w:hAnsi="SimSun" w:cs="SimSun"/>
                        <w:sz w:val="7"/>
                        <w:szCs w:val="7"/>
                      </w:rPr>
                    </w:pPr>
                    <w:r>
                      <w:rPr>
                        <w:rFonts w:ascii="SimSun" w:eastAsia="SimSun" w:hAnsi="SimSun" w:cs="SimSun"/>
                        <w:spacing w:val="9"/>
                        <w:sz w:val="7"/>
                        <w:szCs w:val="7"/>
                      </w:rPr>
                      <w:t>排污许可数据</w:t>
                    </w:r>
                  </w:p>
                </w:txbxContent>
              </v:textbox>
            </v:shape>
            <v:shape id="_x0000_s1030" type="#_x0000_t202" style="width:223;height:221;left:2599;position:absolute;top:5202" filled="f" stroked="f">
              <o:lock v:ext="edit" aspectratio="f"/>
              <v:textbox inset="0,0,0,0">
                <w:txbxContent>
                  <w:p>
                    <w:pPr>
                      <w:spacing w:before="20" w:line="219" w:lineRule="auto"/>
                      <w:ind w:left="20"/>
                      <w:rPr>
                        <w:rFonts w:ascii="SimSun" w:eastAsia="SimSun" w:hAnsi="SimSun" w:cs="SimSun"/>
                        <w:sz w:val="7"/>
                        <w:szCs w:val="7"/>
                      </w:rPr>
                    </w:pPr>
                    <w:r>
                      <w:rPr>
                        <w:rFonts w:ascii="SimSun" w:eastAsia="SimSun" w:hAnsi="SimSun" w:cs="SimSun"/>
                        <w:spacing w:val="-2"/>
                        <w:sz w:val="7"/>
                        <w:szCs w:val="7"/>
                      </w:rPr>
                      <w:t>层</w:t>
                    </w:r>
                    <w:r>
                      <w:rPr>
                        <w:rFonts w:ascii="SimSun" w:eastAsia="SimSun" w:hAnsi="SimSun" w:cs="SimSun"/>
                        <w:spacing w:val="15"/>
                        <w:w w:val="101"/>
                        <w:sz w:val="7"/>
                        <w:szCs w:val="7"/>
                      </w:rPr>
                      <w:t xml:space="preserve"> </w:t>
                    </w:r>
                    <w:r>
                      <w:rPr>
                        <w:rFonts w:ascii="SimSun" w:eastAsia="SimSun" w:hAnsi="SimSun" w:cs="SimSun"/>
                        <w:spacing w:val="-2"/>
                        <w:sz w:val="7"/>
                        <w:szCs w:val="7"/>
                      </w:rPr>
                      <w:t>次</w:t>
                    </w:r>
                  </w:p>
                  <w:p>
                    <w:pPr>
                      <w:spacing w:before="27" w:line="220" w:lineRule="auto"/>
                      <w:ind w:left="20"/>
                      <w:rPr>
                        <w:rFonts w:ascii="SimSun" w:eastAsia="SimSun" w:hAnsi="SimSun" w:cs="SimSun"/>
                        <w:sz w:val="7"/>
                        <w:szCs w:val="7"/>
                      </w:rPr>
                    </w:pPr>
                    <w:r>
                      <w:rPr>
                        <w:rFonts w:ascii="SimSun" w:eastAsia="SimSun" w:hAnsi="SimSun" w:cs="SimSun"/>
                        <w:color w:val="FFFFFF"/>
                        <w:spacing w:val="-2"/>
                        <w:sz w:val="7"/>
                        <w:szCs w:val="7"/>
                      </w:rPr>
                      <w:t>分</w:t>
                    </w:r>
                    <w:r>
                      <w:rPr>
                        <w:rFonts w:ascii="SimSun" w:eastAsia="SimSun" w:hAnsi="SimSun" w:cs="SimSun"/>
                        <w:color w:val="FFFFFF"/>
                        <w:spacing w:val="14"/>
                        <w:w w:val="102"/>
                        <w:sz w:val="7"/>
                        <w:szCs w:val="7"/>
                      </w:rPr>
                      <w:t xml:space="preserve"> </w:t>
                    </w:r>
                    <w:r>
                      <w:rPr>
                        <w:rFonts w:ascii="SimSun" w:eastAsia="SimSun" w:hAnsi="SimSun" w:cs="SimSun"/>
                        <w:color w:val="FFFFFF"/>
                        <w:spacing w:val="-2"/>
                        <w:sz w:val="7"/>
                        <w:szCs w:val="7"/>
                      </w:rPr>
                      <w:t>析</w:t>
                    </w:r>
                  </w:p>
                </w:txbxContent>
              </v:textbox>
            </v:shape>
            <v:shape id="_x0000_s1031" type="#_x0000_t202" style="width:492;height:110;left:1289;position:absolute;top:1162" filled="f" stroked="f">
              <o:lock v:ext="edit" aspectratio="f"/>
              <v:textbox inset="0,0,0,0">
                <w:txbxContent>
                  <w:p>
                    <w:pPr>
                      <w:spacing w:before="20" w:line="219" w:lineRule="auto"/>
                      <w:ind w:left="20"/>
                      <w:rPr>
                        <w:rFonts w:ascii="SimSun" w:eastAsia="SimSun" w:hAnsi="SimSun" w:cs="SimSun"/>
                        <w:sz w:val="7"/>
                        <w:szCs w:val="7"/>
                      </w:rPr>
                    </w:pPr>
                    <w:r>
                      <w:rPr>
                        <w:rFonts w:ascii="SimSun" w:eastAsia="SimSun" w:hAnsi="SimSun" w:cs="SimSun"/>
                        <w:spacing w:val="-5"/>
                        <w:sz w:val="7"/>
                        <w:szCs w:val="7"/>
                      </w:rPr>
                      <w:t>人工筛选与合并</w:t>
                    </w:r>
                  </w:p>
                </w:txbxContent>
              </v:textbox>
            </v:shape>
            <v:shape id="_x0000_s1032" type="#_x0000_t202" style="width:457;height:111;left:1789;position:absolute;top:152" filled="f" stroked="f">
              <o:lock v:ext="edit" aspectratio="f"/>
              <v:textbox inset="0,0,0,0">
                <w:txbxContent>
                  <w:p>
                    <w:pPr>
                      <w:spacing w:before="19" w:line="222" w:lineRule="auto"/>
                      <w:ind w:left="20"/>
                      <w:rPr>
                        <w:rFonts w:ascii="SimHei" w:eastAsia="SimHei" w:hAnsi="SimHei" w:cs="SimHei"/>
                        <w:sz w:val="7"/>
                        <w:szCs w:val="7"/>
                      </w:rPr>
                    </w:pPr>
                    <w:r>
                      <w:rPr>
                        <w:rFonts w:ascii="SimHei" w:eastAsia="SimHei" w:hAnsi="SimHei" w:cs="SimHei"/>
                        <w:spacing w:val="-1"/>
                        <w:sz w:val="7"/>
                        <w:szCs w:val="7"/>
                      </w:rPr>
                      <w:t>工程技术规范</w:t>
                    </w:r>
                  </w:p>
                </w:txbxContent>
              </v:textbox>
            </v:shape>
            <v:shape id="_x0000_s1033" type="#_x0000_t202" style="width:212;height:207;left:1970;position:absolute;top:5213" filled="f" stroked="f">
              <o:lock v:ext="edit" aspectratio="f"/>
              <v:textbox inset="0,0,0,0">
                <w:txbxContent>
                  <w:p>
                    <w:pPr>
                      <w:spacing w:before="20" w:line="220" w:lineRule="auto"/>
                      <w:ind w:left="20"/>
                      <w:rPr>
                        <w:rFonts w:ascii="SimSun" w:eastAsia="SimSun" w:hAnsi="SimSun" w:cs="SimSun"/>
                        <w:sz w:val="7"/>
                        <w:szCs w:val="7"/>
                      </w:rPr>
                    </w:pPr>
                    <w:r>
                      <w:rPr>
                        <w:rFonts w:ascii="SimSun" w:eastAsia="SimSun" w:hAnsi="SimSun" w:cs="SimSun"/>
                        <w:spacing w:val="-5"/>
                        <w:w w:val="95"/>
                        <w:sz w:val="7"/>
                        <w:szCs w:val="7"/>
                      </w:rPr>
                      <w:t>家无法</w:t>
                    </w:r>
                  </w:p>
                  <w:p>
                    <w:pPr>
                      <w:spacing w:before="55" w:line="176" w:lineRule="auto"/>
                      <w:ind w:left="20"/>
                      <w:rPr>
                        <w:rFonts w:ascii="LiSu" w:eastAsia="LiSu" w:hAnsi="LiSu" w:cs="LiSu"/>
                        <w:sz w:val="4"/>
                        <w:szCs w:val="4"/>
                      </w:rPr>
                    </w:pPr>
                    <w:r>
                      <w:rPr>
                        <w:rFonts w:ascii="LiSu" w:eastAsia="LiSu" w:hAnsi="LiSu" w:cs="LiSu"/>
                        <w:spacing w:val="-1"/>
                        <w:sz w:val="4"/>
                        <w:szCs w:val="4"/>
                      </w:rPr>
                      <w:t>达成一</w:t>
                    </w:r>
                  </w:p>
                </w:txbxContent>
              </v:textbox>
            </v:shape>
            <v:shape id="_x0000_s1034" type="#_x0000_t202" style="width:215;height:201;left:50;position:absolute;top:1122" filled="f" stroked="f">
              <o:lock v:ext="edit" aspectratio="f"/>
              <v:textbox inset="0,0,0,0">
                <w:txbxContent>
                  <w:p>
                    <w:pPr>
                      <w:spacing w:before="19" w:line="229" w:lineRule="auto"/>
                      <w:ind w:left="20" w:right="20"/>
                      <w:rPr>
                        <w:rFonts w:ascii="SimSun" w:eastAsia="SimSun" w:hAnsi="SimSun" w:cs="SimSun"/>
                        <w:sz w:val="7"/>
                        <w:szCs w:val="7"/>
                      </w:rPr>
                    </w:pPr>
                    <w:r>
                      <w:rPr>
                        <w:rFonts w:ascii="SimSun" w:eastAsia="SimSun" w:hAnsi="SimSun" w:cs="SimSun"/>
                        <w:spacing w:val="-3"/>
                        <w:sz w:val="7"/>
                        <w:szCs w:val="7"/>
                      </w:rPr>
                      <w:t>数</w:t>
                    </w:r>
                    <w:r>
                      <w:rPr>
                        <w:rFonts w:ascii="SimSun" w:eastAsia="SimSun" w:hAnsi="SimSun" w:cs="SimSun"/>
                        <w:spacing w:val="4"/>
                        <w:sz w:val="7"/>
                        <w:szCs w:val="7"/>
                      </w:rPr>
                      <w:t xml:space="preserve"> </w:t>
                    </w:r>
                    <w:r>
                      <w:rPr>
                        <w:rFonts w:ascii="SimSun" w:eastAsia="SimSun" w:hAnsi="SimSun" w:cs="SimSun"/>
                        <w:spacing w:val="-3"/>
                        <w:sz w:val="7"/>
                        <w:szCs w:val="7"/>
                      </w:rPr>
                      <w:t>据</w:t>
                    </w:r>
                    <w:r>
                      <w:rPr>
                        <w:rFonts w:ascii="SimSun" w:eastAsia="SimSun" w:hAnsi="SimSun" w:cs="SimSun"/>
                        <w:sz w:val="7"/>
                        <w:szCs w:val="7"/>
                      </w:rPr>
                      <w:t xml:space="preserve"> </w:t>
                    </w:r>
                    <w:r>
                      <w:rPr>
                        <w:rFonts w:ascii="SimSun" w:eastAsia="SimSun" w:hAnsi="SimSun" w:cs="SimSun"/>
                        <w:spacing w:val="-1"/>
                        <w:sz w:val="7"/>
                        <w:szCs w:val="7"/>
                      </w:rPr>
                      <w:t>分析</w:t>
                    </w:r>
                  </w:p>
                </w:txbxContent>
              </v:textbox>
            </v:shape>
            <v:shape id="_x0000_s1035" type="#_x0000_t202" style="width:195;height:210;left:50;position:absolute;top:2627" filled="f" stroked="f">
              <o:lock v:ext="edit" aspectratio="f"/>
              <v:textbox inset="0,0,0,0">
                <w:txbxContent>
                  <w:p>
                    <w:pPr>
                      <w:spacing w:before="20" w:line="220" w:lineRule="auto"/>
                      <w:ind w:left="20"/>
                      <w:rPr>
                        <w:rFonts w:ascii="SimSun" w:eastAsia="SimSun" w:hAnsi="SimSun" w:cs="SimSun"/>
                        <w:sz w:val="17"/>
                        <w:szCs w:val="17"/>
                      </w:rPr>
                    </w:pPr>
                    <w:r>
                      <w:rPr>
                        <w:rFonts w:ascii="SimSun" w:eastAsia="SimSun" w:hAnsi="SimSun" w:cs="SimSun"/>
                        <w:sz w:val="17"/>
                        <w:szCs w:val="17"/>
                      </w:rPr>
                      <w:t>费</w:t>
                    </w:r>
                  </w:p>
                </w:txbxContent>
              </v:textbox>
            </v:shape>
            <v:shape id="_x0000_s1036" type="#_x0000_t202" style="width:212;height:191;left:50;position:absolute;top:112" filled="f" stroked="f">
              <o:lock v:ext="edit" aspectratio="f"/>
              <v:textbox inset="0,0,0,0">
                <w:txbxContent>
                  <w:p>
                    <w:pPr>
                      <w:spacing w:before="19" w:line="210" w:lineRule="auto"/>
                      <w:ind w:left="20"/>
                      <w:rPr>
                        <w:rFonts w:ascii="SimSun" w:eastAsia="SimSun" w:hAnsi="SimSun" w:cs="SimSun"/>
                        <w:sz w:val="7"/>
                        <w:szCs w:val="7"/>
                      </w:rPr>
                    </w:pPr>
                    <w:r>
                      <w:rPr>
                        <w:rFonts w:ascii="SimSun" w:eastAsia="SimSun" w:hAnsi="SimSun" w:cs="SimSun"/>
                        <w:spacing w:val="-1"/>
                        <w:sz w:val="7"/>
                        <w:szCs w:val="7"/>
                      </w:rPr>
                      <w:t>数据</w:t>
                    </w:r>
                  </w:p>
                  <w:p>
                    <w:pPr>
                      <w:spacing w:line="220" w:lineRule="auto"/>
                      <w:ind w:left="20"/>
                      <w:rPr>
                        <w:rFonts w:ascii="SimHei" w:eastAsia="SimHei" w:hAnsi="SimHei" w:cs="SimHei"/>
                        <w:sz w:val="7"/>
                        <w:szCs w:val="7"/>
                      </w:rPr>
                    </w:pPr>
                    <w:r>
                      <w:rPr>
                        <w:rFonts w:ascii="SimHei" w:eastAsia="SimHei" w:hAnsi="SimHei" w:cs="SimHei"/>
                        <w:color w:val="FFFFFF"/>
                        <w:spacing w:val="-2"/>
                        <w:sz w:val="7"/>
                        <w:szCs w:val="7"/>
                      </w:rPr>
                      <w:t>获</w:t>
                    </w:r>
                    <w:r>
                      <w:rPr>
                        <w:rFonts w:ascii="SimHei" w:eastAsia="SimHei" w:hAnsi="SimHei" w:cs="SimHei"/>
                        <w:color w:val="FFFFFF"/>
                        <w:spacing w:val="5"/>
                        <w:sz w:val="7"/>
                        <w:szCs w:val="7"/>
                      </w:rPr>
                      <w:t xml:space="preserve"> </w:t>
                    </w:r>
                    <w:r>
                      <w:rPr>
                        <w:rFonts w:ascii="SimHei" w:eastAsia="SimHei" w:hAnsi="SimHei" w:cs="SimHei"/>
                        <w:color w:val="FFFFFF"/>
                        <w:spacing w:val="-2"/>
                        <w:sz w:val="7"/>
                        <w:szCs w:val="7"/>
                      </w:rPr>
                      <w:t>取</w:t>
                    </w:r>
                  </w:p>
                </w:txbxContent>
              </v:textbox>
            </v:shape>
            <v:shape id="_x0000_s1037" type="#_x0000_t202" style="width:178;height:206;left:50;position:absolute;top:5204" filled="f" stroked="f">
              <o:lock v:ext="edit" aspectratio="f"/>
              <v:textbox inset="0,0,0,0">
                <w:txbxContent>
                  <w:p>
                    <w:pPr>
                      <w:spacing w:before="20" w:line="230" w:lineRule="auto"/>
                      <w:ind w:left="20"/>
                      <w:rPr>
                        <w:rFonts w:ascii="KaiTi" w:eastAsia="KaiTi" w:hAnsi="KaiTi" w:cs="KaiTi"/>
                        <w:sz w:val="7"/>
                        <w:szCs w:val="7"/>
                      </w:rPr>
                    </w:pPr>
                    <w:r>
                      <w:rPr>
                        <w:rFonts w:ascii="KaiTi" w:eastAsia="KaiTi" w:hAnsi="KaiTi" w:cs="KaiTi"/>
                        <w:spacing w:val="-1"/>
                        <w:sz w:val="7"/>
                        <w:szCs w:val="7"/>
                      </w:rPr>
                      <w:t>技术</w:t>
                    </w:r>
                  </w:p>
                  <w:p>
                    <w:pPr>
                      <w:spacing w:before="32" w:line="175" w:lineRule="auto"/>
                      <w:ind w:left="20"/>
                      <w:rPr>
                        <w:rFonts w:ascii="LiSu" w:eastAsia="LiSu" w:hAnsi="LiSu" w:cs="LiSu"/>
                        <w:sz w:val="7"/>
                        <w:szCs w:val="7"/>
                      </w:rPr>
                    </w:pPr>
                    <w:r>
                      <w:rPr>
                        <w:rFonts w:ascii="LiSu" w:eastAsia="LiSu" w:hAnsi="LiSu" w:cs="LiSu"/>
                        <w:color w:val="FFFFFF"/>
                        <w:spacing w:val="-1"/>
                        <w:sz w:val="7"/>
                        <w:szCs w:val="7"/>
                      </w:rPr>
                      <w:t>评估</w:t>
                    </w:r>
                  </w:p>
                </w:txbxContent>
              </v:textbox>
            </v:shape>
            <v:shape id="_x0000_s1038" type="#_x0000_t202" style="width:354;height:110;left:1970;position:absolute;top:4742" filled="f" stroked="f">
              <o:lock v:ext="edit" aspectratio="f"/>
              <v:textbox inset="0,0,0,0">
                <w:txbxContent>
                  <w:p>
                    <w:pPr>
                      <w:spacing w:before="19" w:line="219" w:lineRule="auto"/>
                      <w:ind w:left="20"/>
                      <w:rPr>
                        <w:rFonts w:ascii="SimSun" w:eastAsia="SimSun" w:hAnsi="SimSun" w:cs="SimSun"/>
                        <w:sz w:val="7"/>
                        <w:szCs w:val="7"/>
                      </w:rPr>
                    </w:pPr>
                    <w:r>
                      <w:rPr>
                        <w:rFonts w:ascii="SimSun" w:eastAsia="SimSun" w:hAnsi="SimSun" w:cs="SimSun"/>
                        <w:spacing w:val="8"/>
                        <w:sz w:val="7"/>
                        <w:szCs w:val="7"/>
                      </w:rPr>
                      <w:t>经济成本</w:t>
                    </w:r>
                  </w:p>
                </w:txbxContent>
              </v:textbox>
            </v:shape>
            <v:shape id="_x0000_s1039" type="#_x0000_t202" style="width:177;height:191;left:50;position:absolute;top:4703" filled="f" stroked="f">
              <o:lock v:ext="edit" aspectratio="f"/>
              <v:textbox inset="0,0,0,0">
                <w:txbxContent>
                  <w:p>
                    <w:pPr>
                      <w:spacing w:before="19" w:line="216" w:lineRule="auto"/>
                      <w:ind w:left="20" w:right="20"/>
                      <w:rPr>
                        <w:rFonts w:ascii="SimSun" w:eastAsia="SimSun" w:hAnsi="SimSun" w:cs="SimSun"/>
                        <w:sz w:val="7"/>
                        <w:szCs w:val="7"/>
                      </w:rPr>
                    </w:pPr>
                    <w:r>
                      <w:rPr>
                        <w:rFonts w:ascii="SimHei" w:eastAsia="SimHei" w:hAnsi="SimHei" w:cs="SimHei"/>
                        <w:spacing w:val="-2"/>
                        <w:sz w:val="7"/>
                        <w:szCs w:val="7"/>
                      </w:rPr>
                      <w:t>指标</w:t>
                    </w:r>
                    <w:r>
                      <w:rPr>
                        <w:rFonts w:ascii="SimHei" w:eastAsia="SimHei" w:hAnsi="SimHei" w:cs="SimHei"/>
                        <w:sz w:val="7"/>
                        <w:szCs w:val="7"/>
                      </w:rPr>
                      <w:t xml:space="preserve"> </w:t>
                    </w:r>
                    <w:r>
                      <w:rPr>
                        <w:rFonts w:ascii="SimSun" w:eastAsia="SimSun" w:hAnsi="SimSun" w:cs="SimSun"/>
                        <w:spacing w:val="-2"/>
                        <w:sz w:val="7"/>
                        <w:szCs w:val="7"/>
                      </w:rPr>
                      <w:t>体乘</w:t>
                    </w:r>
                  </w:p>
                </w:txbxContent>
              </v:textbox>
            </v:shape>
            <v:shape id="_x0000_s1040" type="#_x0000_t202" style="width:317;height:113;left:1009;position:absolute;top:663" filled="f" stroked="f">
              <o:lock v:ext="edit" aspectratio="f"/>
              <v:textbox inset="0,0,0,0">
                <w:txbxContent>
                  <w:p>
                    <w:pPr>
                      <w:spacing w:before="20" w:line="230" w:lineRule="auto"/>
                      <w:ind w:left="20"/>
                      <w:rPr>
                        <w:rFonts w:ascii="KaiTi" w:eastAsia="KaiTi" w:hAnsi="KaiTi" w:cs="KaiTi"/>
                        <w:sz w:val="7"/>
                        <w:szCs w:val="7"/>
                      </w:rPr>
                    </w:pPr>
                    <w:r>
                      <w:rPr>
                        <w:rFonts w:ascii="KaiTi" w:eastAsia="KaiTi" w:hAnsi="KaiTi" w:cs="KaiTi"/>
                        <w:color w:val="FFFFFF"/>
                        <w:spacing w:val="-1"/>
                        <w:sz w:val="7"/>
                        <w:szCs w:val="7"/>
                      </w:rPr>
                      <w:t>技术名称</w:t>
                    </w:r>
                  </w:p>
                </w:txbxContent>
              </v:textbox>
            </v:shape>
            <v:shape id="_x0000_s1041" type="#_x0000_t202" style="width:316;height:113;left:2039;position:absolute;top:2702" filled="f" stroked="f">
              <o:lock v:ext="edit" aspectratio="f"/>
              <v:textbox inset="0,0,0,0">
                <w:txbxContent>
                  <w:p>
                    <w:pPr>
                      <w:spacing w:before="20" w:line="225" w:lineRule="auto"/>
                      <w:ind w:left="20"/>
                      <w:rPr>
                        <w:rFonts w:ascii="KaiTi" w:eastAsia="KaiTi" w:hAnsi="KaiTi" w:cs="KaiTi"/>
                        <w:sz w:val="7"/>
                        <w:szCs w:val="7"/>
                      </w:rPr>
                    </w:pPr>
                    <w:r>
                      <w:rPr>
                        <w:rFonts w:ascii="KaiTi" w:eastAsia="KaiTi" w:hAnsi="KaiTi" w:cs="KaiTi"/>
                        <w:spacing w:val="-1"/>
                        <w:sz w:val="7"/>
                        <w:szCs w:val="7"/>
                      </w:rPr>
                      <w:t>经济成本</w:t>
                    </w:r>
                  </w:p>
                </w:txbxContent>
              </v:textbox>
            </v:shape>
            <v:shape id="_x0000_s1042" type="#_x0000_t202" style="width:317;height:110;left:1279;position:absolute;top:4742" filled="f" stroked="f">
              <o:lock v:ext="edit" aspectratio="f"/>
              <v:textbox inset="0,0,0,0">
                <w:txbxContent>
                  <w:p>
                    <w:pPr>
                      <w:spacing w:before="20" w:line="219" w:lineRule="auto"/>
                      <w:ind w:left="20"/>
                      <w:rPr>
                        <w:rFonts w:ascii="SimSun" w:eastAsia="SimSun" w:hAnsi="SimSun" w:cs="SimSun"/>
                        <w:sz w:val="7"/>
                        <w:szCs w:val="7"/>
                      </w:rPr>
                    </w:pPr>
                    <w:r>
                      <w:rPr>
                        <w:rFonts w:ascii="SimSun" w:eastAsia="SimSun" w:hAnsi="SimSun" w:cs="SimSun"/>
                        <w:spacing w:val="-1"/>
                        <w:sz w:val="7"/>
                        <w:szCs w:val="7"/>
                      </w:rPr>
                      <w:t>排放水平</w:t>
                    </w:r>
                  </w:p>
                </w:txbxContent>
              </v:textbox>
            </v:shape>
            <v:shape id="_x0000_s1043" type="#_x0000_t202" style="width:317;height:110;left:469;position:absolute;top:662" filled="f" stroked="f">
              <o:lock v:ext="edit" aspectratio="f"/>
              <v:textbox inset="0,0,0,0">
                <w:txbxContent>
                  <w:p>
                    <w:pPr>
                      <w:spacing w:before="20" w:line="219" w:lineRule="auto"/>
                      <w:ind w:left="20"/>
                      <w:rPr>
                        <w:rFonts w:ascii="SimSun" w:eastAsia="SimSun" w:hAnsi="SimSun" w:cs="SimSun"/>
                        <w:sz w:val="7"/>
                        <w:szCs w:val="7"/>
                      </w:rPr>
                    </w:pPr>
                    <w:r>
                      <w:rPr>
                        <w:rFonts w:ascii="SimSun" w:eastAsia="SimSun" w:hAnsi="SimSun" w:cs="SimSun"/>
                        <w:spacing w:val="-1"/>
                        <w:sz w:val="7"/>
                        <w:szCs w:val="7"/>
                      </w:rPr>
                      <w:t>应用数据</w:t>
                    </w:r>
                  </w:p>
                </w:txbxContent>
              </v:textbox>
            </v:shape>
            <v:shape id="_x0000_s1044" type="#_x0000_t202" style="width:317;height:110;left:3590;position:absolute;top:662" filled="f" stroked="f">
              <o:lock v:ext="edit" aspectratio="f"/>
              <v:textbox inset="0,0,0,0">
                <w:txbxContent>
                  <w:p>
                    <w:pPr>
                      <w:spacing w:before="20" w:line="219" w:lineRule="auto"/>
                      <w:ind w:left="20"/>
                      <w:rPr>
                        <w:rFonts w:ascii="SimSun" w:eastAsia="SimSun" w:hAnsi="SimSun" w:cs="SimSun"/>
                        <w:sz w:val="7"/>
                        <w:szCs w:val="7"/>
                      </w:rPr>
                    </w:pPr>
                    <w:r>
                      <w:rPr>
                        <w:rFonts w:ascii="SimSun" w:eastAsia="SimSun" w:hAnsi="SimSun" w:cs="SimSun"/>
                        <w:color w:val="FFFFFF"/>
                        <w:spacing w:val="-1"/>
                        <w:sz w:val="7"/>
                        <w:szCs w:val="7"/>
                      </w:rPr>
                      <w:t>运行参数</w:t>
                    </w:r>
                  </w:p>
                </w:txbxContent>
              </v:textbox>
            </v:shape>
            <v:shape id="_x0000_s1045" type="#_x0000_t202" style="width:317;height:110;left:550;position:absolute;top:4742" filled="f" stroked="f">
              <o:lock v:ext="edit" aspectratio="f"/>
              <v:textbox inset="0,0,0,0">
                <w:txbxContent>
                  <w:p>
                    <w:pPr>
                      <w:spacing w:before="20" w:line="219" w:lineRule="auto"/>
                      <w:ind w:left="20"/>
                      <w:rPr>
                        <w:rFonts w:ascii="SimSun" w:eastAsia="SimSun" w:hAnsi="SimSun" w:cs="SimSun"/>
                        <w:sz w:val="7"/>
                        <w:szCs w:val="7"/>
                      </w:rPr>
                    </w:pPr>
                    <w:r>
                      <w:rPr>
                        <w:rFonts w:ascii="SimSun" w:eastAsia="SimSun" w:hAnsi="SimSun" w:cs="SimSun"/>
                        <w:spacing w:val="-1"/>
                        <w:sz w:val="7"/>
                        <w:szCs w:val="7"/>
                      </w:rPr>
                      <w:t>技术分析</w:t>
                    </w:r>
                  </w:p>
                </w:txbxContent>
              </v:textbox>
            </v:shape>
            <v:shape id="_x0000_s1046" type="#_x0000_t202" style="width:296;height:110;left:3520;position:absolute;top:2193" filled="f" stroked="f">
              <o:lock v:ext="edit" aspectratio="f"/>
              <v:textbox inset="0,0,0,0">
                <w:txbxContent>
                  <w:p>
                    <w:pPr>
                      <w:spacing w:before="20" w:line="220" w:lineRule="auto"/>
                      <w:ind w:left="20"/>
                      <w:rPr>
                        <w:rFonts w:ascii="SimSun" w:eastAsia="SimSun" w:hAnsi="SimSun" w:cs="SimSun"/>
                        <w:sz w:val="7"/>
                        <w:szCs w:val="7"/>
                      </w:rPr>
                    </w:pPr>
                    <w:r>
                      <w:rPr>
                        <w:rFonts w:ascii="SimSun" w:eastAsia="SimSun" w:hAnsi="SimSun" w:cs="SimSun"/>
                        <w:color w:val="FFFFFF"/>
                        <w:spacing w:val="-5"/>
                        <w:sz w:val="7"/>
                        <w:szCs w:val="7"/>
                      </w:rPr>
                      <w:t>在线监测</w:t>
                    </w:r>
                  </w:p>
                </w:txbxContent>
              </v:textbox>
            </v:shape>
            <v:shape id="_x0000_s1047" type="#_x0000_t202" style="width:292;height:110;left:3520;position:absolute;top:2712" filled="f" stroked="f">
              <o:lock v:ext="edit" aspectratio="f"/>
              <v:textbox inset="0,0,0,0">
                <w:txbxContent>
                  <w:p>
                    <w:pPr>
                      <w:spacing w:before="20" w:line="219" w:lineRule="auto"/>
                      <w:ind w:left="20"/>
                      <w:rPr>
                        <w:rFonts w:ascii="SimSun" w:eastAsia="SimSun" w:hAnsi="SimSun" w:cs="SimSun"/>
                        <w:sz w:val="7"/>
                        <w:szCs w:val="7"/>
                      </w:rPr>
                    </w:pPr>
                    <w:r>
                      <w:rPr>
                        <w:rFonts w:ascii="SimSun" w:eastAsia="SimSun" w:hAnsi="SimSun" w:cs="SimSun"/>
                        <w:spacing w:val="-6"/>
                        <w:sz w:val="7"/>
                        <w:szCs w:val="7"/>
                      </w:rPr>
                      <w:t>排放水平</w:t>
                    </w:r>
                  </w:p>
                </w:txbxContent>
              </v:textbox>
            </v:shape>
            <v:shape id="_x0000_s1048" type="#_x0000_t202" style="width:282;height:110;left:1390;position:absolute;top:2702" filled="f" stroked="f">
              <o:lock v:ext="edit" aspectratio="f"/>
              <v:textbox inset="0,0,0,0">
                <w:txbxContent>
                  <w:p>
                    <w:pPr>
                      <w:spacing w:before="20" w:line="219" w:lineRule="auto"/>
                      <w:ind w:left="20"/>
                      <w:rPr>
                        <w:rFonts w:ascii="SimSun" w:eastAsia="SimSun" w:hAnsi="SimSun" w:cs="SimSun"/>
                        <w:sz w:val="7"/>
                        <w:szCs w:val="7"/>
                      </w:rPr>
                    </w:pPr>
                    <w:r>
                      <w:rPr>
                        <w:rFonts w:ascii="SimSun" w:eastAsia="SimSun" w:hAnsi="SimSun" w:cs="SimSun"/>
                        <w:color w:val="FFFFFF"/>
                        <w:spacing w:val="-6"/>
                        <w:w w:val="98"/>
                        <w:sz w:val="7"/>
                        <w:szCs w:val="7"/>
                      </w:rPr>
                      <w:t>装备水平</w:t>
                    </w:r>
                  </w:p>
                </w:txbxContent>
              </v:textbox>
            </v:shape>
            <v:shape id="_x0000_s1049" type="#_x0000_t202" style="width:282;height:110;left:3350;position:absolute;top:1182" filled="f" stroked="f">
              <o:lock v:ext="edit" aspectratio="f"/>
              <v:textbox inset="0,0,0,0">
                <w:txbxContent>
                  <w:p>
                    <w:pPr>
                      <w:spacing w:before="20" w:line="219" w:lineRule="auto"/>
                      <w:ind w:left="20"/>
                      <w:rPr>
                        <w:rFonts w:ascii="SimSun" w:eastAsia="SimSun" w:hAnsi="SimSun" w:cs="SimSun"/>
                        <w:sz w:val="7"/>
                        <w:szCs w:val="7"/>
                      </w:rPr>
                    </w:pPr>
                    <w:r>
                      <w:rPr>
                        <w:rFonts w:ascii="SimSun" w:eastAsia="SimSun" w:hAnsi="SimSun" w:cs="SimSun"/>
                        <w:spacing w:val="-5"/>
                        <w:w w:val="97"/>
                        <w:sz w:val="7"/>
                        <w:szCs w:val="7"/>
                      </w:rPr>
                      <w:t>运行参数</w:t>
                    </w:r>
                  </w:p>
                </w:txbxContent>
              </v:textbox>
            </v:shape>
            <v:shape id="_x0000_s1050" type="#_x0000_t202" style="width:252;height:110;left:3070;position:absolute;top:1163" filled="f" stroked="f">
              <o:lock v:ext="edit" aspectratio="f"/>
              <v:textbox inset="0,0,0,0">
                <w:txbxContent>
                  <w:p>
                    <w:pPr>
                      <w:spacing w:before="19" w:line="221" w:lineRule="auto"/>
                      <w:ind w:right="3"/>
                      <w:jc w:val="right"/>
                      <w:rPr>
                        <w:rFonts w:ascii="SimSun" w:eastAsia="SimSun" w:hAnsi="SimSun" w:cs="SimSun"/>
                        <w:sz w:val="7"/>
                        <w:szCs w:val="7"/>
                      </w:rPr>
                    </w:pPr>
                    <w:r>
                      <w:rPr>
                        <w:rFonts w:ascii="SimSun" w:eastAsia="SimSun" w:hAnsi="SimSun" w:cs="SimSun"/>
                        <w:spacing w:val="-5"/>
                        <w:w w:val="89"/>
                        <w:sz w:val="7"/>
                        <w:szCs w:val="7"/>
                      </w:rPr>
                      <w:t>主要设计</w:t>
                    </w:r>
                  </w:p>
                </w:txbxContent>
              </v:textbox>
            </v:shape>
            <v:shape id="_x0000_s1051" type="#_x0000_t202" style="width:342;height:86;left:2679;position:absolute;top:4783" filled="f" stroked="f">
              <o:lock v:ext="edit" aspectratio="f"/>
              <v:textbox inset="0,0,0,0">
                <w:txbxContent>
                  <w:p>
                    <w:pPr>
                      <w:spacing w:before="19" w:line="174" w:lineRule="auto"/>
                      <w:ind w:left="20"/>
                      <w:rPr>
                        <w:rFonts w:ascii="LiSu" w:eastAsia="LiSu" w:hAnsi="LiSu" w:cs="LiSu"/>
                        <w:sz w:val="7"/>
                        <w:szCs w:val="7"/>
                      </w:rPr>
                    </w:pPr>
                    <w:r>
                      <w:rPr>
                        <w:rFonts w:ascii="LiSu" w:eastAsia="LiSu" w:hAnsi="LiSu" w:cs="LiSu"/>
                        <w:spacing w:val="5"/>
                        <w:sz w:val="7"/>
                        <w:szCs w:val="7"/>
                      </w:rPr>
                      <w:t>环境效益</w:t>
                    </w:r>
                  </w:p>
                </w:txbxContent>
              </v:textbox>
            </v:shape>
            <v:shape id="_x0000_s1052" type="#_x0000_t202" style="width:317;height:88;left:3600;position:absolute;top:181" filled="f" stroked="f">
              <o:lock v:ext="edit" aspectratio="f"/>
              <v:textbox inset="0,0,0,0">
                <w:txbxContent>
                  <w:p>
                    <w:pPr>
                      <w:spacing w:before="19" w:line="175" w:lineRule="auto"/>
                      <w:ind w:left="20"/>
                      <w:rPr>
                        <w:rFonts w:ascii="LiSu" w:eastAsia="LiSu" w:hAnsi="LiSu" w:cs="LiSu"/>
                        <w:sz w:val="7"/>
                        <w:szCs w:val="7"/>
                      </w:rPr>
                    </w:pPr>
                    <w:r>
                      <w:rPr>
                        <w:rFonts w:ascii="LiSu" w:eastAsia="LiSu" w:hAnsi="LiSu" w:cs="LiSu"/>
                        <w:spacing w:val="-1"/>
                        <w:sz w:val="7"/>
                        <w:szCs w:val="7"/>
                      </w:rPr>
                      <w:t>文献资料</w:t>
                    </w:r>
                  </w:p>
                </w:txbxContent>
              </v:textbox>
            </v:shape>
            <v:shape id="_x0000_s1053" type="#_x0000_t202" style="width:318;height:86;left:630;position:absolute;top:2723" filled="f" stroked="f">
              <o:lock v:ext="edit" aspectratio="f"/>
              <v:textbox inset="0,0,0,0">
                <w:txbxContent>
                  <w:p>
                    <w:pPr>
                      <w:spacing w:before="19" w:line="174" w:lineRule="auto"/>
                      <w:ind w:left="20"/>
                      <w:rPr>
                        <w:rFonts w:ascii="LiSu" w:eastAsia="LiSu" w:hAnsi="LiSu" w:cs="LiSu"/>
                        <w:sz w:val="7"/>
                        <w:szCs w:val="7"/>
                      </w:rPr>
                    </w:pPr>
                    <w:r>
                      <w:rPr>
                        <w:rFonts w:ascii="LiSu" w:eastAsia="LiSu" w:hAnsi="LiSu" w:cs="LiSu"/>
                        <w:spacing w:val="-1"/>
                        <w:sz w:val="7"/>
                        <w:szCs w:val="7"/>
                      </w:rPr>
                      <w:t>工艺规模</w:t>
                    </w:r>
                  </w:p>
                </w:txbxContent>
              </v:textbox>
            </v:shape>
            <v:shape id="_x0000_s1054" type="#_x0000_t202" style="width:317;height:86;left:550;position:absolute;top:2214" filled="f" stroked="f">
              <o:lock v:ext="edit" aspectratio="f"/>
              <v:textbox inset="0,0,0,0">
                <w:txbxContent>
                  <w:p>
                    <w:pPr>
                      <w:spacing w:before="19" w:line="174" w:lineRule="auto"/>
                      <w:ind w:left="20"/>
                      <w:rPr>
                        <w:rFonts w:ascii="LiSu" w:eastAsia="LiSu" w:hAnsi="LiSu" w:cs="LiSu"/>
                        <w:sz w:val="7"/>
                        <w:szCs w:val="7"/>
                      </w:rPr>
                    </w:pPr>
                    <w:r>
                      <w:rPr>
                        <w:rFonts w:ascii="LiSu" w:eastAsia="LiSu" w:hAnsi="LiSu" w:cs="LiSu"/>
                        <w:color w:val="FFFFFF"/>
                        <w:spacing w:val="-1"/>
                        <w:sz w:val="7"/>
                        <w:szCs w:val="7"/>
                      </w:rPr>
                      <w:t>现场调研</w:t>
                    </w:r>
                  </w:p>
                </w:txbxContent>
              </v:textbox>
            </v:shape>
            <w10:wrap type="none"/>
          </v:group>
        </w:pict>
      </w:r>
    </w:p>
    <w:p>
      <w:pPr>
        <w:pStyle w:val="BodyText"/>
        <w:spacing w:before="146" w:line="219" w:lineRule="auto"/>
        <w:ind w:left="3582"/>
      </w:pPr>
      <w:r>
        <w:rPr>
          <w:b/>
          <w:bCs/>
          <w:spacing w:val="-5"/>
        </w:rPr>
        <w:t>图5-1</w:t>
      </w:r>
      <w:r>
        <w:rPr>
          <w:spacing w:val="10"/>
        </w:rPr>
        <w:t xml:space="preserve">  </w:t>
      </w:r>
      <w:r>
        <w:rPr>
          <w:b/>
          <w:bCs/>
          <w:spacing w:val="-5"/>
        </w:rPr>
        <w:t>技术路线图</w:t>
      </w:r>
    </w:p>
    <w:p>
      <w:pPr>
        <w:spacing w:line="219" w:lineRule="auto"/>
        <w:sectPr>
          <w:footerReference w:type="default" r:id="rId13"/>
          <w:pgSz w:w="11910" w:h="16840"/>
          <w:pgMar w:top="1431" w:right="1645" w:bottom="1005" w:left="1700" w:header="0" w:footer="856" w:gutter="0"/>
          <w:pgNumType w:start="9"/>
          <w:cols w:space="708"/>
        </w:sectPr>
      </w:pPr>
    </w:p>
    <w:p>
      <w:pPr>
        <w:spacing w:before="152" w:line="221" w:lineRule="auto"/>
        <w:ind w:left="2"/>
        <w:outlineLvl w:val="6"/>
        <w:rPr>
          <w:rFonts w:ascii="SimHei" w:eastAsia="SimHei" w:hAnsi="SimHei" w:cs="SimHei"/>
          <w:sz w:val="21"/>
          <w:szCs w:val="21"/>
        </w:rPr>
      </w:pPr>
      <w:r>
        <w:rPr>
          <w:rFonts w:ascii="SimHei" w:eastAsia="SimHei" w:hAnsi="SimHei" w:cs="SimHei"/>
          <w:b/>
          <w:bCs/>
          <w:spacing w:val="2"/>
          <w:sz w:val="21"/>
          <w:szCs w:val="21"/>
        </w:rPr>
        <w:t>5.3</w:t>
      </w:r>
      <w:r>
        <w:rPr>
          <w:rFonts w:ascii="SimHei" w:eastAsia="SimHei" w:hAnsi="SimHei" w:cs="SimHei"/>
          <w:spacing w:val="44"/>
          <w:sz w:val="21"/>
          <w:szCs w:val="21"/>
        </w:rPr>
        <w:t xml:space="preserve"> </w:t>
      </w:r>
      <w:r>
        <w:rPr>
          <w:rFonts w:ascii="SimHei" w:eastAsia="SimHei" w:hAnsi="SimHei" w:cs="SimHei"/>
          <w:b/>
          <w:bCs/>
          <w:spacing w:val="2"/>
          <w:sz w:val="21"/>
          <w:szCs w:val="21"/>
        </w:rPr>
        <w:t>工作方法</w:t>
      </w:r>
    </w:p>
    <w:p>
      <w:pPr>
        <w:pStyle w:val="BodyText"/>
        <w:spacing w:before="203" w:line="219" w:lineRule="auto"/>
        <w:ind w:left="529"/>
      </w:pPr>
      <w:r>
        <w:rPr>
          <w:spacing w:val="6"/>
        </w:rPr>
        <w:t>(1)资料收集与企业调查</w:t>
      </w:r>
    </w:p>
    <w:p>
      <w:pPr>
        <w:pStyle w:val="BodyText"/>
        <w:spacing w:before="230" w:line="422" w:lineRule="auto"/>
        <w:ind w:right="6" w:firstLine="419"/>
        <w:jc w:val="both"/>
      </w:pPr>
      <w:r>
        <w:rPr>
          <w:spacing w:val="-4"/>
        </w:rPr>
        <w:t>主要通过资料收集、现场调研、发放调查表及从排污许可数据库获取等方式获得钢铁工业</w:t>
      </w:r>
      <w:r>
        <w:rPr>
          <w:spacing w:val="6"/>
        </w:rPr>
        <w:t xml:space="preserve">  </w:t>
      </w:r>
      <w:r>
        <w:rPr>
          <w:spacing w:val="-3"/>
        </w:rPr>
        <w:t>烧结工序主要生产装备、污染物类型及产污环</w:t>
      </w:r>
      <w:r>
        <w:rPr>
          <w:spacing w:val="-4"/>
        </w:rPr>
        <w:t>节、超低排放改造应用技术现状。调查收集目标</w:t>
      </w:r>
      <w:r>
        <w:t xml:space="preserve">  </w:t>
      </w:r>
      <w:r>
        <w:rPr>
          <w:spacing w:val="-3"/>
        </w:rPr>
        <w:t>企业产、排污节点实际废气污染物排放浓度及运</w:t>
      </w:r>
      <w:r>
        <w:rPr>
          <w:spacing w:val="-4"/>
        </w:rPr>
        <w:t>维管理要求的一手数据。现场调研重点考察烧</w:t>
      </w:r>
      <w:r>
        <w:t xml:space="preserve">  </w:t>
      </w:r>
      <w:r>
        <w:rPr>
          <w:spacing w:val="-6"/>
        </w:rPr>
        <w:t>结生产中各类废气的来源、组成、受控污染物、清洁生产与末端治理工艺技术、工艺</w:t>
      </w:r>
      <w:r>
        <w:rPr>
          <w:spacing w:val="-7"/>
        </w:rPr>
        <w:t>操作流程、</w:t>
      </w:r>
    </w:p>
    <w:p>
      <w:pPr>
        <w:pStyle w:val="BodyText"/>
        <w:spacing w:line="219" w:lineRule="auto"/>
      </w:pPr>
      <w:r>
        <w:rPr>
          <w:spacing w:val="-5"/>
        </w:rPr>
        <w:t>实际运行状况和处理效果等。</w:t>
      </w:r>
    </w:p>
    <w:p>
      <w:pPr>
        <w:pStyle w:val="BodyText"/>
        <w:spacing w:before="221" w:line="220" w:lineRule="auto"/>
        <w:ind w:left="529"/>
      </w:pPr>
      <w:r>
        <w:rPr>
          <w:spacing w:val="8"/>
        </w:rPr>
        <w:t>(2)专家咨询与研讨</w:t>
      </w:r>
    </w:p>
    <w:p>
      <w:pPr>
        <w:pStyle w:val="BodyText"/>
        <w:spacing w:before="248" w:line="461" w:lineRule="exact"/>
        <w:ind w:left="419"/>
      </w:pPr>
      <w:r>
        <w:rPr>
          <w:spacing w:val="-3"/>
          <w:position w:val="19"/>
        </w:rPr>
        <w:t>通过专家咨询与研讨的形式，了解钢铁工业烧结超低排放技术的实际应用概况、废气</w:t>
      </w:r>
      <w:r>
        <w:rPr>
          <w:spacing w:val="-4"/>
          <w:position w:val="19"/>
        </w:rPr>
        <w:t>污染</w:t>
      </w:r>
    </w:p>
    <w:p>
      <w:pPr>
        <w:pStyle w:val="BodyText"/>
        <w:spacing w:line="219" w:lineRule="auto"/>
      </w:pPr>
      <w:r>
        <w:rPr>
          <w:spacing w:val="-6"/>
        </w:rPr>
        <w:t>物排放现状、行业发展趋势，确定超低排放工程技术及组合工艺类型及设计、运行等重要参数。</w:t>
      </w:r>
    </w:p>
    <w:p>
      <w:pPr>
        <w:pStyle w:val="BodyText"/>
        <w:spacing w:before="231" w:line="219" w:lineRule="auto"/>
        <w:ind w:left="529"/>
      </w:pPr>
      <w:r>
        <w:rPr>
          <w:spacing w:val="5"/>
        </w:rPr>
        <w:t>(3)在线数据分析与补充测试</w:t>
      </w:r>
    </w:p>
    <w:p>
      <w:pPr>
        <w:pStyle w:val="BodyText"/>
        <w:spacing w:before="229" w:line="481" w:lineRule="exact"/>
        <w:ind w:left="419"/>
      </w:pPr>
      <w:r>
        <w:rPr>
          <w:spacing w:val="-3"/>
          <w:position w:val="21"/>
        </w:rPr>
        <w:t>选取典型超低排放技术与组合工艺，分析企业相应在线</w:t>
      </w:r>
      <w:r>
        <w:rPr>
          <w:spacing w:val="-4"/>
          <w:position w:val="21"/>
        </w:rPr>
        <w:t>监测和手工监测数据评估该技术的</w:t>
      </w:r>
    </w:p>
    <w:p>
      <w:pPr>
        <w:pStyle w:val="BodyText"/>
        <w:spacing w:before="1" w:line="219" w:lineRule="auto"/>
        <w:ind w:left="89"/>
      </w:pPr>
      <w:r>
        <w:rPr>
          <w:spacing w:val="-5"/>
        </w:rPr>
        <w:t>排放水平，对重要节点的废气污染物排放水平进行验证。</w:t>
      </w:r>
    </w:p>
    <w:p>
      <w:pPr>
        <w:spacing w:before="267" w:line="679" w:lineRule="exact"/>
        <w:ind w:left="3"/>
        <w:rPr>
          <w:rFonts w:ascii="SimHei" w:eastAsia="SimHei" w:hAnsi="SimHei" w:cs="SimHei"/>
          <w:sz w:val="27"/>
          <w:szCs w:val="27"/>
        </w:rPr>
      </w:pPr>
      <w:r>
        <w:rPr>
          <w:rFonts w:ascii="SimHei" w:eastAsia="SimHei" w:hAnsi="SimHei" w:cs="SimHei"/>
          <w:b/>
          <w:bCs/>
          <w:spacing w:val="3"/>
          <w:position w:val="31"/>
          <w:sz w:val="27"/>
          <w:szCs w:val="27"/>
        </w:rPr>
        <w:t>6</w:t>
      </w:r>
      <w:r>
        <w:rPr>
          <w:rFonts w:ascii="SimHei" w:eastAsia="SimHei" w:hAnsi="SimHei" w:cs="SimHei"/>
          <w:spacing w:val="3"/>
          <w:position w:val="31"/>
          <w:sz w:val="27"/>
          <w:szCs w:val="27"/>
        </w:rPr>
        <w:t xml:space="preserve"> </w:t>
      </w:r>
      <w:r>
        <w:rPr>
          <w:rFonts w:ascii="SimHei" w:eastAsia="SimHei" w:hAnsi="SimHei" w:cs="SimHei"/>
          <w:b/>
          <w:bCs/>
          <w:spacing w:val="3"/>
          <w:position w:val="31"/>
          <w:sz w:val="27"/>
          <w:szCs w:val="27"/>
        </w:rPr>
        <w:t>主要技术内容及说明</w:t>
      </w:r>
    </w:p>
    <w:p>
      <w:pPr>
        <w:spacing w:before="1" w:line="220" w:lineRule="auto"/>
        <w:ind w:left="2"/>
        <w:rPr>
          <w:rFonts w:ascii="SimHei" w:eastAsia="SimHei" w:hAnsi="SimHei" w:cs="SimHei"/>
          <w:sz w:val="21"/>
          <w:szCs w:val="21"/>
        </w:rPr>
      </w:pPr>
      <w:r>
        <w:rPr>
          <w:rFonts w:ascii="SimHei" w:eastAsia="SimHei" w:hAnsi="SimHei" w:cs="SimHei"/>
          <w:b/>
          <w:bCs/>
          <w:spacing w:val="13"/>
          <w:sz w:val="21"/>
          <w:szCs w:val="21"/>
        </w:rPr>
        <w:t>6.1</w:t>
      </w:r>
      <w:r>
        <w:rPr>
          <w:rFonts w:ascii="SimHei" w:eastAsia="SimHei" w:hAnsi="SimHei" w:cs="SimHei"/>
          <w:spacing w:val="-26"/>
          <w:sz w:val="21"/>
          <w:szCs w:val="21"/>
        </w:rPr>
        <w:t xml:space="preserve"> </w:t>
      </w:r>
      <w:r>
        <w:rPr>
          <w:rFonts w:ascii="SimHei" w:eastAsia="SimHei" w:hAnsi="SimHei" w:cs="SimHei"/>
          <w:b/>
          <w:bCs/>
          <w:spacing w:val="13"/>
          <w:sz w:val="21"/>
          <w:szCs w:val="21"/>
        </w:rPr>
        <w:t>污染物与污染负荷</w:t>
      </w:r>
    </w:p>
    <w:p>
      <w:pPr>
        <w:pStyle w:val="BodyText"/>
        <w:spacing w:before="282" w:line="471" w:lineRule="exact"/>
        <w:ind w:left="419"/>
      </w:pPr>
      <w:r>
        <w:rPr>
          <w:spacing w:val="-3"/>
          <w:position w:val="20"/>
        </w:rPr>
        <w:t>本章节对烧结废气中各工段污染物的产生环节、种</w:t>
      </w:r>
      <w:r>
        <w:rPr>
          <w:spacing w:val="-4"/>
          <w:position w:val="20"/>
        </w:rPr>
        <w:t>类等进行了说明，同时对烧结废气超低</w:t>
      </w:r>
    </w:p>
    <w:p>
      <w:pPr>
        <w:pStyle w:val="BodyText"/>
        <w:spacing w:line="219" w:lineRule="auto"/>
        <w:jc w:val="right"/>
      </w:pPr>
      <w:r>
        <w:rPr>
          <w:spacing w:val="-1"/>
        </w:rPr>
        <w:t>排放工程设计所需要的详细参数进行了具体规定，包括所需资料种类及来源、设计裕度选取、</w:t>
      </w:r>
    </w:p>
    <w:p>
      <w:pPr>
        <w:pStyle w:val="BodyText"/>
        <w:spacing w:before="220" w:line="219" w:lineRule="auto"/>
      </w:pPr>
      <w:r>
        <w:rPr>
          <w:spacing w:val="-3"/>
        </w:rPr>
        <w:t>相关计算方法、经验值及依据等。</w:t>
      </w:r>
    </w:p>
    <w:p>
      <w:pPr>
        <w:spacing w:before="168" w:line="222" w:lineRule="auto"/>
        <w:ind w:left="2"/>
        <w:outlineLvl w:val="6"/>
        <w:rPr>
          <w:rFonts w:ascii="SimHei" w:eastAsia="SimHei" w:hAnsi="SimHei" w:cs="SimHei"/>
          <w:sz w:val="21"/>
          <w:szCs w:val="21"/>
        </w:rPr>
      </w:pPr>
      <w:r>
        <w:rPr>
          <w:rFonts w:ascii="SimHei" w:eastAsia="SimHei" w:hAnsi="SimHei" w:cs="SimHei"/>
          <w:b/>
          <w:bCs/>
          <w:spacing w:val="4"/>
          <w:sz w:val="21"/>
          <w:szCs w:val="21"/>
        </w:rPr>
        <w:t>6.2</w:t>
      </w:r>
      <w:r>
        <w:rPr>
          <w:rFonts w:ascii="SimHei" w:eastAsia="SimHei" w:hAnsi="SimHei" w:cs="SimHei"/>
          <w:spacing w:val="30"/>
          <w:sz w:val="21"/>
          <w:szCs w:val="21"/>
        </w:rPr>
        <w:t xml:space="preserve"> </w:t>
      </w:r>
      <w:r>
        <w:rPr>
          <w:rFonts w:ascii="SimHei" w:eastAsia="SimHei" w:hAnsi="SimHei" w:cs="SimHei"/>
          <w:b/>
          <w:bCs/>
          <w:spacing w:val="4"/>
          <w:sz w:val="21"/>
          <w:szCs w:val="21"/>
        </w:rPr>
        <w:t>工艺设计</w:t>
      </w:r>
    </w:p>
    <w:p>
      <w:pPr>
        <w:pStyle w:val="BodyText"/>
        <w:spacing w:before="291" w:line="480" w:lineRule="exact"/>
        <w:ind w:left="419"/>
      </w:pPr>
      <w:r>
        <w:rPr>
          <w:spacing w:val="-4"/>
          <w:position w:val="20"/>
        </w:rPr>
        <w:t>本章节对烧结废气超低排放工艺设计的一般规定、超低排放技术路线选择、除尘工艺设计</w:t>
      </w:r>
    </w:p>
    <w:p>
      <w:pPr>
        <w:pStyle w:val="BodyText"/>
        <w:spacing w:before="1" w:line="219" w:lineRule="auto"/>
      </w:pPr>
      <w:r>
        <w:rPr>
          <w:spacing w:val="-2"/>
        </w:rPr>
        <w:t>要求、脱硫工艺设计要求、脱硝工艺设计要求等作出了详细规定。</w:t>
      </w:r>
    </w:p>
    <w:p>
      <w:pPr>
        <w:pStyle w:val="BodyText"/>
        <w:spacing w:before="237" w:line="219" w:lineRule="auto"/>
        <w:ind w:left="2"/>
        <w:outlineLvl w:val="6"/>
      </w:pPr>
      <w:r>
        <w:rPr>
          <w:b/>
          <w:bCs/>
          <w:spacing w:val="-10"/>
        </w:rPr>
        <w:t>6.2.1</w:t>
      </w:r>
      <w:r>
        <w:rPr>
          <w:spacing w:val="-10"/>
        </w:rPr>
        <w:t xml:space="preserve"> </w:t>
      </w:r>
      <w:r>
        <w:rPr>
          <w:b/>
          <w:bCs/>
          <w:spacing w:val="-10"/>
        </w:rPr>
        <w:t>超低排放技术路线选择</w:t>
      </w:r>
    </w:p>
    <w:p>
      <w:pPr>
        <w:pStyle w:val="BodyText"/>
        <w:spacing w:before="110" w:line="219" w:lineRule="auto"/>
        <w:ind w:left="2"/>
        <w:outlineLvl w:val="6"/>
      </w:pPr>
      <w:hyperlink r:id="rId14" w:history="1">
        <w:r>
          <w:rPr>
            <w:b/>
            <w:bCs/>
            <w:spacing w:val="-10"/>
          </w:rPr>
          <w:t>6.2.1.1</w:t>
        </w:r>
      </w:hyperlink>
      <w:r>
        <w:rPr>
          <w:spacing w:val="-10"/>
        </w:rPr>
        <w:t xml:space="preserve"> </w:t>
      </w:r>
      <w:r>
        <w:rPr>
          <w:b/>
          <w:bCs/>
          <w:spacing w:val="-10"/>
        </w:rPr>
        <w:t>烧结机机头烟气超低排放工艺路线</w:t>
      </w:r>
    </w:p>
    <w:p>
      <w:pPr>
        <w:pStyle w:val="BodyText"/>
        <w:spacing w:before="184" w:line="352" w:lineRule="auto"/>
        <w:ind w:right="73" w:firstLine="529"/>
        <w:jc w:val="both"/>
        <w:rPr>
          <w:rFonts w:ascii="Times New Roman" w:eastAsia="Times New Roman" w:hAnsi="Times New Roman" w:cs="Times New Roman"/>
        </w:rPr>
      </w:pPr>
      <w:r>
        <w:rPr>
          <w:spacing w:val="2"/>
        </w:rPr>
        <w:t>(1)本章节工艺路线的选取原则兼顾技术的成熟性、工况波动的适应性、协同处理能力</w:t>
      </w:r>
      <w:r>
        <w:rPr>
          <w:spacing w:val="14"/>
        </w:rPr>
        <w:t xml:space="preserve"> </w:t>
      </w:r>
      <w:r>
        <w:rPr>
          <w:spacing w:val="-4"/>
        </w:rPr>
        <w:t>与二次污染控制效果，所以在现场方案选择上提供了两大类组合工艺路线，</w:t>
      </w:r>
      <w:r>
        <w:rPr>
          <w:spacing w:val="68"/>
        </w:rPr>
        <w:t xml:space="preserve"> </w:t>
      </w:r>
      <w:r>
        <w:rPr>
          <w:spacing w:val="-4"/>
        </w:rPr>
        <w:t>一类是基于</w:t>
      </w:r>
      <w:r>
        <w:rPr>
          <w:spacing w:val="-37"/>
        </w:rPr>
        <w:t xml:space="preserve"> </w:t>
      </w:r>
      <w:r>
        <w:rPr>
          <w:rFonts w:ascii="Times New Roman" w:eastAsia="Times New Roman" w:hAnsi="Times New Roman" w:cs="Times New Roman"/>
          <w:spacing w:val="-4"/>
        </w:rPr>
        <w:t>SCR</w:t>
      </w:r>
    </w:p>
    <w:p>
      <w:pPr>
        <w:pStyle w:val="BodyText"/>
        <w:spacing w:line="219" w:lineRule="auto"/>
      </w:pPr>
      <w:r>
        <w:rPr>
          <w:spacing w:val="-8"/>
        </w:rPr>
        <w:t>脱硝的工艺组合技术，</w:t>
      </w:r>
      <w:r>
        <w:rPr>
          <w:spacing w:val="68"/>
        </w:rPr>
        <w:t xml:space="preserve"> </w:t>
      </w:r>
      <w:r>
        <w:rPr>
          <w:spacing w:val="-8"/>
        </w:rPr>
        <w:t>一类是活性炭脱硫脱硝一体化技术。</w:t>
      </w:r>
    </w:p>
    <w:p>
      <w:pPr>
        <w:pStyle w:val="BodyText"/>
        <w:spacing w:before="151" w:line="360" w:lineRule="auto"/>
        <w:ind w:right="100" w:firstLine="419"/>
        <w:jc w:val="both"/>
        <w:sectPr>
          <w:footerReference w:type="default" r:id="rId15"/>
          <w:pgSz w:w="11910" w:h="16840"/>
          <w:pgMar w:top="1431" w:right="1638" w:bottom="1007" w:left="1700" w:header="0" w:footer="869" w:gutter="0"/>
          <w:pgNumType w:start="10"/>
          <w:cols w:space="708"/>
        </w:sectPr>
      </w:pPr>
      <w:r>
        <w:t>脱硝采用</w:t>
      </w:r>
      <w:r>
        <w:rPr>
          <w:spacing w:val="-56"/>
        </w:rPr>
        <w:t xml:space="preserve"> </w:t>
      </w:r>
      <w:r>
        <w:rPr>
          <w:rFonts w:ascii="Times New Roman" w:eastAsia="Times New Roman" w:hAnsi="Times New Roman" w:cs="Times New Roman"/>
        </w:rPr>
        <w:t xml:space="preserve">SCR </w:t>
      </w:r>
      <w:r>
        <w:t>工艺时，综合考虑烧结机的生产工况和污染物排放特</w:t>
      </w:r>
      <w:r>
        <w:rPr>
          <w:spacing w:val="-1"/>
        </w:rPr>
        <w:t>征，采用工艺一次除</w:t>
      </w:r>
      <w:r>
        <w:t xml:space="preserve"> </w:t>
      </w:r>
      <w:r>
        <w:rPr>
          <w:spacing w:val="-1"/>
        </w:rPr>
        <w:t>尘+</w:t>
      </w:r>
      <w:r>
        <w:rPr>
          <w:rFonts w:ascii="Times New Roman" w:eastAsia="Times New Roman" w:hAnsi="Times New Roman" w:cs="Times New Roman"/>
          <w:spacing w:val="-1"/>
        </w:rPr>
        <w:t xml:space="preserve">SCR </w:t>
      </w:r>
      <w:r>
        <w:rPr>
          <w:spacing w:val="-1"/>
        </w:rPr>
        <w:t>脱硝+脱硫+除尘是能耗最低、氨逃</w:t>
      </w:r>
      <w:r>
        <w:rPr>
          <w:spacing w:val="-2"/>
        </w:rPr>
        <w:t>逸和二次污染最少的工艺路线组合，因此新改扩建</w:t>
      </w:r>
    </w:p>
    <w:p>
      <w:pPr>
        <w:pStyle w:val="BodyText"/>
        <w:spacing w:before="1" w:line="218" w:lineRule="auto"/>
      </w:pPr>
      <w:r>
        <w:rPr>
          <w:spacing w:val="1"/>
        </w:rPr>
        <w:t>烧结机宜优先选择。</w:t>
      </w:r>
      <w:r>
        <w:rPr>
          <w:rFonts w:ascii="Times New Roman" w:eastAsia="Times New Roman" w:hAnsi="Times New Roman" w:cs="Times New Roman"/>
        </w:rPr>
        <w:t>SCR</w:t>
      </w:r>
      <w:r>
        <w:rPr>
          <w:rFonts w:ascii="Times New Roman" w:eastAsia="Times New Roman" w:hAnsi="Times New Roman" w:cs="Times New Roman"/>
          <w:spacing w:val="22"/>
          <w:w w:val="101"/>
        </w:rPr>
        <w:t xml:space="preserve"> </w:t>
      </w:r>
      <w:r>
        <w:rPr>
          <w:spacing w:val="1"/>
        </w:rPr>
        <w:t>脱硝前置不仅可减少加热烟气</w:t>
      </w:r>
      <w:r>
        <w:t>带来的能耗上升问题，亦可通过脱硝</w:t>
      </w:r>
    </w:p>
    <w:p>
      <w:pPr>
        <w:spacing w:line="218" w:lineRule="auto"/>
        <w:sectPr>
          <w:footerReference w:type="default" r:id="rId16"/>
          <w:type w:val="nextPage"/>
          <w:pgSz w:w="11910" w:h="16840"/>
          <w:pgMar w:top="1431" w:right="1638" w:bottom="1007" w:left="1700" w:header="0" w:footer="869" w:gutter="0"/>
          <w:pgNumType w:start="11"/>
          <w:cols w:space="708"/>
          <w:titlePg w:val="0"/>
        </w:sectPr>
      </w:pPr>
    </w:p>
    <w:p>
      <w:pPr>
        <w:pStyle w:val="BodyText"/>
        <w:spacing w:before="48" w:line="351" w:lineRule="auto"/>
        <w:ind w:right="93"/>
        <w:jc w:val="both"/>
      </w:pPr>
      <w:r>
        <w:rPr>
          <w:spacing w:val="-1"/>
        </w:rPr>
        <w:t xml:space="preserve">后串接脱硫、除尘设施来对脱硝反应过程中过量的氨以及可凝结颗粒物进行二次吸收； </w:t>
      </w:r>
      <w:r>
        <w:rPr>
          <w:rFonts w:ascii="Times New Roman" w:eastAsia="Times New Roman" w:hAnsi="Times New Roman" w:cs="Times New Roman"/>
          <w:spacing w:val="-1"/>
        </w:rPr>
        <w:t xml:space="preserve">SCR </w:t>
      </w:r>
      <w:r>
        <w:rPr>
          <w:spacing w:val="-3"/>
        </w:rPr>
        <w:t>脱硝前置还可协同去除二噁英类物质，避免其进入脱硫副产物。新改扩建烧结</w:t>
      </w:r>
      <w:r>
        <w:rPr>
          <w:spacing w:val="-4"/>
        </w:rPr>
        <w:t>机可通过强化工</w:t>
      </w:r>
      <w:r>
        <w:t xml:space="preserve"> </w:t>
      </w:r>
      <w:r>
        <w:rPr>
          <w:spacing w:val="-3"/>
        </w:rPr>
        <w:t>艺一次除尘系统的设计和运维，确保除尘器出口粉尘浓度稳定达设计值，</w:t>
      </w:r>
      <w:r>
        <w:rPr>
          <w:spacing w:val="-4"/>
        </w:rPr>
        <w:t>并辅以烟气调质技术</w:t>
      </w:r>
    </w:p>
    <w:p>
      <w:pPr>
        <w:pStyle w:val="BodyText"/>
        <w:spacing w:line="218" w:lineRule="auto"/>
      </w:pPr>
      <w:r>
        <w:rPr>
          <w:spacing w:val="-1"/>
        </w:rPr>
        <w:t>来解决前置</w:t>
      </w:r>
      <w:r>
        <w:rPr>
          <w:spacing w:val="-46"/>
        </w:rPr>
        <w:t xml:space="preserve"> </w:t>
      </w:r>
      <w:r>
        <w:rPr>
          <w:rFonts w:ascii="Times New Roman" w:eastAsia="Times New Roman" w:hAnsi="Times New Roman" w:cs="Times New Roman"/>
          <w:spacing w:val="-1"/>
        </w:rPr>
        <w:t xml:space="preserve">SCR </w:t>
      </w:r>
      <w:r>
        <w:rPr>
          <w:spacing w:val="-1"/>
        </w:rPr>
        <w:t>脱硝工艺可能存在的碱金属粘</w:t>
      </w:r>
      <w:r>
        <w:rPr>
          <w:spacing w:val="-2"/>
        </w:rPr>
        <w:t>附堵塞问题。</w:t>
      </w:r>
    </w:p>
    <w:p>
      <w:pPr>
        <w:pStyle w:val="BodyText"/>
        <w:spacing w:before="180" w:line="352" w:lineRule="auto"/>
        <w:ind w:right="82" w:firstLine="419"/>
      </w:pPr>
      <w:r>
        <w:rPr>
          <w:spacing w:val="-3"/>
        </w:rPr>
        <w:t>活性炭脱硫脱硝一体化技术通过一段脱硫除尘与二</w:t>
      </w:r>
      <w:r>
        <w:rPr>
          <w:spacing w:val="-4"/>
        </w:rPr>
        <w:t>段脱硝的组合工艺，同时利用活性炭材</w:t>
      </w:r>
      <w:r>
        <w:t xml:space="preserve"> </w:t>
      </w:r>
      <w:r>
        <w:rPr>
          <w:spacing w:val="-3"/>
        </w:rPr>
        <w:t>料本身的吸附与催化能力，高效去除超低管控的废气污染物与特征污染物。此工艺目前行业中</w:t>
      </w:r>
      <w:r>
        <w:rPr>
          <w:spacing w:val="4"/>
        </w:rPr>
        <w:t xml:space="preserve"> </w:t>
      </w:r>
      <w:r>
        <w:rPr>
          <w:spacing w:val="-4"/>
        </w:rPr>
        <w:t>部分案例因为系统工况中颗粒物浓度较高或地方有对企业特殊时段加严管控的原因，增建了袋</w:t>
      </w:r>
    </w:p>
    <w:p>
      <w:pPr>
        <w:pStyle w:val="BodyText"/>
        <w:spacing w:line="218" w:lineRule="auto"/>
      </w:pPr>
      <w:r>
        <w:rPr>
          <w:spacing w:val="-1"/>
        </w:rPr>
        <w:t>式除尘器，所以标准文本中将二次除尘作为可选的设</w:t>
      </w:r>
      <w:r>
        <w:rPr>
          <w:spacing w:val="-2"/>
        </w:rPr>
        <w:t>施列入此工艺路线中。</w:t>
      </w:r>
    </w:p>
    <w:p>
      <w:pPr>
        <w:pStyle w:val="BodyText"/>
        <w:spacing w:before="190" w:line="352" w:lineRule="auto"/>
        <w:ind w:right="74" w:firstLine="419"/>
      </w:pPr>
      <w:r>
        <w:rPr>
          <w:spacing w:val="-3"/>
        </w:rPr>
        <w:t>对于部分现有烧结机由于工艺一次除尘器老旧，且缺</w:t>
      </w:r>
      <w:r>
        <w:rPr>
          <w:spacing w:val="-4"/>
        </w:rPr>
        <w:t>乏有效维护，导致除尘效率较低，对</w:t>
      </w:r>
      <w:r>
        <w:t xml:space="preserve"> </w:t>
      </w:r>
      <w:r>
        <w:t>后续</w:t>
      </w:r>
      <w:r>
        <w:rPr>
          <w:spacing w:val="-35"/>
        </w:rPr>
        <w:t xml:space="preserve"> </w:t>
      </w:r>
      <w:r>
        <w:rPr>
          <w:rFonts w:ascii="Times New Roman" w:eastAsia="Times New Roman" w:hAnsi="Times New Roman" w:cs="Times New Roman"/>
        </w:rPr>
        <w:t xml:space="preserve">SCR </w:t>
      </w:r>
      <w:r>
        <w:t xml:space="preserve">脱硝设施影响较大的，或者已建成干式一次除尘和脱硫、二次除尘设施的烧结机只 </w:t>
      </w:r>
      <w:r>
        <w:rPr>
          <w:spacing w:val="1"/>
        </w:rPr>
        <w:t>需要增加</w:t>
      </w:r>
      <w:r>
        <w:rPr>
          <w:spacing w:val="-55"/>
        </w:rPr>
        <w:t xml:space="preserve"> </w:t>
      </w:r>
      <w:r>
        <w:rPr>
          <w:rFonts w:ascii="Times New Roman" w:eastAsia="Times New Roman" w:hAnsi="Times New Roman" w:cs="Times New Roman"/>
        </w:rPr>
        <w:t>SCR</w:t>
      </w:r>
      <w:r>
        <w:rPr>
          <w:rFonts w:ascii="Times New Roman" w:eastAsia="Times New Roman" w:hAnsi="Times New Roman" w:cs="Times New Roman"/>
          <w:spacing w:val="1"/>
        </w:rPr>
        <w:t xml:space="preserve"> </w:t>
      </w:r>
      <w:r>
        <w:rPr>
          <w:spacing w:val="1"/>
        </w:rPr>
        <w:t>脱硝设施的，也可采用工艺一次除尘+脱硫+除尘+</w:t>
      </w:r>
      <w:r>
        <w:rPr>
          <w:rFonts w:ascii="Times New Roman" w:eastAsia="Times New Roman" w:hAnsi="Times New Roman" w:cs="Times New Roman"/>
        </w:rPr>
        <w:t>SCR</w:t>
      </w:r>
      <w:r>
        <w:rPr>
          <w:rFonts w:ascii="Times New Roman" w:eastAsia="Times New Roman" w:hAnsi="Times New Roman" w:cs="Times New Roman"/>
          <w:spacing w:val="1"/>
        </w:rPr>
        <w:t xml:space="preserve"> </w:t>
      </w:r>
      <w:r>
        <w:rPr>
          <w:spacing w:val="1"/>
        </w:rPr>
        <w:t>脱</w:t>
      </w:r>
      <w:r>
        <w:t xml:space="preserve">硝的工艺路线组合， </w:t>
      </w:r>
      <w:r>
        <w:rPr>
          <w:spacing w:val="-3"/>
        </w:rPr>
        <w:t>提高脱硝设施运行的稳定性，降低工程改造投资。但此种工艺路线因为</w:t>
      </w:r>
      <w:r>
        <w:rPr>
          <w:spacing w:val="-4"/>
        </w:rPr>
        <w:t>没有后续工艺可协同处</w:t>
      </w:r>
      <w:r>
        <w:t xml:space="preserve"> </w:t>
      </w:r>
      <w:r>
        <w:rPr>
          <w:spacing w:val="-3"/>
        </w:rPr>
        <w:t>理逃逸的氨和可凝结颗粒物，所以对脱硝段喷氨量要求较高，企业需按合理的氨氮比</w:t>
      </w:r>
      <w:r>
        <w:rPr>
          <w:spacing w:val="-4"/>
        </w:rPr>
        <w:t>调整喷氨</w:t>
      </w:r>
    </w:p>
    <w:p>
      <w:pPr>
        <w:pStyle w:val="BodyText"/>
        <w:spacing w:line="219" w:lineRule="auto"/>
      </w:pPr>
      <w:r>
        <w:rPr>
          <w:spacing w:val="-1"/>
        </w:rPr>
        <w:t>量，同时应对工艺一次除尘进行提效改造，避免过多的有害成分进入脱硫副</w:t>
      </w:r>
      <w:r>
        <w:rPr>
          <w:spacing w:val="-2"/>
        </w:rPr>
        <w:t>产物。</w:t>
      </w:r>
    </w:p>
    <w:p>
      <w:pPr>
        <w:pStyle w:val="BodyText"/>
        <w:spacing w:before="181" w:line="219" w:lineRule="auto"/>
        <w:ind w:left="529"/>
      </w:pPr>
      <w:r>
        <w:rPr>
          <w:spacing w:val="7"/>
        </w:rPr>
        <w:t>(2)除尘工艺选择原则</w:t>
      </w:r>
    </w:p>
    <w:p>
      <w:pPr>
        <w:pStyle w:val="BodyText"/>
        <w:spacing w:before="159" w:line="359" w:lineRule="auto"/>
        <w:ind w:right="95" w:firstLine="419"/>
      </w:pPr>
      <w:r>
        <w:rPr>
          <w:spacing w:val="4"/>
        </w:rPr>
        <w:t>钢铁烧结机机头烟气工艺除尘即一次除尘，目前</w:t>
      </w:r>
      <w:r>
        <w:rPr>
          <w:spacing w:val="3"/>
        </w:rPr>
        <w:t>行业中99%以上均为干式静电除尘器，</w:t>
      </w:r>
      <w:r>
        <w:t xml:space="preserve"> </w:t>
      </w:r>
      <w:r>
        <w:rPr>
          <w:spacing w:val="2"/>
        </w:rPr>
        <w:t>长期以来出口浓度按50</w:t>
      </w:r>
      <w:r>
        <w:rPr>
          <w:rFonts w:ascii="Times New Roman" w:eastAsia="Times New Roman" w:hAnsi="Times New Roman" w:cs="Times New Roman"/>
        </w:rPr>
        <w:t>mg</w:t>
      </w:r>
      <w:r>
        <w:rPr>
          <w:rFonts w:ascii="Times New Roman" w:eastAsia="Times New Roman" w:hAnsi="Times New Roman" w:cs="Times New Roman"/>
          <w:spacing w:val="2"/>
        </w:rPr>
        <w:t>/m³</w:t>
      </w:r>
      <w:r>
        <w:rPr>
          <w:rFonts w:ascii="Times New Roman" w:eastAsia="Times New Roman" w:hAnsi="Times New Roman" w:cs="Times New Roman"/>
        </w:rPr>
        <w:t xml:space="preserve"> </w:t>
      </w:r>
      <w:r>
        <w:rPr>
          <w:spacing w:val="2"/>
        </w:rPr>
        <w:t>设计，已远远落后于技术发展水平和环境保护需求，通过提高</w:t>
      </w:r>
      <w:r>
        <w:t xml:space="preserve"> </w:t>
      </w:r>
      <w:r>
        <w:rPr>
          <w:spacing w:val="1"/>
        </w:rPr>
        <w:t>设计参数，强化末电场的流场设计和电源供电方式等，出口浓度可稳定低于30</w:t>
      </w:r>
      <w:r>
        <w:t>mg</w:t>
      </w:r>
      <w:r>
        <w:rPr>
          <w:spacing w:val="1"/>
        </w:rPr>
        <w:t>/</w:t>
      </w:r>
      <w:r>
        <w:t>m³。</w:t>
      </w:r>
      <w:r>
        <w:rPr>
          <w:spacing w:val="41"/>
        </w:rPr>
        <w:t xml:space="preserve"> </w:t>
      </w:r>
      <w:r>
        <w:t>近年</w:t>
      </w:r>
    </w:p>
    <w:p>
      <w:pPr>
        <w:pStyle w:val="BodyText"/>
        <w:spacing w:line="213" w:lineRule="auto"/>
        <w:jc w:val="right"/>
      </w:pPr>
      <w:r>
        <w:t>来开发的袋式除尘器，其案例除尘效果可满足出口颗粒物排放浓度小于10mg</w:t>
      </w:r>
      <w:r>
        <w:rPr>
          <w:spacing w:val="-1"/>
        </w:rPr>
        <w:t>/m³</w:t>
      </w:r>
      <w:r>
        <w:rPr>
          <w:spacing w:val="-28"/>
        </w:rPr>
        <w:t xml:space="preserve"> </w:t>
      </w:r>
      <w:r>
        <w:rPr>
          <w:spacing w:val="-1"/>
        </w:rPr>
        <w:t>的设计要求。</w:t>
      </w:r>
    </w:p>
    <w:p>
      <w:pPr>
        <w:pStyle w:val="BodyText"/>
        <w:spacing w:before="182" w:line="352" w:lineRule="auto"/>
        <w:ind w:right="89" w:firstLine="419"/>
      </w:pPr>
      <w:r>
        <w:rPr>
          <w:spacing w:val="-1"/>
        </w:rPr>
        <w:t>当前应用案例最广的石灰/石灰石一石膏湿法脱硫后一般采用湿式静电除尘器作为含湿烟</w:t>
      </w:r>
      <w:r>
        <w:rPr>
          <w:spacing w:val="16"/>
        </w:rPr>
        <w:t xml:space="preserve"> </w:t>
      </w:r>
      <w:r>
        <w:rPr>
          <w:spacing w:val="-3"/>
        </w:rPr>
        <w:t>气二次除尘设施，实现对烟气中原有颗粒物与塔内裹挟的部分循环浆</w:t>
      </w:r>
      <w:r>
        <w:rPr>
          <w:spacing w:val="-4"/>
        </w:rPr>
        <w:t>液固体物的深度净化，达</w:t>
      </w:r>
      <w:r>
        <w:t xml:space="preserve"> </w:t>
      </w:r>
      <w:r>
        <w:rPr>
          <w:spacing w:val="-3"/>
        </w:rPr>
        <w:t>到超低排放限值要求；半干法脱硫因出口烟气温度均在露点以上，因此均采用</w:t>
      </w:r>
      <w:r>
        <w:rPr>
          <w:spacing w:val="-4"/>
        </w:rPr>
        <w:t>袋式除尘作为二</w:t>
      </w:r>
      <w:r>
        <w:t xml:space="preserve"> </w:t>
      </w:r>
      <w:r>
        <w:rPr>
          <w:spacing w:val="-4"/>
        </w:rPr>
        <w:t>次除尘，用来脱除烟气中原有颗粒物与烟气中裹挟的循环灰；活性炭脱硫脱硝一体化设施通过</w:t>
      </w:r>
      <w:r>
        <w:rPr>
          <w:spacing w:val="11"/>
        </w:rPr>
        <w:t xml:space="preserve"> </w:t>
      </w:r>
      <w:r>
        <w:rPr>
          <w:spacing w:val="-3"/>
        </w:rPr>
        <w:t>炭基材料可实现对颗粒物的截留，为进一步减排颗粒物，也可在活性炭脱硫脱硝一体化</w:t>
      </w:r>
      <w:r>
        <w:rPr>
          <w:spacing w:val="-4"/>
        </w:rPr>
        <w:t>设施后</w:t>
      </w:r>
    </w:p>
    <w:p>
      <w:pPr>
        <w:pStyle w:val="BodyText"/>
        <w:spacing w:line="219" w:lineRule="auto"/>
      </w:pPr>
      <w:r>
        <w:rPr>
          <w:spacing w:val="-4"/>
        </w:rPr>
        <w:t>再增设袋式除尘器。</w:t>
      </w:r>
    </w:p>
    <w:p>
      <w:pPr>
        <w:pStyle w:val="BodyText"/>
        <w:spacing w:before="182" w:line="220" w:lineRule="auto"/>
        <w:ind w:left="529"/>
      </w:pPr>
      <w:r>
        <w:rPr>
          <w:spacing w:val="7"/>
        </w:rPr>
        <w:t>(3)脱硫工艺选择原则</w:t>
      </w:r>
    </w:p>
    <w:p>
      <w:pPr>
        <w:pStyle w:val="BodyText"/>
        <w:spacing w:before="182" w:line="357" w:lineRule="auto"/>
        <w:ind w:right="78" w:firstLine="419"/>
      </w:pPr>
      <w:r>
        <w:rPr>
          <w:spacing w:val="2"/>
        </w:rPr>
        <w:t>钢铁企业根据所在区域、所使用原燃料类型、现有基础条件</w:t>
      </w:r>
      <w:r>
        <w:rPr>
          <w:spacing w:val="1"/>
        </w:rPr>
        <w:t>等因地制宜选择脱硫工艺。</w:t>
      </w:r>
      <w:r>
        <w:t xml:space="preserve"> </w:t>
      </w:r>
      <w:r>
        <w:rPr>
          <w:b/>
          <w:bCs/>
        </w:rPr>
        <w:t>一是</w:t>
      </w:r>
      <w:r>
        <w:t>对于使用含硫率低于0.06%低硫铁精矿的烧结机，机头烟气中</w:t>
      </w:r>
      <w:r>
        <w:rPr>
          <w:spacing w:val="-12"/>
        </w:rPr>
        <w:t xml:space="preserve"> </w:t>
      </w:r>
      <w:r>
        <w:rPr>
          <w:rFonts w:ascii="Times New Roman" w:eastAsia="Times New Roman" w:hAnsi="Times New Roman" w:cs="Times New Roman"/>
        </w:rPr>
        <w:t>SO₂</w:t>
      </w:r>
      <w:r>
        <w:rPr>
          <w:rFonts w:ascii="Times New Roman" w:eastAsia="Times New Roman" w:hAnsi="Times New Roman" w:cs="Times New Roman"/>
          <w:spacing w:val="-10"/>
        </w:rPr>
        <w:t xml:space="preserve"> </w:t>
      </w:r>
      <w:r>
        <w:t>浓度基本在1000</w:t>
      </w:r>
      <w:r>
        <w:rPr>
          <w:rFonts w:ascii="Times New Roman" w:eastAsia="Times New Roman" w:hAnsi="Times New Roman" w:cs="Times New Roman"/>
        </w:rPr>
        <w:t xml:space="preserve">mg/m³ </w:t>
      </w:r>
      <w:r>
        <w:rPr>
          <w:spacing w:val="-2"/>
        </w:rPr>
        <w:t>以下，无论是石灰/石灰石湿法脱硫，还是循环流化床、旋转喷雾与</w:t>
      </w:r>
      <w:r>
        <w:rPr>
          <w:spacing w:val="-3"/>
        </w:rPr>
        <w:t xml:space="preserve">密相干塔等半干法脱硫， </w:t>
      </w:r>
      <w:r>
        <w:rPr>
          <w:spacing w:val="-2"/>
        </w:rPr>
        <w:t>亦或活性炭脱硫脱硝一体化技术均可实现超低排放；</w:t>
      </w:r>
      <w:r>
        <w:rPr>
          <w:spacing w:val="59"/>
        </w:rPr>
        <w:t xml:space="preserve"> </w:t>
      </w:r>
      <w:r>
        <w:rPr>
          <w:b/>
          <w:bCs/>
          <w:spacing w:val="-2"/>
        </w:rPr>
        <w:t>二是</w:t>
      </w:r>
      <w:r>
        <w:rPr>
          <w:spacing w:val="-2"/>
        </w:rPr>
        <w:t>对于使用含硫率低于0.1%铁精矿的</w:t>
      </w:r>
      <w:r>
        <w:t xml:space="preserve"> </w:t>
      </w:r>
      <w:r>
        <w:rPr>
          <w:spacing w:val="9"/>
        </w:rPr>
        <w:t>烧结机，</w:t>
      </w:r>
      <w:r>
        <w:rPr>
          <w:rFonts w:ascii="Times New Roman" w:eastAsia="Times New Roman" w:hAnsi="Times New Roman" w:cs="Times New Roman"/>
        </w:rPr>
        <w:t>SO</w:t>
      </w:r>
      <w:r>
        <w:rPr>
          <w:rFonts w:ascii="Times New Roman" w:eastAsia="Times New Roman" w:hAnsi="Times New Roman" w:cs="Times New Roman"/>
          <w:spacing w:val="9"/>
        </w:rPr>
        <w:t xml:space="preserve">₂ </w:t>
      </w:r>
      <w:r>
        <w:rPr>
          <w:spacing w:val="9"/>
        </w:rPr>
        <w:t>浓度一般不高于1500</w:t>
      </w:r>
      <w:r>
        <w:rPr>
          <w:rFonts w:ascii="Times New Roman" w:eastAsia="Times New Roman" w:hAnsi="Times New Roman" w:cs="Times New Roman"/>
        </w:rPr>
        <w:t>mg</w:t>
      </w:r>
      <w:r>
        <w:rPr>
          <w:rFonts w:ascii="Times New Roman" w:eastAsia="Times New Roman" w:hAnsi="Times New Roman" w:cs="Times New Roman"/>
          <w:spacing w:val="9"/>
        </w:rPr>
        <w:t xml:space="preserve">/m³,   </w:t>
      </w:r>
      <w:r>
        <w:rPr>
          <w:spacing w:val="9"/>
        </w:rPr>
        <w:t>为达超低限值要求，脱</w:t>
      </w:r>
      <w:r>
        <w:rPr>
          <w:spacing w:val="8"/>
        </w:rPr>
        <w:t>硫效率需要高于98%,旋</w:t>
      </w:r>
      <w:r>
        <w:t xml:space="preserve"> </w:t>
      </w:r>
      <w:r>
        <w:t>转喷雾与密相干塔等半干法脱硫难以满足要求，宜选用石灰/石灰石</w:t>
      </w: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7" w:history="1">
        <w:r>
          <w:rPr>
            <w:rFonts w:ascii="SimSun" w:eastAsia="SimSun" w:hAnsi="SimSun" w:cs="SimSun"/>
            <w:b/>
            <w:bCs/>
            <w:noProof w:val="0"/>
            <w:snapToGrid/>
            <w:color w:val="0000EE"/>
            <w:kern w:val="0"/>
            <w:sz w:val="30"/>
            <w:szCs w:val="30"/>
            <w:u w:val="single" w:color="0000EE"/>
          </w:rPr>
          <w:t>https://d.book118.com/468037026042006036</w:t>
        </w:r>
      </w:hyperlink>
    </w:p>
    <w:p>
      <w:pPr>
        <w:pStyle w:val="BodyText"/>
        <w:spacing w:before="182" w:line="357" w:lineRule="auto"/>
        <w:ind w:right="78" w:firstLine="419"/>
      </w:pPr>
    </w:p>
    <w:sectPr>
      <w:footerReference w:type="default" r:id="rId18"/>
      <w:pgSz w:w="11910" w:h="16840"/>
      <w:pgMar w:top="1431" w:right="1635" w:bottom="1008" w:left="1700" w:header="0" w:footer="869" w:gutter="0"/>
      <w:pgNumType w:start="1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209"/>
      <w:rPr>
        <w:sz w:val="14"/>
        <w:szCs w:val="14"/>
      </w:rPr>
    </w:pPr>
    <w:r>
      <w:rPr>
        <w:sz w:val="14"/>
        <w:szCs w:val="14"/>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199"/>
      <w:rPr>
        <w:sz w:val="15"/>
        <w:szCs w:val="15"/>
      </w:rPr>
    </w:pPr>
    <w:r>
      <w:rPr>
        <w:sz w:val="15"/>
        <w:szCs w:val="15"/>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199"/>
      <w:rPr>
        <w:sz w:val="15"/>
        <w:szCs w:val="15"/>
      </w:rPr>
    </w:pPr>
    <w:r>
      <w:rPr>
        <w:sz w:val="15"/>
        <w:szCs w:val="15"/>
      </w:rPr>
      <w:t>3</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199"/>
      <w:rPr>
        <w:sz w:val="15"/>
        <w:szCs w:val="15"/>
      </w:rPr>
    </w:pPr>
    <w:r>
      <w:rPr>
        <w:sz w:val="15"/>
        <w:szCs w:val="15"/>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4189"/>
      <w:rPr>
        <w:sz w:val="14"/>
        <w:szCs w:val="14"/>
      </w:rPr>
    </w:pPr>
    <w:r>
      <w:rPr>
        <w:sz w:val="14"/>
        <w:szCs w:val="14"/>
      </w:rPr>
      <w:t>4</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4189"/>
      <w:rPr>
        <w:sz w:val="14"/>
        <w:szCs w:val="14"/>
      </w:rPr>
    </w:pPr>
    <w:r>
      <w:rPr>
        <w:sz w:val="14"/>
        <w:szCs w:val="14"/>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4209"/>
      <w:rPr>
        <w:sz w:val="15"/>
        <w:szCs w:val="15"/>
      </w:rPr>
    </w:pPr>
    <w:r>
      <w:rPr>
        <w:sz w:val="15"/>
        <w:szCs w:val="15"/>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4209"/>
      <w:rPr>
        <w:sz w:val="15"/>
        <w:szCs w:val="15"/>
      </w:rPr>
    </w:pPr>
    <w:r>
      <w:rPr>
        <w:sz w:val="15"/>
        <w:szCs w:val="15"/>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199"/>
      <w:rPr>
        <w:sz w:val="15"/>
        <w:szCs w:val="15"/>
      </w:rPr>
    </w:pPr>
    <w:r>
      <w:rPr>
        <w:sz w:val="15"/>
        <w:szCs w:val="15"/>
      </w:rPr>
      <w:t>6</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4199"/>
      <w:rPr>
        <w:sz w:val="14"/>
        <w:szCs w:val="14"/>
      </w:rPr>
    </w:pPr>
    <w:r>
      <w:rPr>
        <w:sz w:val="14"/>
        <w:szCs w:val="14"/>
      </w:rPr>
      <w:t>7</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4199"/>
      <w:rPr>
        <w:sz w:val="14"/>
        <w:szCs w:val="14"/>
      </w:rPr>
    </w:pPr>
    <w:r>
      <w:rPr>
        <w:sz w:val="14"/>
        <w:szCs w:val="14"/>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4179"/>
      <w:rPr>
        <w:sz w:val="14"/>
        <w:szCs w:val="14"/>
      </w:rPr>
    </w:pPr>
    <w:r>
      <w:rPr>
        <w:sz w:val="14"/>
        <w:szCs w:val="14"/>
      </w:rPr>
      <w:t>8</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image" Target="media/image1.jpeg" /><Relationship Id="rId13" Type="http://schemas.openxmlformats.org/officeDocument/2006/relationships/footer" Target="footer9.xml" /><Relationship Id="rId14" Type="http://schemas.openxmlformats.org/officeDocument/2006/relationships/hyperlink" Target="6.2.1.1" TargetMode="Externa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hyperlink" Target="https://d.book118.com/468037026042006036" TargetMode="External" /><Relationship Id="rId18" Type="http://schemas.openxmlformats.org/officeDocument/2006/relationships/footer" Target="footer12.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2024-02-17T21:57:02Z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2024-02-17T21:57:03Z</vt:filetime>
  </property>
  <property fmtid="{D5CDD505-2E9C-101B-9397-08002B2CF9AE}" pid="3" name="CRO">
    <vt:lpwstr>wqlLaW5nc29mdCBQREYgdG8gV1BTIDkw</vt:lpwstr>
  </property>
  <property fmtid="{D5CDD505-2E9C-101B-9397-08002B2CF9AE}" pid="4" name="UsrData">
    <vt:lpwstr>65d0bb28ead9b8001fec0efawl</vt:lpwstr>
  </property>
</Properties>
</file>