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特殊功能的微生物制剂缓释新型肥料项目规划设计方案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8" w:history="1">
        <w:r>
          <w:rPr>
            <w:rFonts w:ascii="仿宋" w:eastAsia="仿宋" w:hAnsi="仿宋" w:cs="仿宋" w:hint="eastAsia"/>
            <w:lang w:eastAsia="zh-CN"/>
          </w:rPr>
          <w:t>概论</w:t>
        </w:r>
        <w:r>
          <w:tab/>
        </w:r>
        <w:r>
          <w:fldChar w:fldCharType="begin"/>
        </w:r>
        <w:r>
          <w:instrText xml:space="preserve"> PAGEREF _Toc10028 \h </w:instrText>
        </w:r>
        <w:r>
          <w:fldChar w:fldCharType="separate"/>
        </w:r>
        <w:r>
          <w:t>3</w:t>
        </w:r>
        <w:r>
          <w:fldChar w:fldCharType="end"/>
        </w:r>
      </w:hyperlink>
    </w:p>
    <w:p>
      <w:pPr>
        <w:pStyle w:val="TOC1"/>
        <w:tabs>
          <w:tab w:val="right" w:leader="dot" w:pos="8306"/>
        </w:tabs>
      </w:pPr>
      <w:hyperlink w:anchor="_Toc15444" w:history="1">
        <w:r>
          <w:rPr>
            <w:rFonts w:ascii="仿宋" w:eastAsia="仿宋" w:hAnsi="仿宋" w:cs="仿宋" w:hint="eastAsia"/>
            <w:lang w:eastAsia="zh-CN"/>
          </w:rPr>
          <w:t>一、特殊功能的微生物制剂缓释新型肥料项目危机管理</w:t>
        </w:r>
        <w:r>
          <w:tab/>
        </w:r>
        <w:r>
          <w:fldChar w:fldCharType="begin"/>
        </w:r>
        <w:r>
          <w:instrText xml:space="preserve"> PAGEREF _Toc15444 \h </w:instrText>
        </w:r>
        <w:r>
          <w:fldChar w:fldCharType="separate"/>
        </w:r>
        <w:r>
          <w:t>3</w:t>
        </w:r>
        <w:r>
          <w:fldChar w:fldCharType="end"/>
        </w:r>
      </w:hyperlink>
    </w:p>
    <w:p>
      <w:pPr>
        <w:pStyle w:val="TOC2"/>
        <w:tabs>
          <w:tab w:val="right" w:leader="dot" w:pos="8306"/>
        </w:tabs>
      </w:pPr>
      <w:hyperlink w:anchor="_Toc28080" w:history="1">
        <w:r>
          <w:rPr>
            <w:rFonts w:ascii="仿宋" w:eastAsia="仿宋" w:hAnsi="仿宋" w:cs="仿宋" w:hint="eastAsia"/>
            <w:lang w:eastAsia="zh-CN"/>
          </w:rPr>
          <w:t>(一)、危机预警与识别</w:t>
        </w:r>
        <w:r>
          <w:tab/>
        </w:r>
        <w:r>
          <w:fldChar w:fldCharType="begin"/>
        </w:r>
        <w:r>
          <w:instrText xml:space="preserve"> PAGEREF _Toc28080 \h </w:instrText>
        </w:r>
        <w:r>
          <w:fldChar w:fldCharType="separate"/>
        </w:r>
        <w:r>
          <w:t>3</w:t>
        </w:r>
        <w:r>
          <w:fldChar w:fldCharType="end"/>
        </w:r>
      </w:hyperlink>
    </w:p>
    <w:p>
      <w:pPr>
        <w:pStyle w:val="TOC2"/>
        <w:tabs>
          <w:tab w:val="right" w:leader="dot" w:pos="8306"/>
        </w:tabs>
      </w:pPr>
      <w:hyperlink w:anchor="_Toc19604" w:history="1">
        <w:r>
          <w:rPr>
            <w:rFonts w:ascii="仿宋" w:eastAsia="仿宋" w:hAnsi="仿宋" w:cs="仿宋" w:hint="eastAsia"/>
            <w:lang w:eastAsia="zh-CN"/>
          </w:rPr>
          <w:t>(二)、危机应对与恢复</w:t>
        </w:r>
        <w:r>
          <w:tab/>
        </w:r>
        <w:r>
          <w:fldChar w:fldCharType="begin"/>
        </w:r>
        <w:r>
          <w:instrText xml:space="preserve"> PAGEREF _Toc19604 \h </w:instrText>
        </w:r>
        <w:r>
          <w:fldChar w:fldCharType="separate"/>
        </w:r>
        <w:r>
          <w:t>4</w:t>
        </w:r>
        <w:r>
          <w:fldChar w:fldCharType="end"/>
        </w:r>
      </w:hyperlink>
    </w:p>
    <w:p>
      <w:pPr>
        <w:pStyle w:val="TOC1"/>
        <w:tabs>
          <w:tab w:val="right" w:leader="dot" w:pos="8306"/>
        </w:tabs>
      </w:pPr>
      <w:hyperlink w:anchor="_Toc18096" w:history="1">
        <w:r>
          <w:rPr>
            <w:rFonts w:ascii="仿宋" w:eastAsia="仿宋" w:hAnsi="仿宋" w:cs="仿宋" w:hint="eastAsia"/>
            <w:lang w:eastAsia="zh-CN"/>
          </w:rPr>
          <w:t>二、特殊功能的微生物制剂缓释新型肥料项目绩效评估</w:t>
        </w:r>
        <w:r>
          <w:tab/>
        </w:r>
        <w:r>
          <w:fldChar w:fldCharType="begin"/>
        </w:r>
        <w:r>
          <w:instrText xml:space="preserve"> PAGEREF _Toc18096 \h </w:instrText>
        </w:r>
        <w:r>
          <w:fldChar w:fldCharType="separate"/>
        </w:r>
        <w:r>
          <w:t>6</w:t>
        </w:r>
        <w:r>
          <w:fldChar w:fldCharType="end"/>
        </w:r>
      </w:hyperlink>
    </w:p>
    <w:p>
      <w:pPr>
        <w:pStyle w:val="TOC2"/>
        <w:tabs>
          <w:tab w:val="right" w:leader="dot" w:pos="8306"/>
        </w:tabs>
      </w:pPr>
      <w:hyperlink w:anchor="_Toc1269" w:history="1">
        <w:r>
          <w:rPr>
            <w:rFonts w:ascii="仿宋" w:eastAsia="仿宋" w:hAnsi="仿宋" w:cs="仿宋" w:hint="eastAsia"/>
            <w:lang w:eastAsia="zh-CN"/>
          </w:rPr>
          <w:t>(一)、绩效评估指标</w:t>
        </w:r>
        <w:r>
          <w:tab/>
        </w:r>
        <w:r>
          <w:fldChar w:fldCharType="begin"/>
        </w:r>
        <w:r>
          <w:instrText xml:space="preserve"> PAGEREF _Toc1269 \h </w:instrText>
        </w:r>
        <w:r>
          <w:fldChar w:fldCharType="separate"/>
        </w:r>
        <w:r>
          <w:t>6</w:t>
        </w:r>
        <w:r>
          <w:fldChar w:fldCharType="end"/>
        </w:r>
      </w:hyperlink>
    </w:p>
    <w:p>
      <w:pPr>
        <w:pStyle w:val="TOC2"/>
        <w:tabs>
          <w:tab w:val="right" w:leader="dot" w:pos="8306"/>
        </w:tabs>
      </w:pPr>
      <w:hyperlink w:anchor="_Toc12683" w:history="1">
        <w:r>
          <w:rPr>
            <w:rFonts w:ascii="仿宋" w:eastAsia="仿宋" w:hAnsi="仿宋" w:cs="仿宋" w:hint="eastAsia"/>
            <w:lang w:eastAsia="zh-CN"/>
          </w:rPr>
          <w:t>(二)、绩效评估方法</w:t>
        </w:r>
        <w:r>
          <w:tab/>
        </w:r>
        <w:r>
          <w:fldChar w:fldCharType="begin"/>
        </w:r>
        <w:r>
          <w:instrText xml:space="preserve"> PAGEREF _Toc12683 \h </w:instrText>
        </w:r>
        <w:r>
          <w:fldChar w:fldCharType="separate"/>
        </w:r>
        <w:r>
          <w:t>7</w:t>
        </w:r>
        <w:r>
          <w:fldChar w:fldCharType="end"/>
        </w:r>
      </w:hyperlink>
    </w:p>
    <w:p>
      <w:pPr>
        <w:pStyle w:val="TOC2"/>
        <w:tabs>
          <w:tab w:val="right" w:leader="dot" w:pos="8306"/>
        </w:tabs>
      </w:pPr>
      <w:hyperlink w:anchor="_Toc28174" w:history="1">
        <w:r>
          <w:rPr>
            <w:rFonts w:ascii="仿宋" w:eastAsia="仿宋" w:hAnsi="仿宋" w:cs="仿宋" w:hint="eastAsia"/>
            <w:lang w:eastAsia="zh-CN"/>
          </w:rPr>
          <w:t>(三)、绩效评估周期</w:t>
        </w:r>
        <w:r>
          <w:tab/>
        </w:r>
        <w:r>
          <w:fldChar w:fldCharType="begin"/>
        </w:r>
        <w:r>
          <w:instrText xml:space="preserve"> PAGEREF _Toc28174 \h </w:instrText>
        </w:r>
        <w:r>
          <w:fldChar w:fldCharType="separate"/>
        </w:r>
        <w:r>
          <w:t>8</w:t>
        </w:r>
        <w:r>
          <w:fldChar w:fldCharType="end"/>
        </w:r>
      </w:hyperlink>
    </w:p>
    <w:p>
      <w:pPr>
        <w:pStyle w:val="TOC1"/>
        <w:tabs>
          <w:tab w:val="right" w:leader="dot" w:pos="8306"/>
        </w:tabs>
      </w:pPr>
      <w:hyperlink w:anchor="_Toc18530" w:history="1">
        <w:r>
          <w:rPr>
            <w:rFonts w:ascii="仿宋" w:eastAsia="仿宋" w:hAnsi="仿宋" w:cs="仿宋" w:hint="eastAsia"/>
            <w:lang w:eastAsia="zh-CN"/>
          </w:rPr>
          <w:t>三、特殊功能的微生物制剂缓释新型肥料项目文档管理</w:t>
        </w:r>
        <w:r>
          <w:tab/>
        </w:r>
        <w:r>
          <w:fldChar w:fldCharType="begin"/>
        </w:r>
        <w:r>
          <w:instrText xml:space="preserve"> PAGEREF _Toc18530 \h </w:instrText>
        </w:r>
        <w:r>
          <w:fldChar w:fldCharType="separate"/>
        </w:r>
        <w:r>
          <w:t>10</w:t>
        </w:r>
        <w:r>
          <w:fldChar w:fldCharType="end"/>
        </w:r>
      </w:hyperlink>
    </w:p>
    <w:p>
      <w:pPr>
        <w:pStyle w:val="TOC2"/>
        <w:tabs>
          <w:tab w:val="right" w:leader="dot" w:pos="8306"/>
        </w:tabs>
      </w:pPr>
      <w:hyperlink w:anchor="_Toc17852" w:history="1">
        <w:r>
          <w:rPr>
            <w:rFonts w:ascii="仿宋" w:eastAsia="仿宋" w:hAnsi="仿宋" w:cs="仿宋" w:hint="eastAsia"/>
            <w:lang w:eastAsia="zh-CN"/>
          </w:rPr>
          <w:t>(一)、文档编制与审查</w:t>
        </w:r>
        <w:r>
          <w:tab/>
        </w:r>
        <w:r>
          <w:fldChar w:fldCharType="begin"/>
        </w:r>
        <w:r>
          <w:instrText xml:space="preserve"> PAGEREF _Toc17852 \h </w:instrText>
        </w:r>
        <w:r>
          <w:fldChar w:fldCharType="separate"/>
        </w:r>
        <w:r>
          <w:t>10</w:t>
        </w:r>
        <w:r>
          <w:fldChar w:fldCharType="end"/>
        </w:r>
      </w:hyperlink>
    </w:p>
    <w:p>
      <w:pPr>
        <w:pStyle w:val="TOC2"/>
        <w:tabs>
          <w:tab w:val="right" w:leader="dot" w:pos="8306"/>
        </w:tabs>
      </w:pPr>
      <w:hyperlink w:anchor="_Toc13533" w:history="1">
        <w:r>
          <w:rPr>
            <w:rFonts w:ascii="仿宋" w:eastAsia="仿宋" w:hAnsi="仿宋" w:cs="仿宋" w:hint="eastAsia"/>
            <w:lang w:eastAsia="zh-CN"/>
          </w:rPr>
          <w:t>(二)、文档发布与分发</w:t>
        </w:r>
        <w:r>
          <w:tab/>
        </w:r>
        <w:r>
          <w:fldChar w:fldCharType="begin"/>
        </w:r>
        <w:r>
          <w:instrText xml:space="preserve"> PAGEREF _Toc13533 \h </w:instrText>
        </w:r>
        <w:r>
          <w:fldChar w:fldCharType="separate"/>
        </w:r>
        <w:r>
          <w:t>11</w:t>
        </w:r>
        <w:r>
          <w:fldChar w:fldCharType="end"/>
        </w:r>
      </w:hyperlink>
    </w:p>
    <w:p>
      <w:pPr>
        <w:pStyle w:val="TOC2"/>
        <w:tabs>
          <w:tab w:val="right" w:leader="dot" w:pos="8306"/>
        </w:tabs>
      </w:pPr>
      <w:hyperlink w:anchor="_Toc19802" w:history="1">
        <w:r>
          <w:rPr>
            <w:rFonts w:ascii="仿宋" w:eastAsia="仿宋" w:hAnsi="仿宋" w:cs="仿宋" w:hint="eastAsia"/>
            <w:lang w:eastAsia="zh-CN"/>
          </w:rPr>
          <w:t>(三)、文档存档与归档</w:t>
        </w:r>
        <w:r>
          <w:tab/>
        </w:r>
        <w:r>
          <w:fldChar w:fldCharType="begin"/>
        </w:r>
        <w:r>
          <w:instrText xml:space="preserve"> PAGEREF _Toc19802 \h </w:instrText>
        </w:r>
        <w:r>
          <w:fldChar w:fldCharType="separate"/>
        </w:r>
        <w:r>
          <w:t>12</w:t>
        </w:r>
        <w:r>
          <w:fldChar w:fldCharType="end"/>
        </w:r>
      </w:hyperlink>
    </w:p>
    <w:p>
      <w:pPr>
        <w:pStyle w:val="TOC1"/>
        <w:tabs>
          <w:tab w:val="right" w:leader="dot" w:pos="8306"/>
        </w:tabs>
      </w:pPr>
      <w:hyperlink w:anchor="_Toc16371" w:history="1">
        <w:r>
          <w:rPr>
            <w:rFonts w:ascii="仿宋" w:eastAsia="仿宋" w:hAnsi="仿宋" w:cs="仿宋" w:hint="eastAsia"/>
            <w:lang w:eastAsia="zh-CN"/>
          </w:rPr>
          <w:t>四、工艺说明</w:t>
        </w:r>
        <w:r>
          <w:tab/>
        </w:r>
        <w:r>
          <w:fldChar w:fldCharType="begin"/>
        </w:r>
        <w:r>
          <w:instrText xml:space="preserve"> PAGEREF _Toc16371 \h </w:instrText>
        </w:r>
        <w:r>
          <w:fldChar w:fldCharType="separate"/>
        </w:r>
        <w:r>
          <w:t>13</w:t>
        </w:r>
        <w:r>
          <w:fldChar w:fldCharType="end"/>
        </w:r>
      </w:hyperlink>
    </w:p>
    <w:p>
      <w:pPr>
        <w:pStyle w:val="TOC2"/>
        <w:tabs>
          <w:tab w:val="right" w:leader="dot" w:pos="8306"/>
        </w:tabs>
      </w:pPr>
      <w:hyperlink w:anchor="_Toc10982" w:history="1">
        <w:r>
          <w:rPr>
            <w:rFonts w:ascii="仿宋" w:eastAsia="仿宋" w:hAnsi="仿宋" w:cs="仿宋" w:hint="eastAsia"/>
            <w:lang w:eastAsia="zh-CN"/>
          </w:rPr>
          <w:t>(一)、技术管理特点</w:t>
        </w:r>
        <w:r>
          <w:tab/>
        </w:r>
        <w:r>
          <w:fldChar w:fldCharType="begin"/>
        </w:r>
        <w:r>
          <w:instrText xml:space="preserve"> PAGEREF _Toc10982 \h </w:instrText>
        </w:r>
        <w:r>
          <w:fldChar w:fldCharType="separate"/>
        </w:r>
        <w:r>
          <w:t>13</w:t>
        </w:r>
        <w:r>
          <w:fldChar w:fldCharType="end"/>
        </w:r>
      </w:hyperlink>
    </w:p>
    <w:p>
      <w:pPr>
        <w:pStyle w:val="TOC2"/>
        <w:tabs>
          <w:tab w:val="right" w:leader="dot" w:pos="8306"/>
        </w:tabs>
      </w:pPr>
      <w:hyperlink w:anchor="_Toc32005" w:history="1">
        <w:r>
          <w:rPr>
            <w:rFonts w:ascii="仿宋" w:eastAsia="仿宋" w:hAnsi="仿宋" w:cs="仿宋" w:hint="eastAsia"/>
            <w:lang w:eastAsia="zh-CN"/>
          </w:rPr>
          <w:t>(二)、特殊功能的微生物制剂缓释新型肥料项目工艺技术设计方案</w:t>
        </w:r>
        <w:r>
          <w:tab/>
        </w:r>
        <w:r>
          <w:fldChar w:fldCharType="begin"/>
        </w:r>
        <w:r>
          <w:instrText xml:space="preserve"> PAGEREF _Toc32005 \h </w:instrText>
        </w:r>
        <w:r>
          <w:fldChar w:fldCharType="separate"/>
        </w:r>
        <w:r>
          <w:t>15</w:t>
        </w:r>
        <w:r>
          <w:fldChar w:fldCharType="end"/>
        </w:r>
      </w:hyperlink>
    </w:p>
    <w:p>
      <w:pPr>
        <w:pStyle w:val="TOC2"/>
        <w:tabs>
          <w:tab w:val="right" w:leader="dot" w:pos="8306"/>
        </w:tabs>
      </w:pPr>
      <w:hyperlink w:anchor="_Toc31790" w:history="1">
        <w:r>
          <w:rPr>
            <w:rFonts w:ascii="仿宋" w:eastAsia="仿宋" w:hAnsi="仿宋" w:cs="仿宋" w:hint="eastAsia"/>
            <w:lang w:eastAsia="zh-CN"/>
          </w:rPr>
          <w:t>(三)、设备选型方案</w:t>
        </w:r>
        <w:r>
          <w:tab/>
        </w:r>
        <w:r>
          <w:fldChar w:fldCharType="begin"/>
        </w:r>
        <w:r>
          <w:instrText xml:space="preserve"> PAGEREF _Toc31790 \h </w:instrText>
        </w:r>
        <w:r>
          <w:fldChar w:fldCharType="separate"/>
        </w:r>
        <w:r>
          <w:t>16</w:t>
        </w:r>
        <w:r>
          <w:fldChar w:fldCharType="end"/>
        </w:r>
      </w:hyperlink>
    </w:p>
    <w:p>
      <w:pPr>
        <w:pStyle w:val="TOC1"/>
        <w:tabs>
          <w:tab w:val="right" w:leader="dot" w:pos="8306"/>
        </w:tabs>
      </w:pPr>
      <w:hyperlink w:anchor="_Toc21204" w:history="1">
        <w:r>
          <w:rPr>
            <w:rFonts w:ascii="仿宋" w:eastAsia="仿宋" w:hAnsi="仿宋" w:cs="仿宋" w:hint="eastAsia"/>
            <w:lang w:eastAsia="zh-CN"/>
          </w:rPr>
          <w:t>五、特殊功能的微生物制剂缓释新型肥料项目可持续发展</w:t>
        </w:r>
        <w:r>
          <w:tab/>
        </w:r>
        <w:r>
          <w:fldChar w:fldCharType="begin"/>
        </w:r>
        <w:r>
          <w:instrText xml:space="preserve"> PAGEREF _Toc21204 \h </w:instrText>
        </w:r>
        <w:r>
          <w:fldChar w:fldCharType="separate"/>
        </w:r>
        <w:r>
          <w:t>18</w:t>
        </w:r>
        <w:r>
          <w:fldChar w:fldCharType="end"/>
        </w:r>
      </w:hyperlink>
    </w:p>
    <w:p>
      <w:pPr>
        <w:pStyle w:val="TOC2"/>
        <w:tabs>
          <w:tab w:val="right" w:leader="dot" w:pos="8306"/>
        </w:tabs>
      </w:pPr>
      <w:hyperlink w:anchor="_Toc29811" w:history="1">
        <w:r>
          <w:rPr>
            <w:rFonts w:ascii="仿宋" w:eastAsia="仿宋" w:hAnsi="仿宋" w:cs="仿宋" w:hint="eastAsia"/>
            <w:lang w:eastAsia="zh-CN"/>
          </w:rPr>
          <w:t>(一)、可持续战略与实践</w:t>
        </w:r>
        <w:r>
          <w:tab/>
        </w:r>
        <w:r>
          <w:fldChar w:fldCharType="begin"/>
        </w:r>
        <w:r>
          <w:instrText xml:space="preserve"> PAGEREF _Toc29811 \h </w:instrText>
        </w:r>
        <w:r>
          <w:fldChar w:fldCharType="separate"/>
        </w:r>
        <w:r>
          <w:t>18</w:t>
        </w:r>
        <w:r>
          <w:fldChar w:fldCharType="end"/>
        </w:r>
      </w:hyperlink>
    </w:p>
    <w:p>
      <w:pPr>
        <w:pStyle w:val="TOC2"/>
        <w:tabs>
          <w:tab w:val="right" w:leader="dot" w:pos="8306"/>
        </w:tabs>
      </w:pPr>
      <w:hyperlink w:anchor="_Toc30994" w:history="1">
        <w:r>
          <w:rPr>
            <w:rFonts w:ascii="仿宋" w:eastAsia="仿宋" w:hAnsi="仿宋" w:cs="仿宋" w:hint="eastAsia"/>
            <w:lang w:eastAsia="zh-CN"/>
          </w:rPr>
          <w:t>(二)、环保与社会责任</w:t>
        </w:r>
        <w:r>
          <w:tab/>
        </w:r>
        <w:r>
          <w:fldChar w:fldCharType="begin"/>
        </w:r>
        <w:r>
          <w:instrText xml:space="preserve"> PAGEREF _Toc30994 \h </w:instrText>
        </w:r>
        <w:r>
          <w:fldChar w:fldCharType="separate"/>
        </w:r>
        <w:r>
          <w:t>19</w:t>
        </w:r>
        <w:r>
          <w:fldChar w:fldCharType="end"/>
        </w:r>
      </w:hyperlink>
    </w:p>
    <w:p>
      <w:pPr>
        <w:pStyle w:val="TOC1"/>
        <w:tabs>
          <w:tab w:val="right" w:leader="dot" w:pos="8306"/>
        </w:tabs>
      </w:pPr>
      <w:hyperlink w:anchor="_Toc24621" w:history="1">
        <w:r>
          <w:rPr>
            <w:rFonts w:ascii="仿宋" w:eastAsia="仿宋" w:hAnsi="仿宋" w:cs="仿宋" w:hint="eastAsia"/>
            <w:lang w:eastAsia="zh-CN"/>
          </w:rPr>
          <w:t>六、特殊功能的微生物制剂缓释新型肥料项目土建工程</w:t>
        </w:r>
        <w:r>
          <w:tab/>
        </w:r>
        <w:r>
          <w:fldChar w:fldCharType="begin"/>
        </w:r>
        <w:r>
          <w:instrText xml:space="preserve"> PAGEREF _Toc24621 \h </w:instrText>
        </w:r>
        <w:r>
          <w:fldChar w:fldCharType="separate"/>
        </w:r>
        <w:r>
          <w:t>20</w:t>
        </w:r>
        <w:r>
          <w:fldChar w:fldCharType="end"/>
        </w:r>
      </w:hyperlink>
    </w:p>
    <w:p>
      <w:pPr>
        <w:pStyle w:val="TOC2"/>
        <w:tabs>
          <w:tab w:val="right" w:leader="dot" w:pos="8306"/>
        </w:tabs>
      </w:pPr>
      <w:hyperlink w:anchor="_Toc30630" w:history="1">
        <w:r>
          <w:rPr>
            <w:rFonts w:ascii="仿宋" w:eastAsia="仿宋" w:hAnsi="仿宋" w:cs="仿宋" w:hint="eastAsia"/>
            <w:lang w:eastAsia="zh-CN"/>
          </w:rPr>
          <w:t>(一)、建筑工程设计原则</w:t>
        </w:r>
        <w:r>
          <w:tab/>
        </w:r>
        <w:r>
          <w:fldChar w:fldCharType="begin"/>
        </w:r>
        <w:r>
          <w:instrText xml:space="preserve"> PAGEREF _Toc30630 \h </w:instrText>
        </w:r>
        <w:r>
          <w:fldChar w:fldCharType="separate"/>
        </w:r>
        <w:r>
          <w:t>20</w:t>
        </w:r>
        <w:r>
          <w:fldChar w:fldCharType="end"/>
        </w:r>
      </w:hyperlink>
    </w:p>
    <w:p>
      <w:pPr>
        <w:pStyle w:val="TOC2"/>
        <w:tabs>
          <w:tab w:val="right" w:leader="dot" w:pos="8306"/>
        </w:tabs>
      </w:pPr>
      <w:hyperlink w:anchor="_Toc1997" w:history="1">
        <w:r>
          <w:rPr>
            <w:rFonts w:ascii="仿宋" w:eastAsia="仿宋" w:hAnsi="仿宋" w:cs="仿宋" w:hint="eastAsia"/>
            <w:lang w:eastAsia="zh-CN"/>
          </w:rPr>
          <w:t>(二)、土建工程设计年限及安全等级</w:t>
        </w:r>
        <w:r>
          <w:tab/>
        </w:r>
        <w:r>
          <w:fldChar w:fldCharType="begin"/>
        </w:r>
        <w:r>
          <w:instrText xml:space="preserve"> PAGEREF _Toc1997 \h </w:instrText>
        </w:r>
        <w:r>
          <w:fldChar w:fldCharType="separate"/>
        </w:r>
        <w:r>
          <w:t>21</w:t>
        </w:r>
        <w:r>
          <w:fldChar w:fldCharType="end"/>
        </w:r>
      </w:hyperlink>
    </w:p>
    <w:p>
      <w:pPr>
        <w:pStyle w:val="TOC2"/>
        <w:tabs>
          <w:tab w:val="right" w:leader="dot" w:pos="8306"/>
        </w:tabs>
      </w:pPr>
      <w:hyperlink w:anchor="_Toc23766" w:history="1">
        <w:r>
          <w:rPr>
            <w:rFonts w:ascii="仿宋" w:eastAsia="仿宋" w:hAnsi="仿宋" w:cs="仿宋" w:hint="eastAsia"/>
            <w:lang w:eastAsia="zh-CN"/>
          </w:rPr>
          <w:t>(三)、建筑工程设计总体要求</w:t>
        </w:r>
        <w:r>
          <w:tab/>
        </w:r>
        <w:r>
          <w:fldChar w:fldCharType="begin"/>
        </w:r>
        <w:r>
          <w:instrText xml:space="preserve"> PAGEREF _Toc23766 \h </w:instrText>
        </w:r>
        <w:r>
          <w:fldChar w:fldCharType="separate"/>
        </w:r>
        <w:r>
          <w:t>22</w:t>
        </w:r>
        <w:r>
          <w:fldChar w:fldCharType="end"/>
        </w:r>
      </w:hyperlink>
    </w:p>
    <w:p>
      <w:pPr>
        <w:pStyle w:val="TOC2"/>
        <w:tabs>
          <w:tab w:val="right" w:leader="dot" w:pos="8306"/>
        </w:tabs>
      </w:pPr>
      <w:hyperlink w:anchor="_Toc29104" w:history="1">
        <w:r>
          <w:rPr>
            <w:rFonts w:ascii="仿宋" w:eastAsia="仿宋" w:hAnsi="仿宋" w:cs="仿宋" w:hint="eastAsia"/>
            <w:lang w:eastAsia="zh-CN"/>
          </w:rPr>
          <w:t>(四)、土建工程建设指标</w:t>
        </w:r>
        <w:r>
          <w:tab/>
        </w:r>
        <w:r>
          <w:fldChar w:fldCharType="begin"/>
        </w:r>
        <w:r>
          <w:instrText xml:space="preserve"> PAGEREF _Toc29104 \h </w:instrText>
        </w:r>
        <w:r>
          <w:fldChar w:fldCharType="separate"/>
        </w:r>
        <w:r>
          <w:t>23</w:t>
        </w:r>
        <w:r>
          <w:fldChar w:fldCharType="end"/>
        </w:r>
      </w:hyperlink>
    </w:p>
    <w:p>
      <w:pPr>
        <w:pStyle w:val="TOC1"/>
        <w:tabs>
          <w:tab w:val="right" w:leader="dot" w:pos="8306"/>
        </w:tabs>
      </w:pPr>
      <w:hyperlink w:anchor="_Toc18930" w:history="1">
        <w:r>
          <w:rPr>
            <w:rFonts w:ascii="仿宋" w:eastAsia="仿宋" w:hAnsi="仿宋" w:cs="仿宋" w:hint="eastAsia"/>
            <w:lang w:eastAsia="zh-CN"/>
          </w:rPr>
          <w:t>七、特殊功能的微生物制剂缓释新型肥料项目人力资源培养与发展</w:t>
        </w:r>
        <w:r>
          <w:tab/>
        </w:r>
        <w:r>
          <w:fldChar w:fldCharType="begin"/>
        </w:r>
        <w:r>
          <w:instrText xml:space="preserve"> PAGEREF _Toc18930 \h </w:instrText>
        </w:r>
        <w:r>
          <w:fldChar w:fldCharType="separate"/>
        </w:r>
        <w:r>
          <w:t>23</w:t>
        </w:r>
        <w:r>
          <w:fldChar w:fldCharType="end"/>
        </w:r>
      </w:hyperlink>
    </w:p>
    <w:p>
      <w:pPr>
        <w:pStyle w:val="TOC2"/>
        <w:tabs>
          <w:tab w:val="right" w:leader="dot" w:pos="8306"/>
        </w:tabs>
      </w:pPr>
      <w:hyperlink w:anchor="_Toc17578" w:history="1">
        <w:r>
          <w:rPr>
            <w:rFonts w:ascii="仿宋" w:eastAsia="仿宋" w:hAnsi="仿宋" w:cs="仿宋" w:hint="eastAsia"/>
            <w:lang w:eastAsia="zh-CN"/>
          </w:rPr>
          <w:t>(一)、人才需求与规划</w:t>
        </w:r>
        <w:r>
          <w:tab/>
        </w:r>
        <w:r>
          <w:fldChar w:fldCharType="begin"/>
        </w:r>
        <w:r>
          <w:instrText xml:space="preserve"> PAGEREF _Toc17578 \h </w:instrText>
        </w:r>
        <w:r>
          <w:fldChar w:fldCharType="separate"/>
        </w:r>
        <w:r>
          <w:t>23</w:t>
        </w:r>
        <w:r>
          <w:fldChar w:fldCharType="end"/>
        </w:r>
      </w:hyperlink>
    </w:p>
    <w:p>
      <w:pPr>
        <w:pStyle w:val="TOC2"/>
        <w:tabs>
          <w:tab w:val="right" w:leader="dot" w:pos="8306"/>
        </w:tabs>
      </w:pPr>
      <w:hyperlink w:anchor="_Toc12859" w:history="1">
        <w:r>
          <w:rPr>
            <w:rFonts w:ascii="仿宋" w:eastAsia="仿宋" w:hAnsi="仿宋" w:cs="仿宋" w:hint="eastAsia"/>
            <w:lang w:eastAsia="zh-CN"/>
          </w:rPr>
          <w:t>(二)、培训与发展计划</w:t>
        </w:r>
        <w:r>
          <w:tab/>
        </w:r>
        <w:r>
          <w:fldChar w:fldCharType="begin"/>
        </w:r>
        <w:r>
          <w:instrText xml:space="preserve"> PAGEREF _Toc12859 \h </w:instrText>
        </w:r>
        <w:r>
          <w:fldChar w:fldCharType="separate"/>
        </w:r>
        <w:r>
          <w:t>24</w:t>
        </w:r>
        <w:r>
          <w:fldChar w:fldCharType="end"/>
        </w:r>
      </w:hyperlink>
    </w:p>
    <w:p>
      <w:pPr>
        <w:pStyle w:val="TOC1"/>
        <w:tabs>
          <w:tab w:val="right" w:leader="dot" w:pos="8306"/>
        </w:tabs>
      </w:pPr>
      <w:hyperlink w:anchor="_Toc22470" w:history="1">
        <w:r>
          <w:rPr>
            <w:rFonts w:ascii="仿宋" w:eastAsia="仿宋" w:hAnsi="仿宋" w:cs="仿宋" w:hint="eastAsia"/>
            <w:lang w:eastAsia="zh-CN"/>
          </w:rPr>
          <w:t>八、特殊功能的微生物制剂缓释新型肥料项目风险管理</w:t>
        </w:r>
        <w:r>
          <w:tab/>
        </w:r>
        <w:r>
          <w:fldChar w:fldCharType="begin"/>
        </w:r>
        <w:r>
          <w:instrText xml:space="preserve"> PAGEREF _Toc22470 \h </w:instrText>
        </w:r>
        <w:r>
          <w:fldChar w:fldCharType="separate"/>
        </w:r>
        <w:r>
          <w:t>25</w:t>
        </w:r>
        <w:r>
          <w:fldChar w:fldCharType="end"/>
        </w:r>
      </w:hyperlink>
    </w:p>
    <w:p>
      <w:pPr>
        <w:pStyle w:val="TOC2"/>
        <w:tabs>
          <w:tab w:val="right" w:leader="dot" w:pos="8306"/>
        </w:tabs>
      </w:pPr>
      <w:hyperlink w:anchor="_Toc17946" w:history="1">
        <w:r>
          <w:rPr>
            <w:rFonts w:ascii="仿宋" w:eastAsia="仿宋" w:hAnsi="仿宋" w:cs="仿宋" w:hint="eastAsia"/>
            <w:lang w:eastAsia="zh-CN"/>
          </w:rPr>
          <w:t>(一)、风险识别与评估</w:t>
        </w:r>
        <w:r>
          <w:tab/>
        </w:r>
        <w:r>
          <w:fldChar w:fldCharType="begin"/>
        </w:r>
        <w:r>
          <w:instrText xml:space="preserve"> PAGEREF _Toc17946 \h </w:instrText>
        </w:r>
        <w:r>
          <w:fldChar w:fldCharType="separate"/>
        </w:r>
        <w:r>
          <w:t>25</w:t>
        </w:r>
        <w:r>
          <w:fldChar w:fldCharType="end"/>
        </w:r>
      </w:hyperlink>
    </w:p>
    <w:p>
      <w:pPr>
        <w:pStyle w:val="TOC2"/>
        <w:tabs>
          <w:tab w:val="right" w:leader="dot" w:pos="8306"/>
        </w:tabs>
      </w:pPr>
      <w:hyperlink w:anchor="_Toc8499" w:history="1">
        <w:r>
          <w:rPr>
            <w:rFonts w:ascii="仿宋" w:eastAsia="仿宋" w:hAnsi="仿宋" w:cs="仿宋" w:hint="eastAsia"/>
            <w:lang w:eastAsia="zh-CN"/>
          </w:rPr>
          <w:t>(二)、风险应对策略</w:t>
        </w:r>
        <w:r>
          <w:tab/>
        </w:r>
        <w:r>
          <w:fldChar w:fldCharType="begin"/>
        </w:r>
        <w:r>
          <w:instrText xml:space="preserve"> PAGEREF _Toc8499 \h </w:instrText>
        </w:r>
        <w:r>
          <w:fldChar w:fldCharType="separate"/>
        </w:r>
        <w:r>
          <w:t>26</w:t>
        </w:r>
        <w:r>
          <w:fldChar w:fldCharType="end"/>
        </w:r>
      </w:hyperlink>
    </w:p>
    <w:p>
      <w:pPr>
        <w:pStyle w:val="TOC2"/>
        <w:tabs>
          <w:tab w:val="right" w:leader="dot" w:pos="8306"/>
        </w:tabs>
      </w:pPr>
      <w:hyperlink w:anchor="_Toc5339" w:history="1">
        <w:r>
          <w:rPr>
            <w:rFonts w:ascii="仿宋" w:eastAsia="仿宋" w:hAnsi="仿宋" w:cs="仿宋" w:hint="eastAsia"/>
            <w:lang w:eastAsia="zh-CN"/>
          </w:rPr>
          <w:t>(三)、风险监控与控制</w:t>
        </w:r>
        <w:r>
          <w:tab/>
        </w:r>
        <w:r>
          <w:fldChar w:fldCharType="begin"/>
        </w:r>
        <w:r>
          <w:instrText xml:space="preserve"> PAGEREF _Toc5339 \h </w:instrText>
        </w:r>
        <w:r>
          <w:fldChar w:fldCharType="separate"/>
        </w:r>
        <w:r>
          <w:t>28</w:t>
        </w:r>
        <w:r>
          <w:fldChar w:fldCharType="end"/>
        </w:r>
      </w:hyperlink>
    </w:p>
    <w:p>
      <w:pPr>
        <w:pStyle w:val="TOC1"/>
        <w:tabs>
          <w:tab w:val="right" w:leader="dot" w:pos="8306"/>
        </w:tabs>
      </w:pPr>
      <w:hyperlink w:anchor="_Toc1402" w:history="1">
        <w:r>
          <w:rPr>
            <w:rFonts w:ascii="仿宋" w:eastAsia="仿宋" w:hAnsi="仿宋" w:cs="仿宋" w:hint="eastAsia"/>
            <w:lang w:eastAsia="zh-CN"/>
          </w:rPr>
          <w:t>九、生产安全保护</w:t>
        </w:r>
        <w:r>
          <w:tab/>
        </w:r>
        <w:r>
          <w:fldChar w:fldCharType="begin"/>
        </w:r>
        <w:r>
          <w:instrText xml:space="preserve"> PAGEREF _Toc1402 \h </w:instrText>
        </w:r>
        <w:r>
          <w:fldChar w:fldCharType="separate"/>
        </w:r>
        <w:r>
          <w:t>29</w:t>
        </w:r>
        <w:r>
          <w:fldChar w:fldCharType="end"/>
        </w:r>
      </w:hyperlink>
    </w:p>
    <w:p>
      <w:pPr>
        <w:pStyle w:val="TOC2"/>
        <w:tabs>
          <w:tab w:val="right" w:leader="dot" w:pos="8306"/>
        </w:tabs>
      </w:pPr>
      <w:hyperlink w:anchor="_Toc399" w:history="1">
        <w:r>
          <w:rPr>
            <w:rFonts w:ascii="仿宋" w:eastAsia="仿宋" w:hAnsi="仿宋" w:cs="仿宋" w:hint="eastAsia"/>
            <w:lang w:eastAsia="zh-CN"/>
          </w:rPr>
          <w:t>(一)、消防安全</w:t>
        </w:r>
        <w:r>
          <w:tab/>
        </w:r>
        <w:r>
          <w:fldChar w:fldCharType="begin"/>
        </w:r>
        <w:r>
          <w:instrText xml:space="preserve"> PAGEREF _Toc399 \h </w:instrText>
        </w:r>
        <w:r>
          <w:fldChar w:fldCharType="separate"/>
        </w:r>
        <w:r>
          <w:t>29</w:t>
        </w:r>
        <w:r>
          <w:fldChar w:fldCharType="end"/>
        </w:r>
      </w:hyperlink>
    </w:p>
    <w:p>
      <w:pPr>
        <w:pStyle w:val="TOC2"/>
        <w:tabs>
          <w:tab w:val="right" w:leader="dot" w:pos="8306"/>
        </w:tabs>
      </w:pPr>
      <w:hyperlink w:anchor="_Toc20838" w:history="1">
        <w:r>
          <w:rPr>
            <w:rFonts w:ascii="仿宋" w:eastAsia="仿宋" w:hAnsi="仿宋" w:cs="仿宋" w:hint="eastAsia"/>
            <w:lang w:eastAsia="zh-CN"/>
          </w:rPr>
          <w:t>(二)、防火防爆总图布置措施</w:t>
        </w:r>
        <w:r>
          <w:tab/>
        </w:r>
        <w:r>
          <w:fldChar w:fldCharType="begin"/>
        </w:r>
        <w:r>
          <w:instrText xml:space="preserve"> PAGEREF _Toc20838 \h </w:instrText>
        </w:r>
        <w:r>
          <w:fldChar w:fldCharType="separate"/>
        </w:r>
        <w:r>
          <w:t>31</w:t>
        </w:r>
        <w:r>
          <w:fldChar w:fldCharType="end"/>
        </w:r>
      </w:hyperlink>
    </w:p>
    <w:p>
      <w:pPr>
        <w:pStyle w:val="TOC2"/>
        <w:tabs>
          <w:tab w:val="right" w:leader="dot" w:pos="8306"/>
        </w:tabs>
      </w:pPr>
      <w:hyperlink w:anchor="_Toc19402" w:history="1">
        <w:r>
          <w:rPr>
            <w:rFonts w:ascii="仿宋" w:eastAsia="仿宋" w:hAnsi="仿宋" w:cs="仿宋" w:hint="eastAsia"/>
            <w:lang w:eastAsia="zh-CN"/>
          </w:rPr>
          <w:t>(三)、自然灾害防范措施</w:t>
        </w:r>
        <w:r>
          <w:tab/>
        </w:r>
        <w:r>
          <w:fldChar w:fldCharType="begin"/>
        </w:r>
        <w:r>
          <w:instrText xml:space="preserve"> PAGEREF _Toc19402 \h </w:instrText>
        </w:r>
        <w:r>
          <w:fldChar w:fldCharType="separate"/>
        </w:r>
        <w:r>
          <w:t>32</w:t>
        </w:r>
        <w:r>
          <w:fldChar w:fldCharType="end"/>
        </w:r>
      </w:hyperlink>
    </w:p>
    <w:p>
      <w:pPr>
        <w:pStyle w:val="TOC2"/>
        <w:tabs>
          <w:tab w:val="right" w:leader="dot" w:pos="8306"/>
        </w:tabs>
      </w:pPr>
      <w:hyperlink w:anchor="_Toc13125" w:history="1">
        <w:r>
          <w:rPr>
            <w:rFonts w:ascii="仿宋" w:eastAsia="仿宋" w:hAnsi="仿宋" w:cs="仿宋" w:hint="eastAsia"/>
            <w:lang w:eastAsia="zh-CN"/>
          </w:rPr>
          <w:t>(四)、安全色及安全标志使用要求</w:t>
        </w:r>
        <w:r>
          <w:tab/>
        </w:r>
        <w:r>
          <w:fldChar w:fldCharType="begin"/>
        </w:r>
        <w:r>
          <w:instrText xml:space="preserve"> PAGEREF _Toc13125 \h </w:instrText>
        </w:r>
        <w:r>
          <w:fldChar w:fldCharType="separate"/>
        </w:r>
        <w:r>
          <w:t>33</w:t>
        </w:r>
        <w:r>
          <w:fldChar w:fldCharType="end"/>
        </w:r>
      </w:hyperlink>
    </w:p>
    <w:p>
      <w:pPr>
        <w:pStyle w:val="TOC2"/>
        <w:tabs>
          <w:tab w:val="right" w:leader="dot" w:pos="8306"/>
        </w:tabs>
      </w:pPr>
      <w:hyperlink w:anchor="_Toc32185" w:history="1">
        <w:r>
          <w:rPr>
            <w:rFonts w:ascii="仿宋" w:eastAsia="仿宋" w:hAnsi="仿宋" w:cs="仿宋" w:hint="eastAsia"/>
            <w:lang w:eastAsia="zh-CN"/>
          </w:rPr>
          <w:t>(五)、防尘防毒措施</w:t>
        </w:r>
        <w:r>
          <w:tab/>
        </w:r>
        <w:r>
          <w:fldChar w:fldCharType="begin"/>
        </w:r>
        <w:r>
          <w:instrText xml:space="preserve"> PAGEREF _Toc32185 \h </w:instrText>
        </w:r>
        <w:r>
          <w:fldChar w:fldCharType="separate"/>
        </w:r>
        <w:r>
          <w:t>34</w:t>
        </w:r>
        <w:r>
          <w:fldChar w:fldCharType="end"/>
        </w:r>
      </w:hyperlink>
    </w:p>
    <w:p>
      <w:pPr>
        <w:pStyle w:val="TOC2"/>
        <w:tabs>
          <w:tab w:val="right" w:leader="dot" w:pos="8306"/>
        </w:tabs>
      </w:pPr>
      <w:hyperlink w:anchor="_Toc13750" w:history="1">
        <w:r>
          <w:rPr>
            <w:rFonts w:ascii="仿宋" w:eastAsia="仿宋" w:hAnsi="仿宋" w:cs="仿宋" w:hint="eastAsia"/>
            <w:lang w:eastAsia="zh-CN"/>
          </w:rPr>
          <w:t>(六)、防静电、触电防护及防雷措施</w:t>
        </w:r>
        <w:r>
          <w:tab/>
        </w:r>
        <w:r>
          <w:fldChar w:fldCharType="begin"/>
        </w:r>
        <w:r>
          <w:instrText xml:space="preserve"> PAGEREF _Toc13750 \h </w:instrText>
        </w:r>
        <w:r>
          <w:fldChar w:fldCharType="separate"/>
        </w:r>
        <w:r>
          <w:t>35</w:t>
        </w:r>
        <w:r>
          <w:fldChar w:fldCharType="end"/>
        </w:r>
      </w:hyperlink>
    </w:p>
    <w:p>
      <w:pPr>
        <w:pStyle w:val="TOC2"/>
        <w:tabs>
          <w:tab w:val="right" w:leader="dot" w:pos="8306"/>
        </w:tabs>
      </w:pPr>
      <w:hyperlink w:anchor="_Toc6178" w:history="1">
        <w:r>
          <w:rPr>
            <w:rFonts w:ascii="仿宋" w:eastAsia="仿宋" w:hAnsi="仿宋" w:cs="仿宋" w:hint="eastAsia"/>
            <w:lang w:eastAsia="zh-CN"/>
          </w:rPr>
          <w:t>(七)、机械设备安全保障措施</w:t>
        </w:r>
        <w:r>
          <w:tab/>
        </w:r>
        <w:r>
          <w:fldChar w:fldCharType="begin"/>
        </w:r>
        <w:r>
          <w:instrText xml:space="preserve"> PAGEREF _Toc6178 \h </w:instrText>
        </w:r>
        <w:r>
          <w:fldChar w:fldCharType="separate"/>
        </w:r>
        <w:r>
          <w:t>37</w:t>
        </w:r>
        <w:r>
          <w:fldChar w:fldCharType="end"/>
        </w:r>
      </w:hyperlink>
    </w:p>
    <w:p>
      <w:pPr>
        <w:pStyle w:val="TOC1"/>
        <w:tabs>
          <w:tab w:val="right" w:leader="dot" w:pos="8306"/>
        </w:tabs>
      </w:pPr>
      <w:hyperlink w:anchor="_Toc8292" w:history="1">
        <w:r>
          <w:rPr>
            <w:rFonts w:ascii="仿宋" w:eastAsia="仿宋" w:hAnsi="仿宋" w:cs="仿宋" w:hint="eastAsia"/>
            <w:lang w:eastAsia="zh-CN"/>
          </w:rPr>
          <w:t>十、特殊功能的微生物制剂缓释新型肥料项目计划安排</w:t>
        </w:r>
        <w:r>
          <w:tab/>
        </w:r>
        <w:r>
          <w:fldChar w:fldCharType="begin"/>
        </w:r>
        <w:r>
          <w:instrText xml:space="preserve"> PAGEREF _Toc8292 \h </w:instrText>
        </w:r>
        <w:r>
          <w:fldChar w:fldCharType="separate"/>
        </w:r>
        <w:r>
          <w:t>38</w:t>
        </w:r>
        <w:r>
          <w:fldChar w:fldCharType="end"/>
        </w:r>
      </w:hyperlink>
    </w:p>
    <w:p>
      <w:pPr>
        <w:pStyle w:val="TOC2"/>
        <w:tabs>
          <w:tab w:val="right" w:leader="dot" w:pos="8306"/>
        </w:tabs>
      </w:pPr>
      <w:hyperlink w:anchor="_Toc19712" w:history="1">
        <w:r>
          <w:rPr>
            <w:rFonts w:ascii="仿宋" w:eastAsia="仿宋" w:hAnsi="仿宋" w:cs="仿宋" w:hint="eastAsia"/>
            <w:lang w:eastAsia="zh-CN"/>
          </w:rPr>
          <w:t>(一)、建设周期</w:t>
        </w:r>
        <w:r>
          <w:tab/>
        </w:r>
        <w:r>
          <w:fldChar w:fldCharType="begin"/>
        </w:r>
        <w:r>
          <w:instrText xml:space="preserve"> PAGEREF _Toc19712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55" w:history="1">
        <w:r>
          <w:rPr>
            <w:rFonts w:ascii="仿宋" w:eastAsia="仿宋" w:hAnsi="仿宋" w:cs="仿宋" w:hint="eastAsia"/>
            <w:lang w:eastAsia="zh-CN"/>
          </w:rPr>
          <w:t>(二)、建设进度</w:t>
        </w:r>
        <w:r>
          <w:tab/>
        </w:r>
        <w:r>
          <w:fldChar w:fldCharType="begin"/>
        </w:r>
        <w:r>
          <w:instrText xml:space="preserve"> PAGEREF _Toc15155 \h </w:instrText>
        </w:r>
        <w:r>
          <w:fldChar w:fldCharType="separate"/>
        </w:r>
        <w:r>
          <w:t>40</w:t>
        </w:r>
        <w:r>
          <w:fldChar w:fldCharType="end"/>
        </w:r>
      </w:hyperlink>
    </w:p>
    <w:p>
      <w:pPr>
        <w:pStyle w:val="TOC2"/>
        <w:tabs>
          <w:tab w:val="right" w:leader="dot" w:pos="8306"/>
        </w:tabs>
      </w:pPr>
      <w:hyperlink w:anchor="_Toc2039" w:history="1">
        <w:r>
          <w:rPr>
            <w:rFonts w:ascii="仿宋" w:eastAsia="仿宋" w:hAnsi="仿宋" w:cs="仿宋" w:hint="eastAsia"/>
            <w:lang w:eastAsia="zh-CN"/>
          </w:rPr>
          <w:t>(三)、进度安排注意事项</w:t>
        </w:r>
        <w:r>
          <w:tab/>
        </w:r>
        <w:r>
          <w:fldChar w:fldCharType="begin"/>
        </w:r>
        <w:r>
          <w:instrText xml:space="preserve"> PAGEREF _Toc2039 \h </w:instrText>
        </w:r>
        <w:r>
          <w:fldChar w:fldCharType="separate"/>
        </w:r>
        <w:r>
          <w:t>41</w:t>
        </w:r>
        <w:r>
          <w:fldChar w:fldCharType="end"/>
        </w:r>
      </w:hyperlink>
    </w:p>
    <w:p>
      <w:pPr>
        <w:pStyle w:val="TOC2"/>
        <w:tabs>
          <w:tab w:val="right" w:leader="dot" w:pos="8306"/>
        </w:tabs>
      </w:pPr>
      <w:hyperlink w:anchor="_Toc16705" w:history="1">
        <w:r>
          <w:rPr>
            <w:rFonts w:ascii="仿宋" w:eastAsia="仿宋" w:hAnsi="仿宋" w:cs="仿宋" w:hint="eastAsia"/>
            <w:lang w:eastAsia="zh-CN"/>
          </w:rPr>
          <w:t>(四)、人力资源配置</w:t>
        </w:r>
        <w:r>
          <w:tab/>
        </w:r>
        <w:r>
          <w:fldChar w:fldCharType="begin"/>
        </w:r>
        <w:r>
          <w:instrText xml:space="preserve"> PAGEREF _Toc16705 \h </w:instrText>
        </w:r>
        <w:r>
          <w:fldChar w:fldCharType="separate"/>
        </w:r>
        <w:r>
          <w:t>43</w:t>
        </w:r>
        <w:r>
          <w:fldChar w:fldCharType="end"/>
        </w:r>
      </w:hyperlink>
    </w:p>
    <w:p>
      <w:pPr>
        <w:pStyle w:val="TOC1"/>
        <w:tabs>
          <w:tab w:val="right" w:leader="dot" w:pos="8306"/>
        </w:tabs>
      </w:pPr>
      <w:hyperlink w:anchor="_Toc17808" w:history="1">
        <w:r>
          <w:rPr>
            <w:rFonts w:ascii="仿宋" w:eastAsia="仿宋" w:hAnsi="仿宋" w:cs="仿宋" w:hint="eastAsia"/>
            <w:lang w:eastAsia="zh-CN"/>
          </w:rPr>
          <w:t>十一、特殊功能的微生物制剂缓释新型肥料项目技术管理</w:t>
        </w:r>
        <w:r>
          <w:tab/>
        </w:r>
        <w:r>
          <w:fldChar w:fldCharType="begin"/>
        </w:r>
        <w:r>
          <w:instrText xml:space="preserve"> PAGEREF _Toc17808 \h </w:instrText>
        </w:r>
        <w:r>
          <w:fldChar w:fldCharType="separate"/>
        </w:r>
        <w:r>
          <w:t>43</w:t>
        </w:r>
        <w:r>
          <w:fldChar w:fldCharType="end"/>
        </w:r>
      </w:hyperlink>
    </w:p>
    <w:p>
      <w:pPr>
        <w:pStyle w:val="TOC2"/>
        <w:tabs>
          <w:tab w:val="right" w:leader="dot" w:pos="8306"/>
        </w:tabs>
      </w:pPr>
      <w:hyperlink w:anchor="_Toc15184" w:history="1">
        <w:r>
          <w:rPr>
            <w:rFonts w:ascii="仿宋" w:eastAsia="仿宋" w:hAnsi="仿宋" w:cs="仿宋" w:hint="eastAsia"/>
            <w:lang w:eastAsia="zh-CN"/>
          </w:rPr>
          <w:t>(一)、技术方案选用方向</w:t>
        </w:r>
        <w:r>
          <w:tab/>
        </w:r>
        <w:r>
          <w:fldChar w:fldCharType="begin"/>
        </w:r>
        <w:r>
          <w:instrText xml:space="preserve"> PAGEREF _Toc15184 \h </w:instrText>
        </w:r>
        <w:r>
          <w:fldChar w:fldCharType="separate"/>
        </w:r>
        <w:r>
          <w:t>43</w:t>
        </w:r>
        <w:r>
          <w:fldChar w:fldCharType="end"/>
        </w:r>
      </w:hyperlink>
    </w:p>
    <w:p>
      <w:pPr>
        <w:pStyle w:val="TOC2"/>
        <w:tabs>
          <w:tab w:val="right" w:leader="dot" w:pos="8306"/>
        </w:tabs>
      </w:pPr>
      <w:hyperlink w:anchor="_Toc22645" w:history="1">
        <w:r>
          <w:rPr>
            <w:rFonts w:ascii="仿宋" w:eastAsia="仿宋" w:hAnsi="仿宋" w:cs="仿宋" w:hint="eastAsia"/>
            <w:lang w:eastAsia="zh-CN"/>
          </w:rPr>
          <w:t>(二)、工艺技术方案选用原则</w:t>
        </w:r>
        <w:r>
          <w:tab/>
        </w:r>
        <w:r>
          <w:fldChar w:fldCharType="begin"/>
        </w:r>
        <w:r>
          <w:instrText xml:space="preserve"> PAGEREF _Toc22645 \h </w:instrText>
        </w:r>
        <w:r>
          <w:fldChar w:fldCharType="separate"/>
        </w:r>
        <w:r>
          <w:t>45</w:t>
        </w:r>
        <w:r>
          <w:fldChar w:fldCharType="end"/>
        </w:r>
      </w:hyperlink>
    </w:p>
    <w:p>
      <w:pPr>
        <w:pStyle w:val="TOC2"/>
        <w:tabs>
          <w:tab w:val="right" w:leader="dot" w:pos="8306"/>
        </w:tabs>
      </w:pPr>
      <w:hyperlink w:anchor="_Toc12940" w:history="1">
        <w:r>
          <w:rPr>
            <w:rFonts w:ascii="仿宋" w:eastAsia="仿宋" w:hAnsi="仿宋" w:cs="仿宋" w:hint="eastAsia"/>
            <w:lang w:eastAsia="zh-CN"/>
          </w:rPr>
          <w:t>(三)、工艺技术方案要求</w:t>
        </w:r>
        <w:r>
          <w:tab/>
        </w:r>
        <w:r>
          <w:fldChar w:fldCharType="begin"/>
        </w:r>
        <w:r>
          <w:instrText xml:space="preserve"> PAGEREF _Toc12940 \h </w:instrText>
        </w:r>
        <w:r>
          <w:fldChar w:fldCharType="separate"/>
        </w:r>
        <w:r>
          <w:t>48</w:t>
        </w:r>
        <w:r>
          <w:fldChar w:fldCharType="end"/>
        </w:r>
      </w:hyperlink>
    </w:p>
    <w:p>
      <w:pPr>
        <w:pStyle w:val="TOC1"/>
        <w:tabs>
          <w:tab w:val="right" w:leader="dot" w:pos="8306"/>
        </w:tabs>
      </w:pPr>
      <w:hyperlink w:anchor="_Toc18853" w:history="1">
        <w:r>
          <w:rPr>
            <w:rFonts w:ascii="仿宋" w:eastAsia="仿宋" w:hAnsi="仿宋" w:cs="仿宋" w:hint="eastAsia"/>
            <w:lang w:eastAsia="zh-CN"/>
          </w:rPr>
          <w:t>十二、特殊功能的微生物制剂缓释新型肥料项目环境影响分析</w:t>
        </w:r>
        <w:r>
          <w:tab/>
        </w:r>
        <w:r>
          <w:fldChar w:fldCharType="begin"/>
        </w:r>
        <w:r>
          <w:instrText xml:space="preserve"> PAGEREF _Toc18853 \h </w:instrText>
        </w:r>
        <w:r>
          <w:fldChar w:fldCharType="separate"/>
        </w:r>
        <w:r>
          <w:t>50</w:t>
        </w:r>
        <w:r>
          <w:fldChar w:fldCharType="end"/>
        </w:r>
      </w:hyperlink>
    </w:p>
    <w:p>
      <w:pPr>
        <w:pStyle w:val="TOC2"/>
        <w:tabs>
          <w:tab w:val="right" w:leader="dot" w:pos="8306"/>
        </w:tabs>
      </w:pPr>
      <w:hyperlink w:anchor="_Toc9838" w:history="1">
        <w:r>
          <w:rPr>
            <w:rFonts w:ascii="仿宋" w:eastAsia="仿宋" w:hAnsi="仿宋" w:cs="仿宋" w:hint="eastAsia"/>
            <w:lang w:eastAsia="zh-CN"/>
          </w:rPr>
          <w:t>(一)、建设区域环境质量现状</w:t>
        </w:r>
        <w:r>
          <w:tab/>
        </w:r>
        <w:r>
          <w:fldChar w:fldCharType="begin"/>
        </w:r>
        <w:r>
          <w:instrText xml:space="preserve"> PAGEREF _Toc9838 \h </w:instrText>
        </w:r>
        <w:r>
          <w:fldChar w:fldCharType="separate"/>
        </w:r>
        <w:r>
          <w:t>50</w:t>
        </w:r>
        <w:r>
          <w:fldChar w:fldCharType="end"/>
        </w:r>
      </w:hyperlink>
    </w:p>
    <w:p>
      <w:pPr>
        <w:pStyle w:val="TOC2"/>
        <w:tabs>
          <w:tab w:val="right" w:leader="dot" w:pos="8306"/>
        </w:tabs>
      </w:pPr>
      <w:hyperlink w:anchor="_Toc13128" w:history="1">
        <w:r>
          <w:rPr>
            <w:rFonts w:ascii="仿宋" w:eastAsia="仿宋" w:hAnsi="仿宋" w:cs="仿宋" w:hint="eastAsia"/>
            <w:lang w:eastAsia="zh-CN"/>
          </w:rPr>
          <w:t>(二)、建设期环境保护</w:t>
        </w:r>
        <w:r>
          <w:tab/>
        </w:r>
        <w:r>
          <w:fldChar w:fldCharType="begin"/>
        </w:r>
        <w:r>
          <w:instrText xml:space="preserve"> PAGEREF _Toc13128 \h </w:instrText>
        </w:r>
        <w:r>
          <w:fldChar w:fldCharType="separate"/>
        </w:r>
        <w:r>
          <w:t>52</w:t>
        </w:r>
        <w:r>
          <w:fldChar w:fldCharType="end"/>
        </w:r>
      </w:hyperlink>
    </w:p>
    <w:p>
      <w:pPr>
        <w:pStyle w:val="TOC2"/>
        <w:tabs>
          <w:tab w:val="right" w:leader="dot" w:pos="8306"/>
        </w:tabs>
      </w:pPr>
      <w:hyperlink w:anchor="_Toc18123" w:history="1">
        <w:r>
          <w:rPr>
            <w:rFonts w:ascii="仿宋" w:eastAsia="仿宋" w:hAnsi="仿宋" w:cs="仿宋" w:hint="eastAsia"/>
            <w:lang w:eastAsia="zh-CN"/>
          </w:rPr>
          <w:t>(三)、运营期环境保护</w:t>
        </w:r>
        <w:r>
          <w:tab/>
        </w:r>
        <w:r>
          <w:fldChar w:fldCharType="begin"/>
        </w:r>
        <w:r>
          <w:instrText xml:space="preserve"> PAGEREF _Toc18123 \h </w:instrText>
        </w:r>
        <w:r>
          <w:fldChar w:fldCharType="separate"/>
        </w:r>
        <w:r>
          <w:t>53</w:t>
        </w:r>
        <w:r>
          <w:fldChar w:fldCharType="end"/>
        </w:r>
      </w:hyperlink>
    </w:p>
    <w:p>
      <w:pPr>
        <w:pStyle w:val="TOC2"/>
        <w:tabs>
          <w:tab w:val="right" w:leader="dot" w:pos="8306"/>
        </w:tabs>
      </w:pPr>
      <w:hyperlink w:anchor="_Toc13057" w:history="1">
        <w:r>
          <w:rPr>
            <w:rFonts w:ascii="仿宋" w:eastAsia="仿宋" w:hAnsi="仿宋" w:cs="仿宋" w:hint="eastAsia"/>
            <w:lang w:eastAsia="zh-CN"/>
          </w:rPr>
          <w:t>(四)、特殊功能的微生物制剂缓释新型肥料项目建设对区域经济的影响</w:t>
        </w:r>
        <w:r>
          <w:tab/>
        </w:r>
        <w:r>
          <w:fldChar w:fldCharType="begin"/>
        </w:r>
        <w:r>
          <w:instrText xml:space="preserve"> PAGEREF _Toc13057 \h </w:instrText>
        </w:r>
        <w:r>
          <w:fldChar w:fldCharType="separate"/>
        </w:r>
        <w:r>
          <w:t>55</w:t>
        </w:r>
        <w:r>
          <w:fldChar w:fldCharType="end"/>
        </w:r>
      </w:hyperlink>
    </w:p>
    <w:p>
      <w:pPr>
        <w:pStyle w:val="TOC2"/>
        <w:tabs>
          <w:tab w:val="right" w:leader="dot" w:pos="8306"/>
        </w:tabs>
      </w:pPr>
      <w:hyperlink w:anchor="_Toc15186" w:history="1">
        <w:r>
          <w:rPr>
            <w:rFonts w:ascii="仿宋" w:eastAsia="仿宋" w:hAnsi="仿宋" w:cs="仿宋" w:hint="eastAsia"/>
            <w:lang w:eastAsia="zh-CN"/>
          </w:rPr>
          <w:t>(五)、废弃物处理</w:t>
        </w:r>
        <w:r>
          <w:tab/>
        </w:r>
        <w:r>
          <w:fldChar w:fldCharType="begin"/>
        </w:r>
        <w:r>
          <w:instrText xml:space="preserve"> PAGEREF _Toc15186 \h </w:instrText>
        </w:r>
        <w:r>
          <w:fldChar w:fldCharType="separate"/>
        </w:r>
        <w:r>
          <w:t>57</w:t>
        </w:r>
        <w:r>
          <w:fldChar w:fldCharType="end"/>
        </w:r>
      </w:hyperlink>
    </w:p>
    <w:p>
      <w:pPr>
        <w:pStyle w:val="TOC2"/>
        <w:tabs>
          <w:tab w:val="right" w:leader="dot" w:pos="8306"/>
        </w:tabs>
      </w:pPr>
      <w:hyperlink w:anchor="_Toc14323" w:history="1">
        <w:r>
          <w:rPr>
            <w:rFonts w:ascii="仿宋" w:eastAsia="仿宋" w:hAnsi="仿宋" w:cs="仿宋" w:hint="eastAsia"/>
            <w:lang w:eastAsia="zh-CN"/>
          </w:rPr>
          <w:t>(六)、特殊环境影响分析</w:t>
        </w:r>
        <w:r>
          <w:tab/>
        </w:r>
        <w:r>
          <w:fldChar w:fldCharType="begin"/>
        </w:r>
        <w:r>
          <w:instrText xml:space="preserve"> PAGEREF _Toc14323 \h </w:instrText>
        </w:r>
        <w:r>
          <w:fldChar w:fldCharType="separate"/>
        </w:r>
        <w:r>
          <w:t>58</w:t>
        </w:r>
        <w:r>
          <w:fldChar w:fldCharType="end"/>
        </w:r>
      </w:hyperlink>
    </w:p>
    <w:p>
      <w:pPr>
        <w:pStyle w:val="TOC2"/>
        <w:tabs>
          <w:tab w:val="right" w:leader="dot" w:pos="8306"/>
        </w:tabs>
      </w:pPr>
      <w:hyperlink w:anchor="_Toc19462" w:history="1">
        <w:r>
          <w:rPr>
            <w:rFonts w:ascii="仿宋" w:eastAsia="仿宋" w:hAnsi="仿宋" w:cs="仿宋" w:hint="eastAsia"/>
            <w:lang w:eastAsia="zh-CN"/>
          </w:rPr>
          <w:t>(七)、清洁生产</w:t>
        </w:r>
        <w:r>
          <w:tab/>
        </w:r>
        <w:r>
          <w:fldChar w:fldCharType="begin"/>
        </w:r>
        <w:r>
          <w:instrText xml:space="preserve"> PAGEREF _Toc19462 \h </w:instrText>
        </w:r>
        <w:r>
          <w:fldChar w:fldCharType="separate"/>
        </w:r>
        <w:r>
          <w:t>59</w:t>
        </w:r>
        <w:r>
          <w:fldChar w:fldCharType="end"/>
        </w:r>
      </w:hyperlink>
    </w:p>
    <w:p>
      <w:pPr>
        <w:pStyle w:val="TOC2"/>
        <w:tabs>
          <w:tab w:val="right" w:leader="dot" w:pos="8306"/>
        </w:tabs>
      </w:pPr>
      <w:hyperlink w:anchor="_Toc20950" w:history="1">
        <w:r>
          <w:rPr>
            <w:rFonts w:ascii="仿宋" w:eastAsia="仿宋" w:hAnsi="仿宋" w:cs="仿宋" w:hint="eastAsia"/>
            <w:lang w:eastAsia="zh-CN"/>
          </w:rPr>
          <w:t>(八)、环境保护综合评价</w:t>
        </w:r>
        <w:r>
          <w:tab/>
        </w:r>
        <w:r>
          <w:fldChar w:fldCharType="begin"/>
        </w:r>
        <w:r>
          <w:instrText xml:space="preserve"> PAGEREF _Toc20950 \h </w:instrText>
        </w:r>
        <w:r>
          <w:fldChar w:fldCharType="separate"/>
        </w:r>
        <w:r>
          <w:t>61</w:t>
        </w:r>
        <w:r>
          <w:fldChar w:fldCharType="end"/>
        </w:r>
      </w:hyperlink>
    </w:p>
    <w:p>
      <w:pPr>
        <w:pStyle w:val="TOC1"/>
        <w:tabs>
          <w:tab w:val="right" w:leader="dot" w:pos="8306"/>
        </w:tabs>
      </w:pPr>
      <w:hyperlink w:anchor="_Toc6776" w:history="1">
        <w:r>
          <w:rPr>
            <w:rFonts w:ascii="仿宋" w:eastAsia="仿宋" w:hAnsi="仿宋" w:cs="仿宋" w:hint="eastAsia"/>
            <w:lang w:eastAsia="zh-CN"/>
          </w:rPr>
          <w:t>十三、特殊功能的微生物制剂缓释新型肥料项目治理与监督</w:t>
        </w:r>
        <w:r>
          <w:tab/>
        </w:r>
        <w:r>
          <w:fldChar w:fldCharType="begin"/>
        </w:r>
        <w:r>
          <w:instrText xml:space="preserve"> PAGEREF _Toc6776 \h </w:instrText>
        </w:r>
        <w:r>
          <w:fldChar w:fldCharType="separate"/>
        </w:r>
        <w:r>
          <w:t>62</w:t>
        </w:r>
        <w:r>
          <w:fldChar w:fldCharType="end"/>
        </w:r>
      </w:hyperlink>
    </w:p>
    <w:p>
      <w:pPr>
        <w:pStyle w:val="TOC2"/>
        <w:tabs>
          <w:tab w:val="right" w:leader="dot" w:pos="8306"/>
        </w:tabs>
      </w:pPr>
      <w:hyperlink w:anchor="_Toc4559" w:history="1">
        <w:r>
          <w:rPr>
            <w:rFonts w:ascii="仿宋" w:eastAsia="仿宋" w:hAnsi="仿宋" w:cs="仿宋" w:hint="eastAsia"/>
            <w:lang w:eastAsia="zh-CN"/>
          </w:rPr>
          <w:t>(一)、特殊功能的微生物制剂缓释新型肥料项目治理结构</w:t>
        </w:r>
        <w:r>
          <w:tab/>
        </w:r>
        <w:r>
          <w:fldChar w:fldCharType="begin"/>
        </w:r>
        <w:r>
          <w:instrText xml:space="preserve"> PAGEREF _Toc4559 \h </w:instrText>
        </w:r>
        <w:r>
          <w:fldChar w:fldCharType="separate"/>
        </w:r>
        <w:r>
          <w:t>62</w:t>
        </w:r>
        <w:r>
          <w:fldChar w:fldCharType="end"/>
        </w:r>
      </w:hyperlink>
    </w:p>
    <w:p>
      <w:pPr>
        <w:pStyle w:val="TOC2"/>
        <w:tabs>
          <w:tab w:val="right" w:leader="dot" w:pos="8306"/>
        </w:tabs>
      </w:pPr>
      <w:hyperlink w:anchor="_Toc22980" w:history="1">
        <w:r>
          <w:rPr>
            <w:rFonts w:ascii="仿宋" w:eastAsia="仿宋" w:hAnsi="仿宋" w:cs="仿宋" w:hint="eastAsia"/>
            <w:lang w:eastAsia="zh-CN"/>
          </w:rPr>
          <w:t>(二)、监督与审计</w:t>
        </w:r>
        <w:r>
          <w:tab/>
        </w:r>
        <w:r>
          <w:fldChar w:fldCharType="begin"/>
        </w:r>
        <w:r>
          <w:instrText xml:space="preserve"> PAGEREF _Toc22980 \h </w:instrText>
        </w:r>
        <w:r>
          <w:fldChar w:fldCharType="separate"/>
        </w:r>
        <w:r>
          <w:t>64</w:t>
        </w:r>
        <w:r>
          <w:fldChar w:fldCharType="end"/>
        </w:r>
      </w:hyperlink>
    </w:p>
    <w:p>
      <w:pPr>
        <w:pStyle w:val="TOC1"/>
        <w:tabs>
          <w:tab w:val="right" w:leader="dot" w:pos="8306"/>
        </w:tabs>
      </w:pPr>
      <w:hyperlink w:anchor="_Toc21222" w:history="1">
        <w:r>
          <w:rPr>
            <w:rFonts w:ascii="仿宋" w:eastAsia="仿宋" w:hAnsi="仿宋" w:cs="仿宋" w:hint="eastAsia"/>
            <w:lang w:eastAsia="zh-CN"/>
          </w:rPr>
          <w:t>十四、特殊功能的微生物制剂缓释新型肥料项目变更管理</w:t>
        </w:r>
        <w:r>
          <w:tab/>
        </w:r>
        <w:r>
          <w:fldChar w:fldCharType="begin"/>
        </w:r>
        <w:r>
          <w:instrText xml:space="preserve"> PAGEREF _Toc21222 \h </w:instrText>
        </w:r>
        <w:r>
          <w:fldChar w:fldCharType="separate"/>
        </w:r>
        <w:r>
          <w:t>66</w:t>
        </w:r>
        <w:r>
          <w:fldChar w:fldCharType="end"/>
        </w:r>
      </w:hyperlink>
    </w:p>
    <w:p>
      <w:pPr>
        <w:pStyle w:val="TOC2"/>
        <w:tabs>
          <w:tab w:val="right" w:leader="dot" w:pos="8306"/>
        </w:tabs>
      </w:pPr>
      <w:hyperlink w:anchor="_Toc9130" w:history="1">
        <w:r>
          <w:rPr>
            <w:rFonts w:ascii="仿宋" w:eastAsia="仿宋" w:hAnsi="仿宋" w:cs="仿宋" w:hint="eastAsia"/>
            <w:lang w:eastAsia="zh-CN"/>
          </w:rPr>
          <w:t>(一)、变更申请与评估</w:t>
        </w:r>
        <w:r>
          <w:tab/>
        </w:r>
        <w:r>
          <w:fldChar w:fldCharType="begin"/>
        </w:r>
        <w:r>
          <w:instrText xml:space="preserve"> PAGEREF _Toc9130 \h </w:instrText>
        </w:r>
        <w:r>
          <w:fldChar w:fldCharType="separate"/>
        </w:r>
        <w:r>
          <w:t>66</w:t>
        </w:r>
        <w:r>
          <w:fldChar w:fldCharType="end"/>
        </w:r>
      </w:hyperlink>
    </w:p>
    <w:p>
      <w:pPr>
        <w:pStyle w:val="TOC2"/>
        <w:tabs>
          <w:tab w:val="right" w:leader="dot" w:pos="8306"/>
        </w:tabs>
      </w:pPr>
      <w:hyperlink w:anchor="_Toc12112" w:history="1">
        <w:r>
          <w:rPr>
            <w:rFonts w:ascii="仿宋" w:eastAsia="仿宋" w:hAnsi="仿宋" w:cs="仿宋" w:hint="eastAsia"/>
            <w:lang w:eastAsia="zh-CN"/>
          </w:rPr>
          <w:t>(二)、变更实施与控制</w:t>
        </w:r>
        <w:r>
          <w:tab/>
        </w:r>
        <w:r>
          <w:fldChar w:fldCharType="begin"/>
        </w:r>
        <w:r>
          <w:instrText xml:space="preserve"> PAGEREF _Toc12112 \h </w:instrText>
        </w:r>
        <w:r>
          <w:fldChar w:fldCharType="separate"/>
        </w:r>
        <w:r>
          <w:t>66</w:t>
        </w:r>
        <w:r>
          <w:fldChar w:fldCharType="end"/>
        </w:r>
      </w:hyperlink>
    </w:p>
    <w:p>
      <w:pPr>
        <w:pStyle w:val="TOC1"/>
        <w:tabs>
          <w:tab w:val="right" w:leader="dot" w:pos="8306"/>
        </w:tabs>
      </w:pPr>
      <w:hyperlink w:anchor="_Toc15159" w:history="1">
        <w:r>
          <w:rPr>
            <w:rFonts w:ascii="仿宋" w:eastAsia="仿宋" w:hAnsi="仿宋" w:cs="仿宋" w:hint="eastAsia"/>
            <w:lang w:eastAsia="zh-CN"/>
          </w:rPr>
          <w:t>十五、质量管理体系</w:t>
        </w:r>
        <w:r>
          <w:tab/>
        </w:r>
        <w:r>
          <w:fldChar w:fldCharType="begin"/>
        </w:r>
        <w:r>
          <w:instrText xml:space="preserve"> PAGEREF _Toc15159 \h </w:instrText>
        </w:r>
        <w:r>
          <w:fldChar w:fldCharType="separate"/>
        </w:r>
        <w:r>
          <w:t>67</w:t>
        </w:r>
        <w:r>
          <w:fldChar w:fldCharType="end"/>
        </w:r>
      </w:hyperlink>
    </w:p>
    <w:p>
      <w:pPr>
        <w:pStyle w:val="TOC2"/>
        <w:tabs>
          <w:tab w:val="right" w:leader="dot" w:pos="8306"/>
        </w:tabs>
      </w:pPr>
      <w:hyperlink w:anchor="_Toc20713" w:history="1">
        <w:r>
          <w:rPr>
            <w:rFonts w:ascii="仿宋" w:eastAsia="仿宋" w:hAnsi="仿宋" w:cs="仿宋" w:hint="eastAsia"/>
            <w:lang w:eastAsia="zh-CN"/>
          </w:rPr>
          <w:t>(一)、质量目标与方针</w:t>
        </w:r>
        <w:r>
          <w:tab/>
        </w:r>
        <w:r>
          <w:fldChar w:fldCharType="begin"/>
        </w:r>
        <w:r>
          <w:instrText xml:space="preserve"> PAGEREF _Toc20713 \h </w:instrText>
        </w:r>
        <w:r>
          <w:fldChar w:fldCharType="separate"/>
        </w:r>
        <w:r>
          <w:t>67</w:t>
        </w:r>
        <w:r>
          <w:fldChar w:fldCharType="end"/>
        </w:r>
      </w:hyperlink>
    </w:p>
    <w:p>
      <w:pPr>
        <w:pStyle w:val="TOC2"/>
        <w:tabs>
          <w:tab w:val="right" w:leader="dot" w:pos="8306"/>
        </w:tabs>
      </w:pPr>
      <w:hyperlink w:anchor="_Toc20946" w:history="1">
        <w:r>
          <w:rPr>
            <w:rFonts w:ascii="仿宋" w:eastAsia="仿宋" w:hAnsi="仿宋" w:cs="仿宋" w:hint="eastAsia"/>
            <w:lang w:eastAsia="zh-CN"/>
          </w:rPr>
          <w:t>(二)、质量管理责任</w:t>
        </w:r>
        <w:r>
          <w:tab/>
        </w:r>
        <w:r>
          <w:fldChar w:fldCharType="begin"/>
        </w:r>
        <w:r>
          <w:instrText xml:space="preserve"> PAGEREF _Toc20946 \h </w:instrText>
        </w:r>
        <w:r>
          <w:fldChar w:fldCharType="separate"/>
        </w:r>
        <w:r>
          <w:t>68</w:t>
        </w:r>
        <w:r>
          <w:fldChar w:fldCharType="end"/>
        </w:r>
      </w:hyperlink>
    </w:p>
    <w:p>
      <w:pPr>
        <w:pStyle w:val="TOC2"/>
        <w:tabs>
          <w:tab w:val="right" w:leader="dot" w:pos="8306"/>
        </w:tabs>
      </w:pPr>
      <w:hyperlink w:anchor="_Toc32395" w:history="1">
        <w:r>
          <w:rPr>
            <w:rFonts w:ascii="仿宋" w:eastAsia="仿宋" w:hAnsi="仿宋" w:cs="仿宋" w:hint="eastAsia"/>
            <w:lang w:eastAsia="zh-CN"/>
          </w:rPr>
          <w:t>(三)、质量管理体系文件</w:t>
        </w:r>
        <w:r>
          <w:tab/>
        </w:r>
        <w:r>
          <w:fldChar w:fldCharType="begin"/>
        </w:r>
        <w:r>
          <w:instrText xml:space="preserve"> PAGEREF _Toc32395 \h </w:instrText>
        </w:r>
        <w:r>
          <w:fldChar w:fldCharType="separate"/>
        </w:r>
        <w:r>
          <w:t>70</w:t>
        </w:r>
        <w:r>
          <w:fldChar w:fldCharType="end"/>
        </w:r>
      </w:hyperlink>
    </w:p>
    <w:p>
      <w:pPr>
        <w:pStyle w:val="TOC2"/>
        <w:tabs>
          <w:tab w:val="right" w:leader="dot" w:pos="8306"/>
        </w:tabs>
      </w:pPr>
      <w:hyperlink w:anchor="_Toc18868" w:history="1">
        <w:r>
          <w:rPr>
            <w:rFonts w:ascii="仿宋" w:eastAsia="仿宋" w:hAnsi="仿宋" w:cs="仿宋" w:hint="eastAsia"/>
            <w:lang w:eastAsia="zh-CN"/>
          </w:rPr>
          <w:t>(四)、质量培训与教育</w:t>
        </w:r>
        <w:r>
          <w:tab/>
        </w:r>
        <w:r>
          <w:fldChar w:fldCharType="begin"/>
        </w:r>
        <w:r>
          <w:instrText xml:space="preserve"> PAGEREF _Toc18868 \h </w:instrText>
        </w:r>
        <w:r>
          <w:fldChar w:fldCharType="separate"/>
        </w:r>
        <w:r>
          <w:t>72</w:t>
        </w:r>
        <w:r>
          <w:fldChar w:fldCharType="end"/>
        </w:r>
      </w:hyperlink>
    </w:p>
    <w:p>
      <w:pPr>
        <w:pStyle w:val="TOC2"/>
        <w:tabs>
          <w:tab w:val="right" w:leader="dot" w:pos="8306"/>
        </w:tabs>
      </w:pPr>
      <w:hyperlink w:anchor="_Toc5423" w:history="1">
        <w:r>
          <w:rPr>
            <w:rFonts w:ascii="仿宋" w:eastAsia="仿宋" w:hAnsi="仿宋" w:cs="仿宋" w:hint="eastAsia"/>
            <w:lang w:eastAsia="zh-CN"/>
          </w:rPr>
          <w:t>(五)、质量审核与评价</w:t>
        </w:r>
        <w:r>
          <w:tab/>
        </w:r>
        <w:r>
          <w:fldChar w:fldCharType="begin"/>
        </w:r>
        <w:r>
          <w:instrText xml:space="preserve"> PAGEREF _Toc5423 \h </w:instrText>
        </w:r>
        <w:r>
          <w:fldChar w:fldCharType="separate"/>
        </w:r>
        <w:r>
          <w:t>73</w:t>
        </w:r>
        <w:r>
          <w:fldChar w:fldCharType="end"/>
        </w:r>
      </w:hyperlink>
    </w:p>
    <w:p>
      <w:pPr>
        <w:pStyle w:val="TOC2"/>
        <w:tabs>
          <w:tab w:val="right" w:leader="dot" w:pos="8306"/>
        </w:tabs>
      </w:pPr>
      <w:hyperlink w:anchor="_Toc2317" w:history="1">
        <w:r>
          <w:rPr>
            <w:rFonts w:ascii="仿宋" w:eastAsia="仿宋" w:hAnsi="仿宋" w:cs="仿宋" w:hint="eastAsia"/>
            <w:lang w:eastAsia="zh-CN"/>
          </w:rPr>
          <w:t>(六)、不符合与纠正措施</w:t>
        </w:r>
        <w:r>
          <w:tab/>
        </w:r>
        <w:r>
          <w:fldChar w:fldCharType="begin"/>
        </w:r>
        <w:r>
          <w:instrText xml:space="preserve"> PAGEREF _Toc2317 \h </w:instrText>
        </w:r>
        <w:r>
          <w:fldChar w:fldCharType="separate"/>
        </w:r>
        <w:r>
          <w:t>75</w:t>
        </w:r>
        <w:r>
          <w:fldChar w:fldCharType="end"/>
        </w:r>
      </w:hyperlink>
    </w:p>
    <w:p>
      <w:pPr>
        <w:pStyle w:val="TOC1"/>
        <w:tabs>
          <w:tab w:val="right" w:leader="dot" w:pos="8306"/>
        </w:tabs>
      </w:pPr>
      <w:hyperlink w:anchor="_Toc21237" w:history="1">
        <w:r>
          <w:rPr>
            <w:rFonts w:ascii="仿宋" w:eastAsia="仿宋" w:hAnsi="仿宋" w:cs="仿宋" w:hint="eastAsia"/>
            <w:lang w:eastAsia="zh-CN"/>
          </w:rPr>
          <w:t>十六、营销与推广策略</w:t>
        </w:r>
        <w:r>
          <w:tab/>
        </w:r>
        <w:r>
          <w:fldChar w:fldCharType="begin"/>
        </w:r>
        <w:r>
          <w:instrText xml:space="preserve"> PAGEREF _Toc21237 \h </w:instrText>
        </w:r>
        <w:r>
          <w:fldChar w:fldCharType="separate"/>
        </w:r>
        <w:r>
          <w:t>76</w:t>
        </w:r>
        <w:r>
          <w:fldChar w:fldCharType="end"/>
        </w:r>
      </w:hyperlink>
    </w:p>
    <w:p>
      <w:pPr>
        <w:pStyle w:val="TOC2"/>
        <w:tabs>
          <w:tab w:val="right" w:leader="dot" w:pos="8306"/>
        </w:tabs>
      </w:pPr>
      <w:hyperlink w:anchor="_Toc19302" w:history="1">
        <w:r>
          <w:rPr>
            <w:rFonts w:ascii="仿宋" w:eastAsia="仿宋" w:hAnsi="仿宋" w:cs="仿宋" w:hint="eastAsia"/>
            <w:lang w:eastAsia="zh-CN"/>
          </w:rPr>
          <w:t>(一)、产品/服务定位与特点</w:t>
        </w:r>
        <w:r>
          <w:tab/>
        </w:r>
        <w:r>
          <w:fldChar w:fldCharType="begin"/>
        </w:r>
        <w:r>
          <w:instrText xml:space="preserve"> PAGEREF _Toc19302 \h </w:instrText>
        </w:r>
        <w:r>
          <w:fldChar w:fldCharType="separate"/>
        </w:r>
        <w:r>
          <w:t>76</w:t>
        </w:r>
        <w:r>
          <w:fldChar w:fldCharType="end"/>
        </w:r>
      </w:hyperlink>
    </w:p>
    <w:p>
      <w:pPr>
        <w:pStyle w:val="TOC2"/>
        <w:tabs>
          <w:tab w:val="right" w:leader="dot" w:pos="8306"/>
        </w:tabs>
      </w:pPr>
      <w:hyperlink w:anchor="_Toc19334" w:history="1">
        <w:r>
          <w:rPr>
            <w:rFonts w:ascii="仿宋" w:eastAsia="仿宋" w:hAnsi="仿宋" w:cs="仿宋" w:hint="eastAsia"/>
            <w:lang w:eastAsia="zh-CN"/>
          </w:rPr>
          <w:t>(二)、市场定位与竞争分析</w:t>
        </w:r>
        <w:r>
          <w:tab/>
        </w:r>
        <w:r>
          <w:fldChar w:fldCharType="begin"/>
        </w:r>
        <w:r>
          <w:instrText xml:space="preserve"> PAGEREF _Toc19334 \h </w:instrText>
        </w:r>
        <w:r>
          <w:fldChar w:fldCharType="separate"/>
        </w:r>
        <w:r>
          <w:t>77</w:t>
        </w:r>
        <w:r>
          <w:fldChar w:fldCharType="end"/>
        </w:r>
      </w:hyperlink>
    </w:p>
    <w:p>
      <w:pPr>
        <w:pStyle w:val="TOC2"/>
        <w:tabs>
          <w:tab w:val="right" w:leader="dot" w:pos="8306"/>
        </w:tabs>
      </w:pPr>
      <w:hyperlink w:anchor="_Toc2816" w:history="1">
        <w:r>
          <w:rPr>
            <w:rFonts w:ascii="仿宋" w:eastAsia="仿宋" w:hAnsi="仿宋" w:cs="仿宋" w:hint="eastAsia"/>
            <w:lang w:eastAsia="zh-CN"/>
          </w:rPr>
          <w:t>(三)、营销渠道与策略</w:t>
        </w:r>
        <w:r>
          <w:tab/>
        </w:r>
        <w:r>
          <w:fldChar w:fldCharType="begin"/>
        </w:r>
        <w:r>
          <w:instrText xml:space="preserve"> PAGEREF _Toc2816 \h </w:instrText>
        </w:r>
        <w:r>
          <w:fldChar w:fldCharType="separate"/>
        </w:r>
        <w:r>
          <w:t>79</w:t>
        </w:r>
        <w:r>
          <w:fldChar w:fldCharType="end"/>
        </w:r>
      </w:hyperlink>
    </w:p>
    <w:p>
      <w:pPr>
        <w:pStyle w:val="TOC2"/>
        <w:tabs>
          <w:tab w:val="right" w:leader="dot" w:pos="8306"/>
        </w:tabs>
      </w:pPr>
      <w:hyperlink w:anchor="_Toc22638" w:history="1">
        <w:r>
          <w:rPr>
            <w:rFonts w:ascii="仿宋" w:eastAsia="仿宋" w:hAnsi="仿宋" w:cs="仿宋" w:hint="eastAsia"/>
            <w:lang w:eastAsia="zh-CN"/>
          </w:rPr>
          <w:t>(四)、推广与宣传活动</w:t>
        </w:r>
        <w:r>
          <w:tab/>
        </w:r>
        <w:r>
          <w:fldChar w:fldCharType="begin"/>
        </w:r>
        <w:r>
          <w:instrText xml:space="preserve"> PAGEREF _Toc22638 \h </w:instrText>
        </w:r>
        <w:r>
          <w:fldChar w:fldCharType="separate"/>
        </w:r>
        <w:r>
          <w:t>80</w:t>
        </w:r>
        <w:r>
          <w:fldChar w:fldCharType="end"/>
        </w:r>
      </w:hyperlink>
    </w:p>
    <w:p>
      <w:pPr>
        <w:pStyle w:val="TOC1"/>
        <w:tabs>
          <w:tab w:val="right" w:leader="dot" w:pos="8306"/>
        </w:tabs>
      </w:pPr>
      <w:hyperlink w:anchor="_Toc10818" w:history="1">
        <w:r>
          <w:rPr>
            <w:rFonts w:ascii="仿宋" w:eastAsia="仿宋" w:hAnsi="仿宋" w:cs="仿宋" w:hint="eastAsia"/>
            <w:lang w:eastAsia="zh-CN"/>
          </w:rPr>
          <w:t>十七、供应链管理</w:t>
        </w:r>
        <w:r>
          <w:tab/>
        </w:r>
        <w:r>
          <w:fldChar w:fldCharType="begin"/>
        </w:r>
        <w:r>
          <w:instrText xml:space="preserve"> PAGEREF _Toc10818 \h </w:instrText>
        </w:r>
        <w:r>
          <w:fldChar w:fldCharType="separate"/>
        </w:r>
        <w:r>
          <w:t>85</w:t>
        </w:r>
        <w:r>
          <w:fldChar w:fldCharType="end"/>
        </w:r>
      </w:hyperlink>
    </w:p>
    <w:p>
      <w:pPr>
        <w:pStyle w:val="TOC2"/>
        <w:tabs>
          <w:tab w:val="right" w:leader="dot" w:pos="8306"/>
        </w:tabs>
      </w:pPr>
      <w:hyperlink w:anchor="_Toc11614" w:history="1">
        <w:r>
          <w:rPr>
            <w:rFonts w:ascii="仿宋" w:eastAsia="仿宋" w:hAnsi="仿宋" w:cs="仿宋" w:hint="eastAsia"/>
            <w:lang w:eastAsia="zh-CN"/>
          </w:rPr>
          <w:t>(一)、供应链战略规划</w:t>
        </w:r>
        <w:r>
          <w:tab/>
        </w:r>
        <w:r>
          <w:fldChar w:fldCharType="begin"/>
        </w:r>
        <w:r>
          <w:instrText xml:space="preserve"> PAGEREF _Toc11614 \h </w:instrText>
        </w:r>
        <w:r>
          <w:fldChar w:fldCharType="separate"/>
        </w:r>
        <w:r>
          <w:t>85</w:t>
        </w:r>
        <w:r>
          <w:fldChar w:fldCharType="end"/>
        </w:r>
      </w:hyperlink>
    </w:p>
    <w:p>
      <w:pPr>
        <w:pStyle w:val="TOC2"/>
        <w:tabs>
          <w:tab w:val="right" w:leader="dot" w:pos="8306"/>
        </w:tabs>
      </w:pPr>
      <w:hyperlink w:anchor="_Toc1391" w:history="1">
        <w:r>
          <w:rPr>
            <w:rFonts w:ascii="仿宋" w:eastAsia="仿宋" w:hAnsi="仿宋" w:cs="仿宋" w:hint="eastAsia"/>
            <w:lang w:eastAsia="zh-CN"/>
          </w:rPr>
          <w:t>(二)、供应商选择与合作</w:t>
        </w:r>
        <w:r>
          <w:tab/>
        </w:r>
        <w:r>
          <w:fldChar w:fldCharType="begin"/>
        </w:r>
        <w:r>
          <w:instrText xml:space="preserve"> PAGEREF _Toc1391 \h </w:instrText>
        </w:r>
        <w:r>
          <w:fldChar w:fldCharType="separate"/>
        </w:r>
        <w:r>
          <w:t>87</w:t>
        </w:r>
        <w:r>
          <w:fldChar w:fldCharType="end"/>
        </w:r>
      </w:hyperlink>
    </w:p>
    <w:p>
      <w:pPr>
        <w:pStyle w:val="TOC2"/>
        <w:tabs>
          <w:tab w:val="right" w:leader="dot" w:pos="8306"/>
        </w:tabs>
      </w:pPr>
      <w:hyperlink w:anchor="_Toc14206" w:history="1">
        <w:r>
          <w:rPr>
            <w:rFonts w:ascii="仿宋" w:eastAsia="仿宋" w:hAnsi="仿宋" w:cs="仿宋" w:hint="eastAsia"/>
            <w:lang w:eastAsia="zh-CN"/>
          </w:rPr>
          <w:t>(三)、物流与库存管理</w:t>
        </w:r>
        <w:r>
          <w:tab/>
        </w:r>
        <w:r>
          <w:fldChar w:fldCharType="begin"/>
        </w:r>
        <w:r>
          <w:instrText xml:space="preserve"> PAGEREF _Toc14206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44"/>
      <w:r>
        <w:rPr>
          <w:rFonts w:ascii="仿宋" w:eastAsia="仿宋" w:hAnsi="仿宋" w:cs="仿宋" w:hint="eastAsia"/>
          <w:sz w:val="28"/>
          <w:lang w:eastAsia="zh-CN"/>
        </w:rPr>
        <w:t>一、特殊功能的微生物制剂缓释新型肥料项目危机管理</w:t>
      </w:r>
      <w:bookmarkEnd w:id="2"/>
    </w:p>
    <w:p>
      <w:pPr>
        <w:pStyle w:val="Heading2"/>
        <w:rPr>
          <w:rFonts w:ascii="仿宋" w:eastAsia="仿宋" w:hAnsi="仿宋" w:cs="仿宋" w:hint="eastAsia"/>
          <w:lang w:eastAsia="zh-CN"/>
        </w:rPr>
      </w:pPr>
      <w:bookmarkStart w:id="3" w:name="_Toc280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的微生物制剂缓释新型肥料项目危机管理中，危机预警与识别是确保特殊功能的微生物制剂缓释新型肥料项目稳健运行的核心步骤。通过建立全面的监测机制，特殊功能的微生物制剂缓释新型肥料项目团队旨在及时发现和理解潜在的风险和危机因素，以便采取及时的预防和应对措施，确保特殊功能的微生物制剂缓释新型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功能的微生物制剂缓释新型肥料项目团队全面分析了整个特殊功能的微生物制剂缓释新型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功能的微生物制剂缓释新型肥料项目团队着重于明确定义特殊功能的微生物制剂缓释新型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功能的微生物制剂缓释新型肥料项目进展的持续监控，团队能够及时发现潜在问题并作出迅速反应。特殊功能的微生物制剂缓释新型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功能的微生物制剂缓释新型肥料项目得以更有序、可控地推进。</w:t>
      </w:r>
    </w:p>
    <w:p>
      <w:pPr>
        <w:pStyle w:val="Heading2"/>
        <w:ind w:firstLine="560" w:firstLineChars="200"/>
        <w:rPr>
          <w:rFonts w:ascii="仿宋" w:eastAsia="仿宋" w:hAnsi="仿宋" w:cs="仿宋" w:hint="eastAsia"/>
          <w:sz w:val="28"/>
          <w:lang w:eastAsia="zh-CN"/>
        </w:rPr>
      </w:pPr>
      <w:bookmarkStart w:id="4" w:name="_Toc196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在危机发生时，特殊功能的微生物制剂缓释新型肥料项目团队立即行动，成立了应急小组。该小组的任务是迅速制定并实施紧急应对措施，以最小化潜在损失。以下是采取的主要措施：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暂停特殊功能的微生物制剂缓释新型肥料项目进度：为遏制危机蔓延，特殊功能的微生物制剂缓释新型肥料项目暂时停止进行，以便全面评估当前状况。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资源重新分配：重新评估特殊功能的微生物制剂缓释新型肥料项目资源的分配，确保最大限度地减小损失。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实时沟通：与关键利益相关者建立实时沟通机制，向他们传递特殊功能的微生物制剂缓释新型肥料项目危机的实际状况，保障特殊功能的微生物制剂缓释新型肥料项目核心利益。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在紧急应对的同时，特殊功能的微生物制剂缓释新型肥料项目团队强调了团队协作和有效沟通的重要性。以下是团队协作的关键举措：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信息共享机制：建立了信息共享平台，确保团队成员能够及时获取特殊功能的微生物制剂缓释新型肥料项目危机的实时信息。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领导者沟通：特殊功能的微生物制剂缓释新型肥料项目领导者通过定期会议和即时沟通工具，指导团队应对危机，保持团队稳定运行。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随着危机得到初步控制，特殊功能的微生物制剂缓释新型肥料项目团队转向制定恢复计划，以确保特殊功能的微生物制剂缓释新型肥料项目能够从中迅速恢复。主要恢复计划包括：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修复受损的进度计划：重新评估特殊功能的微生物制剂缓释新型肥料项目进度，制定修复计划，确保特殊功能的微生物制剂缓释新型肥料项目尽快回归正常进程。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重新调整资源分配：优化资源分配，确保特殊功能的微生物制剂缓释新型肥料项目在有限资源下高效运转。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风险管理机制加强：对特殊功能的微生物制剂缓释新型肥料项目风险进行全面评估，制定更强化的风险管理策略，以预防未来可能的危机。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096"/>
      <w:r>
        <w:rPr>
          <w:rFonts w:ascii="仿宋" w:eastAsia="仿宋" w:hAnsi="仿宋" w:cs="仿宋" w:hint="eastAsia"/>
          <w:sz w:val="28"/>
          <w:lang w:eastAsia="zh-CN"/>
        </w:rPr>
        <w:t>二、特殊功能的微生物制剂缓释新型肥料项目绩效评估</w:t>
      </w:r>
      <w:bookmarkEnd w:id="5"/>
    </w:p>
    <w:p>
      <w:pPr>
        <w:pStyle w:val="Heading2"/>
        <w:rPr>
          <w:rFonts w:ascii="仿宋" w:eastAsia="仿宋" w:hAnsi="仿宋" w:cs="仿宋" w:hint="eastAsia"/>
          <w:lang w:eastAsia="zh-CN"/>
        </w:rPr>
      </w:pPr>
      <w:bookmarkStart w:id="6" w:name="_Toc12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的微生物制剂缓释新型肥料项目中，我们设计了一套全面的绩效评估指标，以确保特殊功能的微生物制剂缓释新型肥料项目的可控和成功交付。这些指标跨足特殊功能的微生物制剂缓释新型肥料项目目标、成本、进度和质量等多个维度，为我们提供了全面洞察特殊功能的微生物制剂缓释新型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目标达成率是我们关注的首要指标。我们设定了明确的目标，并通过定期监测和评估，迅速发现并应对潜在的目标偏差。这为特殊功能的微生物制剂缓释新型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成本绩效是另一个核心关注点。通过实际成本与预算成本的对比分析，我们深入了解成本差异的原因，及时调整资源分配，保持特殊功能的微生物制剂缓释新型肥料项目在经济效益方面的合理水平。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进度作为关键的绩效指标之一，得到了精心的关注。我们制定了详细的特殊功能的微生物制剂缓释新型肥料项目进度计划，并设立了进度符合度指标，确保实际进度与计划进度保持一致。这使我们能够快速发现和解决潜在的进度问题，保持特殊功能的微生物制剂缓释新型肥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殊功能的微生物制剂缓释新型肥料项目绩效的不可或缺的一环。我们引入了一系列的质量标准和客户满意度指标，以确保特殊功能的微生物制剂缓释新型肥料项目交付的成果在质量上达到或超越预期水平。通过持续监测这些指标，我们努力提升特殊功能的微生物制剂缓释新型肥料项目整体质量水平，为特殊功能的微生物制剂缓释新型肥料项目的成功交付提供有力保障。通过这些科学且全面的绩效评估，我们能够更好地引导特殊功能的微生物制剂缓释新型肥料项目的持续改进，确保特殊功能的微生物制剂缓释新型肥料项目目标的顺利达成。</w:t>
      </w:r>
    </w:p>
    <w:p>
      <w:pPr>
        <w:pStyle w:val="Heading2"/>
        <w:ind w:firstLine="560" w:firstLineChars="200"/>
        <w:rPr>
          <w:rFonts w:ascii="仿宋" w:eastAsia="仿宋" w:hAnsi="仿宋" w:cs="仿宋" w:hint="eastAsia"/>
          <w:sz w:val="28"/>
          <w:lang w:eastAsia="zh-CN"/>
        </w:rPr>
      </w:pPr>
      <w:bookmarkStart w:id="7" w:name="_Toc126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绩效评估是特殊功能的微生物制剂缓释新型肥料项目中的关键环节，为确保特殊功能的微生物制剂缓释新型肥料项目达到预期目标，我们采用了多层次、多维度的绩效评估方法。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特殊功能的微生物制剂缓释新型肥料项目的战略目标对齐，确保每个决策和行动都与特殊功能的微生物制剂缓释新型肥料项目整体目标保持一致。团队会定期召开战略对齐会议，审视当前工作与特殊功能的微生物制剂缓释新型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殊功能的微生物制剂缓释新型肥料项目进度、质量、成本和风险等方面。这些指标通过数据收集和分析，为特殊功能的微生物制剂缓释新型肥料项目管理团队提供了客观的评估依据。例如，我们通过特殊功能的微生物制剂缓释新型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殊功能的微生物制剂缓释新型肥料项目内部，还考虑了特殊功能的微生物制剂缓释新型肥料项目对外部环境的影响。我们定期进行干系人满意度调查，以了解各利益相关方对特殊功能的微生物制剂缓释新型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殊功能的微生物制剂缓释新型肥料项目的运行状态，及时做出调整，确保特殊功能的微生物制剂缓释新型肥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817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殊功能的微生物制剂缓释新型肥料项目的有效管理和不断优化，我们采用了精心设计的绩效评估周期。这个周期旨在实现灵活、实时和全面的评估，以适应特殊功能的微生物制剂缓释新型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殊功能的微生物制剂缓释新型肥料项目的不同需求，分为短期、中期和长期。短期评估关注每个迭代或工作周期，以及时发现和解决当前任务中的问题。中期评估涵盖几个迭代，深入了解整体特殊功能的微生物制剂缓释新型肥料项目的趋势和性能。长期评估则着眼于整个特殊功能的微生物制剂缓释新型肥料项目阶段，确保特殊功能的微生物制剂缓释新型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殊功能的微生物制剂缓释新型肥料项目管理工具和协作平台，团队成员能够随时更新和分享特殊功能的微生物制剂缓释新型肥料项目数据。这种实时性的反馈机制使我们能够及时察觉潜在问题，快速调整，保持特殊功能的微生物制剂缓释新型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特殊功能的微生物制剂缓释新型肥料项目的决策制定密不可分。每个周期的特殊功能的微生物制剂缓释新型肥料项目回顾会议成为集体总结经验、识别问题深层次原因并找到创新解决方案的平台。这种定期的反思与调整机制使特殊功能的微生物制剂缓释新型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530"/>
      <w:r>
        <w:rPr>
          <w:rFonts w:ascii="仿宋" w:eastAsia="仿宋" w:hAnsi="仿宋" w:cs="仿宋" w:hint="eastAsia"/>
          <w:sz w:val="28"/>
          <w:lang w:eastAsia="zh-CN"/>
        </w:rPr>
        <w:t>三、特殊功能的微生物制剂缓释新型肥料项目文档管理</w:t>
      </w:r>
      <w:bookmarkEnd w:id="9"/>
    </w:p>
    <w:p>
      <w:pPr>
        <w:pStyle w:val="Heading2"/>
        <w:rPr>
          <w:rFonts w:ascii="仿宋" w:eastAsia="仿宋" w:hAnsi="仿宋" w:cs="仿宋" w:hint="eastAsia"/>
          <w:lang w:eastAsia="zh-CN"/>
        </w:rPr>
      </w:pPr>
      <w:bookmarkStart w:id="10" w:name="_Toc1785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特殊功能的微生物制剂缓释新型肥料项目高度重视文档的质量和准确性，以支持特殊功能的微生物制剂缓释新型肥料项目的各项活动和决策。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文档的编制始于特殊功能的微生物制剂缓释新型肥料项目计划的初期，我们制定了详细的文档编制计划，明确了每个文档的内容、格式和编写责任人。在特殊功能的微生物制剂缓释新型肥料项目启动阶段，我们首先编制了特殊功能的微生物制剂缓释新型肥料项目章程，明确定义了特殊功能的微生物制剂缓释新型肥料项目的目标、范围、风险等关键要素。随后，特殊功能的微生物制剂缓释新型肥料项目团队根据计划陆续编制了需求文档、设计文档、测试文档等各类文档，确保特殊功能的微生物制剂缓释新型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殊功能的微生物制剂缓释新型肥料项目管理中的重要环节，旨在确保特殊功能的微生物制剂缓释新型肥料项目文档符合质量标准和特殊功能的微生物制剂缓释新型肥料项目需求。在特殊功能的微生物制剂缓释新型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殊功能的微生物制剂缓释新型肥料项目相关利益方和专业领域的专家对文档进行独立审查。这有助于获取更全面、客观的反馈，确保特殊功能的微生物制剂缓释新型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在文档编制与审查方面建立了严格的管理机制，通过规范的流程和多维度的审查，确保特殊功能的微生物制剂缓释新型肥料项目文档的质量、准确性和可靠性，为特殊功能的微生物制剂缓释新型肥料项目的顺利推进提供了有力支持。</w:t>
      </w:r>
    </w:p>
    <w:p>
      <w:pPr>
        <w:pStyle w:val="Heading2"/>
        <w:ind w:firstLine="560" w:firstLineChars="200"/>
        <w:rPr>
          <w:rFonts w:ascii="仿宋" w:eastAsia="仿宋" w:hAnsi="仿宋" w:cs="仿宋" w:hint="eastAsia"/>
          <w:sz w:val="28"/>
          <w:lang w:eastAsia="zh-CN"/>
        </w:rPr>
      </w:pPr>
      <w:bookmarkStart w:id="11" w:name="_Toc1353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在特殊功能的微生物制剂缓释新型肥料项目中，我们致力于优化文档发布与分发过程，以确保信息的高效传递和团队间协作的顺畅进行。以下是我们采取的关键优化策略：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我们通过多渠道发布文档，包括电子邮件、特殊功能的微生物制剂缓释新型肥料项目管理平台、内部网站等，以满足不同团队成员的偏好和需求。多渠道发布确保了信息的全面覆盖。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我们采用了精细的权限控制，确保只有授权人员可以访问敏感信息。这种安全措施保护了特殊功能的微生物制剂缓释新型肥料项目文档的机密性，防止了未经授权的信息泄露。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80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殊功能的微生物制剂缓释新型肥料项目生命周期中一个至关重要的环节，直接关系到特殊功能的微生物制剂缓释新型肥料项目信息的长期保存和历史记录的完整性。在特殊功能的微生物制剂缓释新型肥料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37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98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功能的微生物制剂缓释新型肥料项目的技术管理特点体现在其创新导向。通过引入最先进的技术趋势和解决方案，特殊功能的微生物制剂缓释新型肥料项目致力于提升科技含量、提高质量和效率水平。这意味着我们将采用最新的工具和方法，确保特殊功能的微生物制剂缓释新型肥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殊功能的微生物制剂缓释新型肥料项目技术管理的显著特征。通过整合不同领域的技术资源，我们实现了跨学科的协同工作。这有助于优化技术架构，提高整体效能。此外，整合性策略还促进了不同技术团队之间的紧密沟通和高效合作，确保特殊功能的微生物制剂缓释新型肥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殊功能的微生物制剂缓释新型肥料项目所采用的技术。通过不断优化技术方案，特殊功能的微生物制剂缓释新型肥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殊功能的微生物制剂缓释新型肥料项目团队将在特殊功能的微生物制剂缓释新型肥料项目初期识别可能的技术风险，并采取相应的预防和应对措施。通过建立健全的风险评估机制，特殊功能的微生物制剂缓释新型肥料项目能够在实施过程中及时发现并解决潜在的技术问题，保障特殊功能的微生物制剂缓释新型肥料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殊功能的微生物制剂缓释新型肥料项目中，技术将成为特殊功能的微生物制剂缓释新型肥料项目成功的有力支持。这一深度剖析揭示了技术管理在特殊功能的微生物制剂缓释新型肥料项目实施中的关键作用，为特殊功能的微生物制剂缓释新型肥料项目的技术基础奠定了坚实的基础。</w:t>
      </w:r>
    </w:p>
    <w:p>
      <w:pPr>
        <w:pStyle w:val="Heading2"/>
        <w:ind w:firstLine="560" w:firstLineChars="200"/>
        <w:rPr>
          <w:rFonts w:ascii="仿宋" w:eastAsia="仿宋" w:hAnsi="仿宋" w:cs="仿宋" w:hint="eastAsia"/>
          <w:sz w:val="28"/>
          <w:lang w:eastAsia="zh-CN"/>
        </w:rPr>
      </w:pPr>
      <w:bookmarkStart w:id="15" w:name="_Toc32005"/>
      <w:r>
        <w:rPr>
          <w:rFonts w:ascii="仿宋" w:eastAsia="仿宋" w:hAnsi="仿宋" w:cs="仿宋" w:hint="eastAsia"/>
          <w:sz w:val="28"/>
          <w:lang w:eastAsia="zh-CN"/>
        </w:rPr>
        <w:t>(二)、特殊功能的微生物制剂缓释新型肥料项目工艺技术设计方案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殊功能的微生物制剂缓释新型肥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殊功能的微生物制剂缓释新型肥料项目将严格按照相关行业规范要求进行组织。通过有效控制产品质量，特殊功能的微生物制剂缓释新型肥料项目将致力于为顾客提供优质的特殊功能的微生物制剂缓释新型肥料项目产品和良好的服务。这体现了特殊功能的微生物制剂缓释新型肥料项目对于生产活动合规性和质量标准的高度重视，为特殊功能的微生物制剂缓释新型肥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殊功能的微生物制剂缓释新型肥料项目注重生态效益和清洁生产原则。特殊功能的微生物制剂缓释新型肥料项目建设将紧密结合地方特色经济发展，与社会经济发展规划和区域环境保护规划方案相协调一致。通过与当地区域自然生态系统的结合，特殊功能的微生物制剂缓释新型肥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殊功能的微生物制剂缓释新型肥料项目产品具有多样化的客户需求和个性化的特点。因此，特殊功能的微生物制剂缓释新型肥料项目产品规格品种多样，且单批生产数量较小。为满足这一特点，特殊功能的微生物制剂缓释新型肥料项目承办单位将建设先进的柔性制造生产线。通过广泛应用柔性制造技术，特殊功能的微生物制剂缓释新型肥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殊功能的微生物制剂缓释新型肥料项目采用的技术具有较高的技术含量和自动化水平，处于国内先进水平。这一技术选用不仅体现了对生产效率、质量和环境友好性的高标准要求，同时为特殊功能的微生物制剂缓释新型肥料项目的可持续发展奠定了坚实的基础。</w:t>
      </w:r>
    </w:p>
    <w:p>
      <w:pPr>
        <w:pStyle w:val="Heading2"/>
        <w:ind w:firstLine="560" w:firstLineChars="200"/>
        <w:rPr>
          <w:rFonts w:ascii="仿宋" w:eastAsia="仿宋" w:hAnsi="仿宋" w:cs="仿宋" w:hint="eastAsia"/>
          <w:sz w:val="28"/>
          <w:lang w:eastAsia="zh-CN"/>
        </w:rPr>
      </w:pPr>
      <w:bookmarkStart w:id="16" w:name="_Toc3179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殊功能的微生物制剂缓释新型肥料项目的高效生产和技术实施，我们制定了一套精心设计的设备选型方案，以满足特殊功能的微生物制剂缓释新型肥料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https://d.book118.com/468041125137006025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特殊功能的微生物制剂缓释新型肥料项目规划设计方案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74F5D"/>
    <w:rsid w:val="76C74F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411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2024-01-12T17:49:00Z</dcterms:created>
  <dcterms:modified xsi:type="dcterms:W3CDTF">2024-01-12T17:49:53Z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514ED004CD804BC1BF5A6E113D8F1A40_11</vt:lpwstr>
  </property>
  <property fmtid="{D5CDD505-2E9C-101B-9397-08002B2CF9AE}" pid="3" name="KSOProductBuildVer">
    <vt:lpwstr>2052-12.1.0.16120</vt:lpwstr>
  </property>
</Properties>
</file>