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气血分析仪项目规划设计纲要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61" w:history="1">
        <w:r>
          <w:rPr>
            <w:rFonts w:ascii="仿宋" w:eastAsia="仿宋" w:hAnsi="仿宋" w:cs="仿宋" w:hint="eastAsia"/>
            <w:lang w:eastAsia="zh-CN"/>
          </w:rPr>
          <w:t>序言</w:t>
        </w:r>
        <w:r>
          <w:tab/>
        </w:r>
        <w:r>
          <w:fldChar w:fldCharType="begin"/>
        </w:r>
        <w:r>
          <w:instrText xml:space="preserve"> PAGEREF _Toc22961 \h </w:instrText>
        </w:r>
        <w:r>
          <w:fldChar w:fldCharType="separate"/>
        </w:r>
        <w:r>
          <w:t>3</w:t>
        </w:r>
        <w:r>
          <w:fldChar w:fldCharType="end"/>
        </w:r>
      </w:hyperlink>
    </w:p>
    <w:p>
      <w:pPr>
        <w:pStyle w:val="TOC1"/>
        <w:tabs>
          <w:tab w:val="right" w:leader="dot" w:pos="8306"/>
        </w:tabs>
      </w:pPr>
      <w:hyperlink w:anchor="_Toc23079" w:history="1">
        <w:r>
          <w:rPr>
            <w:rFonts w:ascii="仿宋" w:eastAsia="仿宋" w:hAnsi="仿宋" w:cs="仿宋" w:hint="eastAsia"/>
            <w:lang w:eastAsia="zh-CN"/>
          </w:rPr>
          <w:t>一、气血分析仪项目土建工程</w:t>
        </w:r>
        <w:r>
          <w:tab/>
        </w:r>
        <w:r>
          <w:fldChar w:fldCharType="begin"/>
        </w:r>
        <w:r>
          <w:instrText xml:space="preserve"> PAGEREF _Toc23079 \h </w:instrText>
        </w:r>
        <w:r>
          <w:fldChar w:fldCharType="separate"/>
        </w:r>
        <w:r>
          <w:t>3</w:t>
        </w:r>
        <w:r>
          <w:fldChar w:fldCharType="end"/>
        </w:r>
      </w:hyperlink>
    </w:p>
    <w:p>
      <w:pPr>
        <w:pStyle w:val="TOC2"/>
        <w:tabs>
          <w:tab w:val="right" w:leader="dot" w:pos="8306"/>
        </w:tabs>
      </w:pPr>
      <w:hyperlink w:anchor="_Toc1624" w:history="1">
        <w:r>
          <w:rPr>
            <w:rFonts w:ascii="仿宋" w:eastAsia="仿宋" w:hAnsi="仿宋" w:cs="仿宋" w:hint="eastAsia"/>
            <w:lang w:eastAsia="zh-CN"/>
          </w:rPr>
          <w:t>(一)、建筑工程设计原则</w:t>
        </w:r>
        <w:r>
          <w:tab/>
        </w:r>
        <w:r>
          <w:fldChar w:fldCharType="begin"/>
        </w:r>
        <w:r>
          <w:instrText xml:space="preserve"> PAGEREF _Toc1624 \h </w:instrText>
        </w:r>
        <w:r>
          <w:fldChar w:fldCharType="separate"/>
        </w:r>
        <w:r>
          <w:t>3</w:t>
        </w:r>
        <w:r>
          <w:fldChar w:fldCharType="end"/>
        </w:r>
      </w:hyperlink>
    </w:p>
    <w:p>
      <w:pPr>
        <w:pStyle w:val="TOC2"/>
        <w:tabs>
          <w:tab w:val="right" w:leader="dot" w:pos="8306"/>
        </w:tabs>
      </w:pPr>
      <w:hyperlink w:anchor="_Toc30071" w:history="1">
        <w:r>
          <w:rPr>
            <w:rFonts w:ascii="仿宋" w:eastAsia="仿宋" w:hAnsi="仿宋" w:cs="仿宋" w:hint="eastAsia"/>
            <w:lang w:eastAsia="zh-CN"/>
          </w:rPr>
          <w:t>(二)、土建工程设计年限及安全等级</w:t>
        </w:r>
        <w:r>
          <w:tab/>
        </w:r>
        <w:r>
          <w:fldChar w:fldCharType="begin"/>
        </w:r>
        <w:r>
          <w:instrText xml:space="preserve"> PAGEREF _Toc30071 \h </w:instrText>
        </w:r>
        <w:r>
          <w:fldChar w:fldCharType="separate"/>
        </w:r>
        <w:r>
          <w:t>4</w:t>
        </w:r>
        <w:r>
          <w:fldChar w:fldCharType="end"/>
        </w:r>
      </w:hyperlink>
    </w:p>
    <w:p>
      <w:pPr>
        <w:pStyle w:val="TOC2"/>
        <w:tabs>
          <w:tab w:val="right" w:leader="dot" w:pos="8306"/>
        </w:tabs>
      </w:pPr>
      <w:hyperlink w:anchor="_Toc6067" w:history="1">
        <w:r>
          <w:rPr>
            <w:rFonts w:ascii="仿宋" w:eastAsia="仿宋" w:hAnsi="仿宋" w:cs="仿宋" w:hint="eastAsia"/>
            <w:lang w:eastAsia="zh-CN"/>
          </w:rPr>
          <w:t>(三)、建筑工程设计总体要求</w:t>
        </w:r>
        <w:r>
          <w:tab/>
        </w:r>
        <w:r>
          <w:fldChar w:fldCharType="begin"/>
        </w:r>
        <w:r>
          <w:instrText xml:space="preserve"> PAGEREF _Toc6067 \h </w:instrText>
        </w:r>
        <w:r>
          <w:fldChar w:fldCharType="separate"/>
        </w:r>
        <w:r>
          <w:t>5</w:t>
        </w:r>
        <w:r>
          <w:fldChar w:fldCharType="end"/>
        </w:r>
      </w:hyperlink>
    </w:p>
    <w:p>
      <w:pPr>
        <w:pStyle w:val="TOC2"/>
        <w:tabs>
          <w:tab w:val="right" w:leader="dot" w:pos="8306"/>
        </w:tabs>
      </w:pPr>
      <w:hyperlink w:anchor="_Toc16935" w:history="1">
        <w:r>
          <w:rPr>
            <w:rFonts w:ascii="仿宋" w:eastAsia="仿宋" w:hAnsi="仿宋" w:cs="仿宋" w:hint="eastAsia"/>
            <w:lang w:eastAsia="zh-CN"/>
          </w:rPr>
          <w:t>(四)、土建工程建设指标</w:t>
        </w:r>
        <w:r>
          <w:tab/>
        </w:r>
        <w:r>
          <w:fldChar w:fldCharType="begin"/>
        </w:r>
        <w:r>
          <w:instrText xml:space="preserve"> PAGEREF _Toc16935 \h </w:instrText>
        </w:r>
        <w:r>
          <w:fldChar w:fldCharType="separate"/>
        </w:r>
        <w:r>
          <w:t>6</w:t>
        </w:r>
        <w:r>
          <w:fldChar w:fldCharType="end"/>
        </w:r>
      </w:hyperlink>
    </w:p>
    <w:p>
      <w:pPr>
        <w:pStyle w:val="TOC1"/>
        <w:tabs>
          <w:tab w:val="right" w:leader="dot" w:pos="8306"/>
        </w:tabs>
      </w:pPr>
      <w:hyperlink w:anchor="_Toc12157" w:history="1">
        <w:r>
          <w:rPr>
            <w:rFonts w:ascii="仿宋" w:eastAsia="仿宋" w:hAnsi="仿宋" w:cs="仿宋" w:hint="eastAsia"/>
            <w:lang w:eastAsia="zh-CN"/>
          </w:rPr>
          <w:t>二、产品规划分析</w:t>
        </w:r>
        <w:r>
          <w:tab/>
        </w:r>
        <w:r>
          <w:fldChar w:fldCharType="begin"/>
        </w:r>
        <w:r>
          <w:instrText xml:space="preserve"> PAGEREF _Toc12157 \h </w:instrText>
        </w:r>
        <w:r>
          <w:fldChar w:fldCharType="separate"/>
        </w:r>
        <w:r>
          <w:t>6</w:t>
        </w:r>
        <w:r>
          <w:fldChar w:fldCharType="end"/>
        </w:r>
      </w:hyperlink>
    </w:p>
    <w:p>
      <w:pPr>
        <w:pStyle w:val="TOC2"/>
        <w:tabs>
          <w:tab w:val="right" w:leader="dot" w:pos="8306"/>
        </w:tabs>
      </w:pPr>
      <w:hyperlink w:anchor="_Toc217" w:history="1">
        <w:r>
          <w:rPr>
            <w:rFonts w:ascii="仿宋" w:eastAsia="仿宋" w:hAnsi="仿宋" w:cs="仿宋" w:hint="eastAsia"/>
            <w:lang w:eastAsia="zh-CN"/>
          </w:rPr>
          <w:t>(一)、产品规划</w:t>
        </w:r>
        <w:r>
          <w:tab/>
        </w:r>
        <w:r>
          <w:fldChar w:fldCharType="begin"/>
        </w:r>
        <w:r>
          <w:instrText xml:space="preserve"> PAGEREF _Toc217 \h </w:instrText>
        </w:r>
        <w:r>
          <w:fldChar w:fldCharType="separate"/>
        </w:r>
        <w:r>
          <w:t>6</w:t>
        </w:r>
        <w:r>
          <w:fldChar w:fldCharType="end"/>
        </w:r>
      </w:hyperlink>
    </w:p>
    <w:p>
      <w:pPr>
        <w:pStyle w:val="TOC2"/>
        <w:tabs>
          <w:tab w:val="right" w:leader="dot" w:pos="8306"/>
        </w:tabs>
      </w:pPr>
      <w:hyperlink w:anchor="_Toc25182" w:history="1">
        <w:r>
          <w:rPr>
            <w:rFonts w:ascii="仿宋" w:eastAsia="仿宋" w:hAnsi="仿宋" w:cs="仿宋" w:hint="eastAsia"/>
            <w:lang w:eastAsia="zh-CN"/>
          </w:rPr>
          <w:t>(二)、建设规模</w:t>
        </w:r>
        <w:r>
          <w:tab/>
        </w:r>
        <w:r>
          <w:fldChar w:fldCharType="begin"/>
        </w:r>
        <w:r>
          <w:instrText xml:space="preserve"> PAGEREF _Toc25182 \h </w:instrText>
        </w:r>
        <w:r>
          <w:fldChar w:fldCharType="separate"/>
        </w:r>
        <w:r>
          <w:t>7</w:t>
        </w:r>
        <w:r>
          <w:fldChar w:fldCharType="end"/>
        </w:r>
      </w:hyperlink>
    </w:p>
    <w:p>
      <w:pPr>
        <w:pStyle w:val="TOC1"/>
        <w:tabs>
          <w:tab w:val="right" w:leader="dot" w:pos="8306"/>
        </w:tabs>
      </w:pPr>
      <w:hyperlink w:anchor="_Toc6129" w:history="1">
        <w:r>
          <w:rPr>
            <w:rFonts w:ascii="仿宋" w:eastAsia="仿宋" w:hAnsi="仿宋" w:cs="仿宋" w:hint="eastAsia"/>
            <w:lang w:eastAsia="zh-CN"/>
          </w:rPr>
          <w:t>三、气血分析仪项目文档管理</w:t>
        </w:r>
        <w:r>
          <w:tab/>
        </w:r>
        <w:r>
          <w:fldChar w:fldCharType="begin"/>
        </w:r>
        <w:r>
          <w:instrText xml:space="preserve"> PAGEREF _Toc6129 \h </w:instrText>
        </w:r>
        <w:r>
          <w:fldChar w:fldCharType="separate"/>
        </w:r>
        <w:r>
          <w:t>8</w:t>
        </w:r>
        <w:r>
          <w:fldChar w:fldCharType="end"/>
        </w:r>
      </w:hyperlink>
    </w:p>
    <w:p>
      <w:pPr>
        <w:pStyle w:val="TOC2"/>
        <w:tabs>
          <w:tab w:val="right" w:leader="dot" w:pos="8306"/>
        </w:tabs>
      </w:pPr>
      <w:hyperlink w:anchor="_Toc6147" w:history="1">
        <w:r>
          <w:rPr>
            <w:rFonts w:ascii="仿宋" w:eastAsia="仿宋" w:hAnsi="仿宋" w:cs="仿宋" w:hint="eastAsia"/>
            <w:lang w:eastAsia="zh-CN"/>
          </w:rPr>
          <w:t>(一)、文档编制与审查</w:t>
        </w:r>
        <w:r>
          <w:tab/>
        </w:r>
        <w:r>
          <w:fldChar w:fldCharType="begin"/>
        </w:r>
        <w:r>
          <w:instrText xml:space="preserve"> PAGEREF _Toc6147 \h </w:instrText>
        </w:r>
        <w:r>
          <w:fldChar w:fldCharType="separate"/>
        </w:r>
        <w:r>
          <w:t>8</w:t>
        </w:r>
        <w:r>
          <w:fldChar w:fldCharType="end"/>
        </w:r>
      </w:hyperlink>
    </w:p>
    <w:p>
      <w:pPr>
        <w:pStyle w:val="TOC2"/>
        <w:tabs>
          <w:tab w:val="right" w:leader="dot" w:pos="8306"/>
        </w:tabs>
      </w:pPr>
      <w:hyperlink w:anchor="_Toc26591" w:history="1">
        <w:r>
          <w:rPr>
            <w:rFonts w:ascii="仿宋" w:eastAsia="仿宋" w:hAnsi="仿宋" w:cs="仿宋" w:hint="eastAsia"/>
            <w:lang w:eastAsia="zh-CN"/>
          </w:rPr>
          <w:t>(二)、文档发布与分发</w:t>
        </w:r>
        <w:r>
          <w:tab/>
        </w:r>
        <w:r>
          <w:fldChar w:fldCharType="begin"/>
        </w:r>
        <w:r>
          <w:instrText xml:space="preserve"> PAGEREF _Toc26591 \h </w:instrText>
        </w:r>
        <w:r>
          <w:fldChar w:fldCharType="separate"/>
        </w:r>
        <w:r>
          <w:t>9</w:t>
        </w:r>
        <w:r>
          <w:fldChar w:fldCharType="end"/>
        </w:r>
      </w:hyperlink>
    </w:p>
    <w:p>
      <w:pPr>
        <w:pStyle w:val="TOC2"/>
        <w:tabs>
          <w:tab w:val="right" w:leader="dot" w:pos="8306"/>
        </w:tabs>
      </w:pPr>
      <w:hyperlink w:anchor="_Toc12484" w:history="1">
        <w:r>
          <w:rPr>
            <w:rFonts w:ascii="仿宋" w:eastAsia="仿宋" w:hAnsi="仿宋" w:cs="仿宋" w:hint="eastAsia"/>
            <w:lang w:eastAsia="zh-CN"/>
          </w:rPr>
          <w:t>(三)、文档存档与归档</w:t>
        </w:r>
        <w:r>
          <w:tab/>
        </w:r>
        <w:r>
          <w:fldChar w:fldCharType="begin"/>
        </w:r>
        <w:r>
          <w:instrText xml:space="preserve"> PAGEREF _Toc12484 \h </w:instrText>
        </w:r>
        <w:r>
          <w:fldChar w:fldCharType="separate"/>
        </w:r>
        <w:r>
          <w:t>10</w:t>
        </w:r>
        <w:r>
          <w:fldChar w:fldCharType="end"/>
        </w:r>
      </w:hyperlink>
    </w:p>
    <w:p>
      <w:pPr>
        <w:pStyle w:val="TOC1"/>
        <w:tabs>
          <w:tab w:val="right" w:leader="dot" w:pos="8306"/>
        </w:tabs>
      </w:pPr>
      <w:hyperlink w:anchor="_Toc29339" w:history="1">
        <w:r>
          <w:rPr>
            <w:rFonts w:ascii="仿宋" w:eastAsia="仿宋" w:hAnsi="仿宋" w:cs="仿宋" w:hint="eastAsia"/>
            <w:lang w:eastAsia="zh-CN"/>
          </w:rPr>
          <w:t>四、市场分析、调研</w:t>
        </w:r>
        <w:r>
          <w:tab/>
        </w:r>
        <w:r>
          <w:fldChar w:fldCharType="begin"/>
        </w:r>
        <w:r>
          <w:instrText xml:space="preserve"> PAGEREF _Toc29339 \h </w:instrText>
        </w:r>
        <w:r>
          <w:fldChar w:fldCharType="separate"/>
        </w:r>
        <w:r>
          <w:t>12</w:t>
        </w:r>
        <w:r>
          <w:fldChar w:fldCharType="end"/>
        </w:r>
      </w:hyperlink>
    </w:p>
    <w:p>
      <w:pPr>
        <w:pStyle w:val="TOC2"/>
        <w:tabs>
          <w:tab w:val="right" w:leader="dot" w:pos="8306"/>
        </w:tabs>
      </w:pPr>
      <w:hyperlink w:anchor="_Toc17844" w:history="1">
        <w:r>
          <w:rPr>
            <w:rFonts w:ascii="仿宋" w:eastAsia="仿宋" w:hAnsi="仿宋" w:cs="仿宋" w:hint="eastAsia"/>
            <w:lang w:eastAsia="zh-CN"/>
          </w:rPr>
          <w:t>(一)、气血分析仪行业分析</w:t>
        </w:r>
        <w:r>
          <w:tab/>
        </w:r>
        <w:r>
          <w:fldChar w:fldCharType="begin"/>
        </w:r>
        <w:r>
          <w:instrText xml:space="preserve"> PAGEREF _Toc17844 \h </w:instrText>
        </w:r>
        <w:r>
          <w:fldChar w:fldCharType="separate"/>
        </w:r>
        <w:r>
          <w:t>12</w:t>
        </w:r>
        <w:r>
          <w:fldChar w:fldCharType="end"/>
        </w:r>
      </w:hyperlink>
    </w:p>
    <w:p>
      <w:pPr>
        <w:pStyle w:val="TOC2"/>
        <w:tabs>
          <w:tab w:val="right" w:leader="dot" w:pos="8306"/>
        </w:tabs>
      </w:pPr>
      <w:hyperlink w:anchor="_Toc30716" w:history="1">
        <w:r>
          <w:rPr>
            <w:rFonts w:ascii="仿宋" w:eastAsia="仿宋" w:hAnsi="仿宋" w:cs="仿宋" w:hint="eastAsia"/>
            <w:lang w:eastAsia="zh-CN"/>
          </w:rPr>
          <w:t>(二)、气血分析仪市场分析预测</w:t>
        </w:r>
        <w:r>
          <w:tab/>
        </w:r>
        <w:r>
          <w:fldChar w:fldCharType="begin"/>
        </w:r>
        <w:r>
          <w:instrText xml:space="preserve"> PAGEREF _Toc30716 \h </w:instrText>
        </w:r>
        <w:r>
          <w:fldChar w:fldCharType="separate"/>
        </w:r>
        <w:r>
          <w:t>12</w:t>
        </w:r>
        <w:r>
          <w:fldChar w:fldCharType="end"/>
        </w:r>
      </w:hyperlink>
    </w:p>
    <w:p>
      <w:pPr>
        <w:pStyle w:val="TOC1"/>
        <w:tabs>
          <w:tab w:val="right" w:leader="dot" w:pos="8306"/>
        </w:tabs>
      </w:pPr>
      <w:hyperlink w:anchor="_Toc15897" w:history="1">
        <w:r>
          <w:rPr>
            <w:rFonts w:ascii="仿宋" w:eastAsia="仿宋" w:hAnsi="仿宋" w:cs="仿宋" w:hint="eastAsia"/>
            <w:lang w:eastAsia="zh-CN"/>
          </w:rPr>
          <w:t>五、气血分析仪项目绩效评估</w:t>
        </w:r>
        <w:r>
          <w:tab/>
        </w:r>
        <w:r>
          <w:fldChar w:fldCharType="begin"/>
        </w:r>
        <w:r>
          <w:instrText xml:space="preserve"> PAGEREF _Toc15897 \h </w:instrText>
        </w:r>
        <w:r>
          <w:fldChar w:fldCharType="separate"/>
        </w:r>
        <w:r>
          <w:t>13</w:t>
        </w:r>
        <w:r>
          <w:fldChar w:fldCharType="end"/>
        </w:r>
      </w:hyperlink>
    </w:p>
    <w:p>
      <w:pPr>
        <w:pStyle w:val="TOC2"/>
        <w:tabs>
          <w:tab w:val="right" w:leader="dot" w:pos="8306"/>
        </w:tabs>
      </w:pPr>
      <w:hyperlink w:anchor="_Toc30166" w:history="1">
        <w:r>
          <w:rPr>
            <w:rFonts w:ascii="仿宋" w:eastAsia="仿宋" w:hAnsi="仿宋" w:cs="仿宋" w:hint="eastAsia"/>
            <w:lang w:eastAsia="zh-CN"/>
          </w:rPr>
          <w:t>(一)、绩效评估指标</w:t>
        </w:r>
        <w:r>
          <w:tab/>
        </w:r>
        <w:r>
          <w:fldChar w:fldCharType="begin"/>
        </w:r>
        <w:r>
          <w:instrText xml:space="preserve"> PAGEREF _Toc30166 \h </w:instrText>
        </w:r>
        <w:r>
          <w:fldChar w:fldCharType="separate"/>
        </w:r>
        <w:r>
          <w:t>13</w:t>
        </w:r>
        <w:r>
          <w:fldChar w:fldCharType="end"/>
        </w:r>
      </w:hyperlink>
    </w:p>
    <w:p>
      <w:pPr>
        <w:pStyle w:val="TOC2"/>
        <w:tabs>
          <w:tab w:val="right" w:leader="dot" w:pos="8306"/>
        </w:tabs>
      </w:pPr>
      <w:hyperlink w:anchor="_Toc3471" w:history="1">
        <w:r>
          <w:rPr>
            <w:rFonts w:ascii="仿宋" w:eastAsia="仿宋" w:hAnsi="仿宋" w:cs="仿宋" w:hint="eastAsia"/>
            <w:lang w:eastAsia="zh-CN"/>
          </w:rPr>
          <w:t>(二)、绩效评估方法</w:t>
        </w:r>
        <w:r>
          <w:tab/>
        </w:r>
        <w:r>
          <w:fldChar w:fldCharType="begin"/>
        </w:r>
        <w:r>
          <w:instrText xml:space="preserve"> PAGEREF _Toc3471 \h </w:instrText>
        </w:r>
        <w:r>
          <w:fldChar w:fldCharType="separate"/>
        </w:r>
        <w:r>
          <w:t>14</w:t>
        </w:r>
        <w:r>
          <w:fldChar w:fldCharType="end"/>
        </w:r>
      </w:hyperlink>
    </w:p>
    <w:p>
      <w:pPr>
        <w:pStyle w:val="TOC2"/>
        <w:tabs>
          <w:tab w:val="right" w:leader="dot" w:pos="8306"/>
        </w:tabs>
      </w:pPr>
      <w:hyperlink w:anchor="_Toc12807" w:history="1">
        <w:r>
          <w:rPr>
            <w:rFonts w:ascii="仿宋" w:eastAsia="仿宋" w:hAnsi="仿宋" w:cs="仿宋" w:hint="eastAsia"/>
            <w:lang w:eastAsia="zh-CN"/>
          </w:rPr>
          <w:t>(三)、绩效评估周期</w:t>
        </w:r>
        <w:r>
          <w:tab/>
        </w:r>
        <w:r>
          <w:fldChar w:fldCharType="begin"/>
        </w:r>
        <w:r>
          <w:instrText xml:space="preserve"> PAGEREF _Toc12807 \h </w:instrText>
        </w:r>
        <w:r>
          <w:fldChar w:fldCharType="separate"/>
        </w:r>
        <w:r>
          <w:t>15</w:t>
        </w:r>
        <w:r>
          <w:fldChar w:fldCharType="end"/>
        </w:r>
      </w:hyperlink>
    </w:p>
    <w:p>
      <w:pPr>
        <w:pStyle w:val="TOC1"/>
        <w:tabs>
          <w:tab w:val="right" w:leader="dot" w:pos="8306"/>
        </w:tabs>
      </w:pPr>
      <w:hyperlink w:anchor="_Toc18538" w:history="1">
        <w:r>
          <w:rPr>
            <w:rFonts w:ascii="仿宋" w:eastAsia="仿宋" w:hAnsi="仿宋" w:cs="仿宋" w:hint="eastAsia"/>
            <w:lang w:eastAsia="zh-CN"/>
          </w:rPr>
          <w:t>六、工艺说明</w:t>
        </w:r>
        <w:r>
          <w:tab/>
        </w:r>
        <w:r>
          <w:fldChar w:fldCharType="begin"/>
        </w:r>
        <w:r>
          <w:instrText xml:space="preserve"> PAGEREF _Toc18538 \h </w:instrText>
        </w:r>
        <w:r>
          <w:fldChar w:fldCharType="separate"/>
        </w:r>
        <w:r>
          <w:t>16</w:t>
        </w:r>
        <w:r>
          <w:fldChar w:fldCharType="end"/>
        </w:r>
      </w:hyperlink>
    </w:p>
    <w:p>
      <w:pPr>
        <w:pStyle w:val="TOC2"/>
        <w:tabs>
          <w:tab w:val="right" w:leader="dot" w:pos="8306"/>
        </w:tabs>
      </w:pPr>
      <w:hyperlink w:anchor="_Toc26065" w:history="1">
        <w:r>
          <w:rPr>
            <w:rFonts w:ascii="仿宋" w:eastAsia="仿宋" w:hAnsi="仿宋" w:cs="仿宋" w:hint="eastAsia"/>
            <w:lang w:eastAsia="zh-CN"/>
          </w:rPr>
          <w:t>(一)、技术管理特点</w:t>
        </w:r>
        <w:r>
          <w:tab/>
        </w:r>
        <w:r>
          <w:fldChar w:fldCharType="begin"/>
        </w:r>
        <w:r>
          <w:instrText xml:space="preserve"> PAGEREF _Toc26065 \h </w:instrText>
        </w:r>
        <w:r>
          <w:fldChar w:fldCharType="separate"/>
        </w:r>
        <w:r>
          <w:t>16</w:t>
        </w:r>
        <w:r>
          <w:fldChar w:fldCharType="end"/>
        </w:r>
      </w:hyperlink>
    </w:p>
    <w:p>
      <w:pPr>
        <w:pStyle w:val="TOC2"/>
        <w:tabs>
          <w:tab w:val="right" w:leader="dot" w:pos="8306"/>
        </w:tabs>
      </w:pPr>
      <w:hyperlink w:anchor="_Toc26648" w:history="1">
        <w:r>
          <w:rPr>
            <w:rFonts w:ascii="仿宋" w:eastAsia="仿宋" w:hAnsi="仿宋" w:cs="仿宋" w:hint="eastAsia"/>
            <w:lang w:eastAsia="zh-CN"/>
          </w:rPr>
          <w:t>(二)、气血分析仪项目工艺技术设计方案</w:t>
        </w:r>
        <w:r>
          <w:tab/>
        </w:r>
        <w:r>
          <w:fldChar w:fldCharType="begin"/>
        </w:r>
        <w:r>
          <w:instrText xml:space="preserve"> PAGEREF _Toc26648 \h </w:instrText>
        </w:r>
        <w:r>
          <w:fldChar w:fldCharType="separate"/>
        </w:r>
        <w:r>
          <w:t>18</w:t>
        </w:r>
        <w:r>
          <w:fldChar w:fldCharType="end"/>
        </w:r>
      </w:hyperlink>
    </w:p>
    <w:p>
      <w:pPr>
        <w:pStyle w:val="TOC2"/>
        <w:tabs>
          <w:tab w:val="right" w:leader="dot" w:pos="8306"/>
        </w:tabs>
      </w:pPr>
      <w:hyperlink w:anchor="_Toc7485" w:history="1">
        <w:r>
          <w:rPr>
            <w:rFonts w:ascii="仿宋" w:eastAsia="仿宋" w:hAnsi="仿宋" w:cs="仿宋" w:hint="eastAsia"/>
            <w:lang w:eastAsia="zh-CN"/>
          </w:rPr>
          <w:t>(三)、设备选型方案</w:t>
        </w:r>
        <w:r>
          <w:tab/>
        </w:r>
        <w:r>
          <w:fldChar w:fldCharType="begin"/>
        </w:r>
        <w:r>
          <w:instrText xml:space="preserve"> PAGEREF _Toc7485 \h </w:instrText>
        </w:r>
        <w:r>
          <w:fldChar w:fldCharType="separate"/>
        </w:r>
        <w:r>
          <w:t>19</w:t>
        </w:r>
        <w:r>
          <w:fldChar w:fldCharType="end"/>
        </w:r>
      </w:hyperlink>
    </w:p>
    <w:p>
      <w:pPr>
        <w:pStyle w:val="TOC1"/>
        <w:tabs>
          <w:tab w:val="right" w:leader="dot" w:pos="8306"/>
        </w:tabs>
      </w:pPr>
      <w:hyperlink w:anchor="_Toc10123" w:history="1">
        <w:r>
          <w:rPr>
            <w:rFonts w:ascii="仿宋" w:eastAsia="仿宋" w:hAnsi="仿宋" w:cs="仿宋" w:hint="eastAsia"/>
            <w:lang w:eastAsia="zh-CN"/>
          </w:rPr>
          <w:t>七、气血分析仪项目计划安排</w:t>
        </w:r>
        <w:r>
          <w:tab/>
        </w:r>
        <w:r>
          <w:fldChar w:fldCharType="begin"/>
        </w:r>
        <w:r>
          <w:instrText xml:space="preserve"> PAGEREF _Toc10123 \h </w:instrText>
        </w:r>
        <w:r>
          <w:fldChar w:fldCharType="separate"/>
        </w:r>
        <w:r>
          <w:t>20</w:t>
        </w:r>
        <w:r>
          <w:fldChar w:fldCharType="end"/>
        </w:r>
      </w:hyperlink>
    </w:p>
    <w:p>
      <w:pPr>
        <w:pStyle w:val="TOC2"/>
        <w:tabs>
          <w:tab w:val="right" w:leader="dot" w:pos="8306"/>
        </w:tabs>
      </w:pPr>
      <w:hyperlink w:anchor="_Toc12890" w:history="1">
        <w:r>
          <w:rPr>
            <w:rFonts w:ascii="仿宋" w:eastAsia="仿宋" w:hAnsi="仿宋" w:cs="仿宋" w:hint="eastAsia"/>
            <w:lang w:eastAsia="zh-CN"/>
          </w:rPr>
          <w:t>(一)、建设周期</w:t>
        </w:r>
        <w:r>
          <w:tab/>
        </w:r>
        <w:r>
          <w:fldChar w:fldCharType="begin"/>
        </w:r>
        <w:r>
          <w:instrText xml:space="preserve"> PAGEREF _Toc12890 \h </w:instrText>
        </w:r>
        <w:r>
          <w:fldChar w:fldCharType="separate"/>
        </w:r>
        <w:r>
          <w:t>20</w:t>
        </w:r>
        <w:r>
          <w:fldChar w:fldCharType="end"/>
        </w:r>
      </w:hyperlink>
    </w:p>
    <w:p>
      <w:pPr>
        <w:pStyle w:val="TOC2"/>
        <w:tabs>
          <w:tab w:val="right" w:leader="dot" w:pos="8306"/>
        </w:tabs>
      </w:pPr>
      <w:hyperlink w:anchor="_Toc24563" w:history="1">
        <w:r>
          <w:rPr>
            <w:rFonts w:ascii="仿宋" w:eastAsia="仿宋" w:hAnsi="仿宋" w:cs="仿宋" w:hint="eastAsia"/>
            <w:lang w:eastAsia="zh-CN"/>
          </w:rPr>
          <w:t>(二)、建设进度</w:t>
        </w:r>
        <w:r>
          <w:tab/>
        </w:r>
        <w:r>
          <w:fldChar w:fldCharType="begin"/>
        </w:r>
        <w:r>
          <w:instrText xml:space="preserve"> PAGEREF _Toc24563 \h </w:instrText>
        </w:r>
        <w:r>
          <w:fldChar w:fldCharType="separate"/>
        </w:r>
        <w:r>
          <w:t>21</w:t>
        </w:r>
        <w:r>
          <w:fldChar w:fldCharType="end"/>
        </w:r>
      </w:hyperlink>
    </w:p>
    <w:p>
      <w:pPr>
        <w:pStyle w:val="TOC2"/>
        <w:tabs>
          <w:tab w:val="right" w:leader="dot" w:pos="8306"/>
        </w:tabs>
      </w:pPr>
      <w:hyperlink w:anchor="_Toc19338" w:history="1">
        <w:r>
          <w:rPr>
            <w:rFonts w:ascii="仿宋" w:eastAsia="仿宋" w:hAnsi="仿宋" w:cs="仿宋" w:hint="eastAsia"/>
            <w:lang w:eastAsia="zh-CN"/>
          </w:rPr>
          <w:t>(三)、进度安排注意事项</w:t>
        </w:r>
        <w:r>
          <w:tab/>
        </w:r>
        <w:r>
          <w:fldChar w:fldCharType="begin"/>
        </w:r>
        <w:r>
          <w:instrText xml:space="preserve"> PAGEREF _Toc19338 \h </w:instrText>
        </w:r>
        <w:r>
          <w:fldChar w:fldCharType="separate"/>
        </w:r>
        <w:r>
          <w:t>22</w:t>
        </w:r>
        <w:r>
          <w:fldChar w:fldCharType="end"/>
        </w:r>
      </w:hyperlink>
    </w:p>
    <w:p>
      <w:pPr>
        <w:pStyle w:val="TOC2"/>
        <w:tabs>
          <w:tab w:val="right" w:leader="dot" w:pos="8306"/>
        </w:tabs>
      </w:pPr>
      <w:hyperlink w:anchor="_Toc20562" w:history="1">
        <w:r>
          <w:rPr>
            <w:rFonts w:ascii="仿宋" w:eastAsia="仿宋" w:hAnsi="仿宋" w:cs="仿宋" w:hint="eastAsia"/>
            <w:lang w:eastAsia="zh-CN"/>
          </w:rPr>
          <w:t>(四)、人力资源配置</w:t>
        </w:r>
        <w:r>
          <w:tab/>
        </w:r>
        <w:r>
          <w:fldChar w:fldCharType="begin"/>
        </w:r>
        <w:r>
          <w:instrText xml:space="preserve"> PAGEREF _Toc20562 \h </w:instrText>
        </w:r>
        <w:r>
          <w:fldChar w:fldCharType="separate"/>
        </w:r>
        <w:r>
          <w:t>24</w:t>
        </w:r>
        <w:r>
          <w:fldChar w:fldCharType="end"/>
        </w:r>
      </w:hyperlink>
    </w:p>
    <w:p>
      <w:pPr>
        <w:pStyle w:val="TOC1"/>
        <w:tabs>
          <w:tab w:val="right" w:leader="dot" w:pos="8306"/>
        </w:tabs>
      </w:pPr>
      <w:hyperlink w:anchor="_Toc15687" w:history="1">
        <w:r>
          <w:rPr>
            <w:rFonts w:ascii="仿宋" w:eastAsia="仿宋" w:hAnsi="仿宋" w:cs="仿宋" w:hint="eastAsia"/>
            <w:lang w:eastAsia="zh-CN"/>
          </w:rPr>
          <w:t>八、气血分析仪项目经营效益</w:t>
        </w:r>
        <w:r>
          <w:tab/>
        </w:r>
        <w:r>
          <w:fldChar w:fldCharType="begin"/>
        </w:r>
        <w:r>
          <w:instrText xml:space="preserve"> PAGEREF _Toc15687 \h </w:instrText>
        </w:r>
        <w:r>
          <w:fldChar w:fldCharType="separate"/>
        </w:r>
        <w:r>
          <w:t>24</w:t>
        </w:r>
        <w:r>
          <w:fldChar w:fldCharType="end"/>
        </w:r>
      </w:hyperlink>
    </w:p>
    <w:p>
      <w:pPr>
        <w:pStyle w:val="TOC2"/>
        <w:tabs>
          <w:tab w:val="right" w:leader="dot" w:pos="8306"/>
        </w:tabs>
      </w:pPr>
      <w:hyperlink w:anchor="_Toc20145" w:history="1">
        <w:r>
          <w:rPr>
            <w:rFonts w:ascii="仿宋" w:eastAsia="仿宋" w:hAnsi="仿宋" w:cs="仿宋" w:hint="eastAsia"/>
            <w:lang w:eastAsia="zh-CN"/>
          </w:rPr>
          <w:t>(一)、经济评价财务测算</w:t>
        </w:r>
        <w:r>
          <w:tab/>
        </w:r>
        <w:r>
          <w:fldChar w:fldCharType="begin"/>
        </w:r>
        <w:r>
          <w:instrText xml:space="preserve"> PAGEREF _Toc20145 \h </w:instrText>
        </w:r>
        <w:r>
          <w:fldChar w:fldCharType="separate"/>
        </w:r>
        <w:r>
          <w:t>24</w:t>
        </w:r>
        <w:r>
          <w:fldChar w:fldCharType="end"/>
        </w:r>
      </w:hyperlink>
    </w:p>
    <w:p>
      <w:pPr>
        <w:pStyle w:val="TOC2"/>
        <w:tabs>
          <w:tab w:val="right" w:leader="dot" w:pos="8306"/>
        </w:tabs>
      </w:pPr>
      <w:hyperlink w:anchor="_Toc29444" w:history="1">
        <w:r>
          <w:rPr>
            <w:rFonts w:ascii="仿宋" w:eastAsia="仿宋" w:hAnsi="仿宋" w:cs="仿宋" w:hint="eastAsia"/>
            <w:lang w:eastAsia="zh-CN"/>
          </w:rPr>
          <w:t>(二)、气血分析仪项目盈利能力分析</w:t>
        </w:r>
        <w:r>
          <w:tab/>
        </w:r>
        <w:r>
          <w:fldChar w:fldCharType="begin"/>
        </w:r>
        <w:r>
          <w:instrText xml:space="preserve"> PAGEREF _Toc29444 \h </w:instrText>
        </w:r>
        <w:r>
          <w:fldChar w:fldCharType="separate"/>
        </w:r>
        <w:r>
          <w:t>26</w:t>
        </w:r>
        <w:r>
          <w:fldChar w:fldCharType="end"/>
        </w:r>
      </w:hyperlink>
    </w:p>
    <w:p>
      <w:pPr>
        <w:pStyle w:val="TOC1"/>
        <w:tabs>
          <w:tab w:val="right" w:leader="dot" w:pos="8306"/>
        </w:tabs>
      </w:pPr>
      <w:hyperlink w:anchor="_Toc6146" w:history="1">
        <w:r>
          <w:rPr>
            <w:rFonts w:ascii="仿宋" w:eastAsia="仿宋" w:hAnsi="仿宋" w:cs="仿宋" w:hint="eastAsia"/>
            <w:lang w:eastAsia="zh-CN"/>
          </w:rPr>
          <w:t>九、气血分析仪项目财务管理</w:t>
        </w:r>
        <w:r>
          <w:tab/>
        </w:r>
        <w:r>
          <w:fldChar w:fldCharType="begin"/>
        </w:r>
        <w:r>
          <w:instrText xml:space="preserve"> PAGEREF _Toc6146 \h </w:instrText>
        </w:r>
        <w:r>
          <w:fldChar w:fldCharType="separate"/>
        </w:r>
        <w:r>
          <w:t>26</w:t>
        </w:r>
        <w:r>
          <w:fldChar w:fldCharType="end"/>
        </w:r>
      </w:hyperlink>
    </w:p>
    <w:p>
      <w:pPr>
        <w:pStyle w:val="TOC2"/>
        <w:tabs>
          <w:tab w:val="right" w:leader="dot" w:pos="8306"/>
        </w:tabs>
      </w:pPr>
      <w:hyperlink w:anchor="_Toc24596" w:history="1">
        <w:r>
          <w:rPr>
            <w:rFonts w:ascii="仿宋" w:eastAsia="仿宋" w:hAnsi="仿宋" w:cs="仿宋" w:hint="eastAsia"/>
            <w:lang w:eastAsia="zh-CN"/>
          </w:rPr>
          <w:t>(一)、资金需求大</w:t>
        </w:r>
        <w:r>
          <w:tab/>
        </w:r>
        <w:r>
          <w:fldChar w:fldCharType="begin"/>
        </w:r>
        <w:r>
          <w:instrText xml:space="preserve"> PAGEREF _Toc24596 \h </w:instrText>
        </w:r>
        <w:r>
          <w:fldChar w:fldCharType="separate"/>
        </w:r>
        <w:r>
          <w:t>26</w:t>
        </w:r>
        <w:r>
          <w:fldChar w:fldCharType="end"/>
        </w:r>
      </w:hyperlink>
    </w:p>
    <w:p>
      <w:pPr>
        <w:pStyle w:val="TOC2"/>
        <w:tabs>
          <w:tab w:val="right" w:leader="dot" w:pos="8306"/>
        </w:tabs>
      </w:pPr>
      <w:hyperlink w:anchor="_Toc23530" w:history="1">
        <w:r>
          <w:rPr>
            <w:rFonts w:ascii="仿宋" w:eastAsia="仿宋" w:hAnsi="仿宋" w:cs="仿宋" w:hint="eastAsia"/>
            <w:lang w:eastAsia="zh-CN"/>
          </w:rPr>
          <w:t>(二)、研发周期长</w:t>
        </w:r>
        <w:r>
          <w:tab/>
        </w:r>
        <w:r>
          <w:fldChar w:fldCharType="begin"/>
        </w:r>
        <w:r>
          <w:instrText xml:space="preserve"> PAGEREF _Toc23530 \h </w:instrText>
        </w:r>
        <w:r>
          <w:fldChar w:fldCharType="separate"/>
        </w:r>
        <w:r>
          <w:t>27</w:t>
        </w:r>
        <w:r>
          <w:fldChar w:fldCharType="end"/>
        </w:r>
      </w:hyperlink>
    </w:p>
    <w:p>
      <w:pPr>
        <w:pStyle w:val="TOC2"/>
        <w:tabs>
          <w:tab w:val="right" w:leader="dot" w:pos="8306"/>
        </w:tabs>
      </w:pPr>
      <w:hyperlink w:anchor="_Toc16568" w:history="1">
        <w:r>
          <w:rPr>
            <w:rFonts w:ascii="仿宋" w:eastAsia="仿宋" w:hAnsi="仿宋" w:cs="仿宋" w:hint="eastAsia"/>
            <w:lang w:eastAsia="zh-CN"/>
          </w:rPr>
          <w:t>(三)、市场风险大</w:t>
        </w:r>
        <w:r>
          <w:tab/>
        </w:r>
        <w:r>
          <w:fldChar w:fldCharType="begin"/>
        </w:r>
        <w:r>
          <w:instrText xml:space="preserve"> PAGEREF _Toc16568 \h </w:instrText>
        </w:r>
        <w:r>
          <w:fldChar w:fldCharType="separate"/>
        </w:r>
        <w:r>
          <w:t>29</w:t>
        </w:r>
        <w:r>
          <w:fldChar w:fldCharType="end"/>
        </w:r>
      </w:hyperlink>
    </w:p>
    <w:p>
      <w:pPr>
        <w:pStyle w:val="TOC2"/>
        <w:tabs>
          <w:tab w:val="right" w:leader="dot" w:pos="8306"/>
        </w:tabs>
      </w:pPr>
      <w:hyperlink w:anchor="_Toc19466" w:history="1">
        <w:r>
          <w:rPr>
            <w:rFonts w:ascii="仿宋" w:eastAsia="仿宋" w:hAnsi="仿宋" w:cs="仿宋" w:hint="eastAsia"/>
            <w:lang w:eastAsia="zh-CN"/>
          </w:rPr>
          <w:t>(四)、利润率高</w:t>
        </w:r>
        <w:r>
          <w:tab/>
        </w:r>
        <w:r>
          <w:fldChar w:fldCharType="begin"/>
        </w:r>
        <w:r>
          <w:instrText xml:space="preserve"> PAGEREF _Toc19466 \h </w:instrText>
        </w:r>
        <w:r>
          <w:fldChar w:fldCharType="separate"/>
        </w:r>
        <w:r>
          <w:t>31</w:t>
        </w:r>
        <w:r>
          <w:fldChar w:fldCharType="end"/>
        </w:r>
      </w:hyperlink>
    </w:p>
    <w:p>
      <w:pPr>
        <w:pStyle w:val="TOC1"/>
        <w:tabs>
          <w:tab w:val="right" w:leader="dot" w:pos="8306"/>
        </w:tabs>
      </w:pPr>
      <w:hyperlink w:anchor="_Toc29901" w:history="1">
        <w:r>
          <w:rPr>
            <w:rFonts w:ascii="仿宋" w:eastAsia="仿宋" w:hAnsi="仿宋" w:cs="仿宋" w:hint="eastAsia"/>
            <w:lang w:eastAsia="zh-CN"/>
          </w:rPr>
          <w:t>十、气血分析仪项目社会影响</w:t>
        </w:r>
        <w:r>
          <w:tab/>
        </w:r>
        <w:r>
          <w:fldChar w:fldCharType="begin"/>
        </w:r>
        <w:r>
          <w:instrText xml:space="preserve"> PAGEREF _Toc29901 \h </w:instrText>
        </w:r>
        <w:r>
          <w:fldChar w:fldCharType="separate"/>
        </w:r>
        <w:r>
          <w:t>33</w:t>
        </w:r>
        <w:r>
          <w:fldChar w:fldCharType="end"/>
        </w:r>
      </w:hyperlink>
    </w:p>
    <w:p>
      <w:pPr>
        <w:pStyle w:val="TOC2"/>
        <w:tabs>
          <w:tab w:val="right" w:leader="dot" w:pos="8306"/>
        </w:tabs>
      </w:pPr>
      <w:hyperlink w:anchor="_Toc29324" w:history="1">
        <w:r>
          <w:rPr>
            <w:rFonts w:ascii="仿宋" w:eastAsia="仿宋" w:hAnsi="仿宋" w:cs="仿宋" w:hint="eastAsia"/>
            <w:lang w:eastAsia="zh-CN"/>
          </w:rPr>
          <w:t>(一)、社会责任与义务</w:t>
        </w:r>
        <w:r>
          <w:tab/>
        </w:r>
        <w:r>
          <w:fldChar w:fldCharType="begin"/>
        </w:r>
        <w:r>
          <w:instrText xml:space="preserve"> PAGEREF _Toc29324 \h </w:instrText>
        </w:r>
        <w:r>
          <w:fldChar w:fldCharType="separate"/>
        </w:r>
        <w:r>
          <w:t>33</w:t>
        </w:r>
        <w:r>
          <w:fldChar w:fldCharType="end"/>
        </w:r>
      </w:hyperlink>
    </w:p>
    <w:p>
      <w:pPr>
        <w:pStyle w:val="TOC2"/>
        <w:tabs>
          <w:tab w:val="right" w:leader="dot" w:pos="8306"/>
        </w:tabs>
      </w:pPr>
      <w:hyperlink w:anchor="_Toc18602" w:history="1">
        <w:r>
          <w:rPr>
            <w:rFonts w:ascii="仿宋" w:eastAsia="仿宋" w:hAnsi="仿宋" w:cs="仿宋" w:hint="eastAsia"/>
            <w:lang w:eastAsia="zh-CN"/>
          </w:rPr>
          <w:t>(二)、社会参与与沟通</w:t>
        </w:r>
        <w:r>
          <w:tab/>
        </w:r>
        <w:r>
          <w:fldChar w:fldCharType="begin"/>
        </w:r>
        <w:r>
          <w:instrText xml:space="preserve"> PAGEREF _Toc18602 \h </w:instrText>
        </w:r>
        <w:r>
          <w:fldChar w:fldCharType="separate"/>
        </w:r>
        <w:r>
          <w:t>34</w:t>
        </w:r>
        <w:r>
          <w:fldChar w:fldCharType="end"/>
        </w:r>
      </w:hyperlink>
    </w:p>
    <w:p>
      <w:pPr>
        <w:pStyle w:val="TOC1"/>
        <w:tabs>
          <w:tab w:val="right" w:leader="dot" w:pos="8306"/>
        </w:tabs>
      </w:pPr>
      <w:hyperlink w:anchor="_Toc29168" w:history="1">
        <w:r>
          <w:rPr>
            <w:rFonts w:ascii="仿宋" w:eastAsia="仿宋" w:hAnsi="仿宋" w:cs="仿宋" w:hint="eastAsia"/>
            <w:lang w:eastAsia="zh-CN"/>
          </w:rPr>
          <w:t>十一、气血分析仪项目风险管理</w:t>
        </w:r>
        <w:r>
          <w:tab/>
        </w:r>
        <w:r>
          <w:fldChar w:fldCharType="begin"/>
        </w:r>
        <w:r>
          <w:instrText xml:space="preserve"> PAGEREF _Toc29168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58" w:history="1">
        <w:r>
          <w:rPr>
            <w:rFonts w:ascii="仿宋" w:eastAsia="仿宋" w:hAnsi="仿宋" w:cs="仿宋" w:hint="eastAsia"/>
            <w:lang w:eastAsia="zh-CN"/>
          </w:rPr>
          <w:t>(一)、风险识别与评估</w:t>
        </w:r>
        <w:r>
          <w:tab/>
        </w:r>
        <w:r>
          <w:fldChar w:fldCharType="begin"/>
        </w:r>
        <w:r>
          <w:instrText xml:space="preserve"> PAGEREF _Toc26158 \h </w:instrText>
        </w:r>
        <w:r>
          <w:fldChar w:fldCharType="separate"/>
        </w:r>
        <w:r>
          <w:t>35</w:t>
        </w:r>
        <w:r>
          <w:fldChar w:fldCharType="end"/>
        </w:r>
      </w:hyperlink>
    </w:p>
    <w:p>
      <w:pPr>
        <w:pStyle w:val="TOC2"/>
        <w:tabs>
          <w:tab w:val="right" w:leader="dot" w:pos="8306"/>
        </w:tabs>
      </w:pPr>
      <w:hyperlink w:anchor="_Toc8306" w:history="1">
        <w:r>
          <w:rPr>
            <w:rFonts w:ascii="仿宋" w:eastAsia="仿宋" w:hAnsi="仿宋" w:cs="仿宋" w:hint="eastAsia"/>
            <w:lang w:eastAsia="zh-CN"/>
          </w:rPr>
          <w:t>(二)、风险应对策略</w:t>
        </w:r>
        <w:r>
          <w:tab/>
        </w:r>
        <w:r>
          <w:fldChar w:fldCharType="begin"/>
        </w:r>
        <w:r>
          <w:instrText xml:space="preserve"> PAGEREF _Toc8306 \h </w:instrText>
        </w:r>
        <w:r>
          <w:fldChar w:fldCharType="separate"/>
        </w:r>
        <w:r>
          <w:t>36</w:t>
        </w:r>
        <w:r>
          <w:fldChar w:fldCharType="end"/>
        </w:r>
      </w:hyperlink>
    </w:p>
    <w:p>
      <w:pPr>
        <w:pStyle w:val="TOC2"/>
        <w:tabs>
          <w:tab w:val="right" w:leader="dot" w:pos="8306"/>
        </w:tabs>
      </w:pPr>
      <w:hyperlink w:anchor="_Toc14103" w:history="1">
        <w:r>
          <w:rPr>
            <w:rFonts w:ascii="仿宋" w:eastAsia="仿宋" w:hAnsi="仿宋" w:cs="仿宋" w:hint="eastAsia"/>
            <w:lang w:eastAsia="zh-CN"/>
          </w:rPr>
          <w:t>(三)、风险监控与控制</w:t>
        </w:r>
        <w:r>
          <w:tab/>
        </w:r>
        <w:r>
          <w:fldChar w:fldCharType="begin"/>
        </w:r>
        <w:r>
          <w:instrText xml:space="preserve"> PAGEREF _Toc14103 \h </w:instrText>
        </w:r>
        <w:r>
          <w:fldChar w:fldCharType="separate"/>
        </w:r>
        <w:r>
          <w:t>38</w:t>
        </w:r>
        <w:r>
          <w:fldChar w:fldCharType="end"/>
        </w:r>
      </w:hyperlink>
    </w:p>
    <w:p>
      <w:pPr>
        <w:pStyle w:val="TOC1"/>
        <w:tabs>
          <w:tab w:val="right" w:leader="dot" w:pos="8306"/>
        </w:tabs>
      </w:pPr>
      <w:hyperlink w:anchor="_Toc17288" w:history="1">
        <w:r>
          <w:rPr>
            <w:rFonts w:ascii="仿宋" w:eastAsia="仿宋" w:hAnsi="仿宋" w:cs="仿宋" w:hint="eastAsia"/>
            <w:lang w:eastAsia="zh-CN"/>
          </w:rPr>
          <w:t>十二、生产安全保护</w:t>
        </w:r>
        <w:r>
          <w:tab/>
        </w:r>
        <w:r>
          <w:fldChar w:fldCharType="begin"/>
        </w:r>
        <w:r>
          <w:instrText xml:space="preserve"> PAGEREF _Toc17288 \h </w:instrText>
        </w:r>
        <w:r>
          <w:fldChar w:fldCharType="separate"/>
        </w:r>
        <w:r>
          <w:t>39</w:t>
        </w:r>
        <w:r>
          <w:fldChar w:fldCharType="end"/>
        </w:r>
      </w:hyperlink>
    </w:p>
    <w:p>
      <w:pPr>
        <w:pStyle w:val="TOC2"/>
        <w:tabs>
          <w:tab w:val="right" w:leader="dot" w:pos="8306"/>
        </w:tabs>
      </w:pPr>
      <w:hyperlink w:anchor="_Toc2826" w:history="1">
        <w:r>
          <w:rPr>
            <w:rFonts w:ascii="仿宋" w:eastAsia="仿宋" w:hAnsi="仿宋" w:cs="仿宋" w:hint="eastAsia"/>
            <w:lang w:eastAsia="zh-CN"/>
          </w:rPr>
          <w:t>(一)、消防安全</w:t>
        </w:r>
        <w:r>
          <w:tab/>
        </w:r>
        <w:r>
          <w:fldChar w:fldCharType="begin"/>
        </w:r>
        <w:r>
          <w:instrText xml:space="preserve"> PAGEREF _Toc2826 \h </w:instrText>
        </w:r>
        <w:r>
          <w:fldChar w:fldCharType="separate"/>
        </w:r>
        <w:r>
          <w:t>39</w:t>
        </w:r>
        <w:r>
          <w:fldChar w:fldCharType="end"/>
        </w:r>
      </w:hyperlink>
    </w:p>
    <w:p>
      <w:pPr>
        <w:pStyle w:val="TOC2"/>
        <w:tabs>
          <w:tab w:val="right" w:leader="dot" w:pos="8306"/>
        </w:tabs>
      </w:pPr>
      <w:hyperlink w:anchor="_Toc5177" w:history="1">
        <w:r>
          <w:rPr>
            <w:rFonts w:ascii="仿宋" w:eastAsia="仿宋" w:hAnsi="仿宋" w:cs="仿宋" w:hint="eastAsia"/>
            <w:lang w:eastAsia="zh-CN"/>
          </w:rPr>
          <w:t>(二)、防火防爆总图布置措施</w:t>
        </w:r>
        <w:r>
          <w:tab/>
        </w:r>
        <w:r>
          <w:fldChar w:fldCharType="begin"/>
        </w:r>
        <w:r>
          <w:instrText xml:space="preserve"> PAGEREF _Toc5177 \h </w:instrText>
        </w:r>
        <w:r>
          <w:fldChar w:fldCharType="separate"/>
        </w:r>
        <w:r>
          <w:t>40</w:t>
        </w:r>
        <w:r>
          <w:fldChar w:fldCharType="end"/>
        </w:r>
      </w:hyperlink>
    </w:p>
    <w:p>
      <w:pPr>
        <w:pStyle w:val="TOC2"/>
        <w:tabs>
          <w:tab w:val="right" w:leader="dot" w:pos="8306"/>
        </w:tabs>
      </w:pPr>
      <w:hyperlink w:anchor="_Toc9981" w:history="1">
        <w:r>
          <w:rPr>
            <w:rFonts w:ascii="仿宋" w:eastAsia="仿宋" w:hAnsi="仿宋" w:cs="仿宋" w:hint="eastAsia"/>
            <w:lang w:eastAsia="zh-CN"/>
          </w:rPr>
          <w:t>(三)、自然灾害防范措施</w:t>
        </w:r>
        <w:r>
          <w:tab/>
        </w:r>
        <w:r>
          <w:fldChar w:fldCharType="begin"/>
        </w:r>
        <w:r>
          <w:instrText xml:space="preserve"> PAGEREF _Toc9981 \h </w:instrText>
        </w:r>
        <w:r>
          <w:fldChar w:fldCharType="separate"/>
        </w:r>
        <w:r>
          <w:t>41</w:t>
        </w:r>
        <w:r>
          <w:fldChar w:fldCharType="end"/>
        </w:r>
      </w:hyperlink>
    </w:p>
    <w:p>
      <w:pPr>
        <w:pStyle w:val="TOC2"/>
        <w:tabs>
          <w:tab w:val="right" w:leader="dot" w:pos="8306"/>
        </w:tabs>
      </w:pPr>
      <w:hyperlink w:anchor="_Toc15209" w:history="1">
        <w:r>
          <w:rPr>
            <w:rFonts w:ascii="仿宋" w:eastAsia="仿宋" w:hAnsi="仿宋" w:cs="仿宋" w:hint="eastAsia"/>
            <w:lang w:eastAsia="zh-CN"/>
          </w:rPr>
          <w:t>(四)、安全色及安全标志使用要求</w:t>
        </w:r>
        <w:r>
          <w:tab/>
        </w:r>
        <w:r>
          <w:fldChar w:fldCharType="begin"/>
        </w:r>
        <w:r>
          <w:instrText xml:space="preserve"> PAGEREF _Toc15209 \h </w:instrText>
        </w:r>
        <w:r>
          <w:fldChar w:fldCharType="separate"/>
        </w:r>
        <w:r>
          <w:t>42</w:t>
        </w:r>
        <w:r>
          <w:fldChar w:fldCharType="end"/>
        </w:r>
      </w:hyperlink>
    </w:p>
    <w:p>
      <w:pPr>
        <w:pStyle w:val="TOC2"/>
        <w:tabs>
          <w:tab w:val="right" w:leader="dot" w:pos="8306"/>
        </w:tabs>
      </w:pPr>
      <w:hyperlink w:anchor="_Toc20713" w:history="1">
        <w:r>
          <w:rPr>
            <w:rFonts w:ascii="仿宋" w:eastAsia="仿宋" w:hAnsi="仿宋" w:cs="仿宋" w:hint="eastAsia"/>
            <w:lang w:eastAsia="zh-CN"/>
          </w:rPr>
          <w:t>(五)、防尘防毒措施</w:t>
        </w:r>
        <w:r>
          <w:tab/>
        </w:r>
        <w:r>
          <w:fldChar w:fldCharType="begin"/>
        </w:r>
        <w:r>
          <w:instrText xml:space="preserve"> PAGEREF _Toc20713 \h </w:instrText>
        </w:r>
        <w:r>
          <w:fldChar w:fldCharType="separate"/>
        </w:r>
        <w:r>
          <w:t>43</w:t>
        </w:r>
        <w:r>
          <w:fldChar w:fldCharType="end"/>
        </w:r>
      </w:hyperlink>
    </w:p>
    <w:p>
      <w:pPr>
        <w:pStyle w:val="TOC2"/>
        <w:tabs>
          <w:tab w:val="right" w:leader="dot" w:pos="8306"/>
        </w:tabs>
      </w:pPr>
      <w:hyperlink w:anchor="_Toc11599" w:history="1">
        <w:r>
          <w:rPr>
            <w:rFonts w:ascii="仿宋" w:eastAsia="仿宋" w:hAnsi="仿宋" w:cs="仿宋" w:hint="eastAsia"/>
            <w:lang w:eastAsia="zh-CN"/>
          </w:rPr>
          <w:t>(六)、防静电、触电防护及防雷措施</w:t>
        </w:r>
        <w:r>
          <w:tab/>
        </w:r>
        <w:r>
          <w:fldChar w:fldCharType="begin"/>
        </w:r>
        <w:r>
          <w:instrText xml:space="preserve"> PAGEREF _Toc11599 \h </w:instrText>
        </w:r>
        <w:r>
          <w:fldChar w:fldCharType="separate"/>
        </w:r>
        <w:r>
          <w:t>44</w:t>
        </w:r>
        <w:r>
          <w:fldChar w:fldCharType="end"/>
        </w:r>
      </w:hyperlink>
    </w:p>
    <w:p>
      <w:pPr>
        <w:pStyle w:val="TOC2"/>
        <w:tabs>
          <w:tab w:val="right" w:leader="dot" w:pos="8306"/>
        </w:tabs>
      </w:pPr>
      <w:hyperlink w:anchor="_Toc16862" w:history="1">
        <w:r>
          <w:rPr>
            <w:rFonts w:ascii="仿宋" w:eastAsia="仿宋" w:hAnsi="仿宋" w:cs="仿宋" w:hint="eastAsia"/>
            <w:lang w:eastAsia="zh-CN"/>
          </w:rPr>
          <w:t>(七)、机械设备安全保障措施</w:t>
        </w:r>
        <w:r>
          <w:tab/>
        </w:r>
        <w:r>
          <w:fldChar w:fldCharType="begin"/>
        </w:r>
        <w:r>
          <w:instrText xml:space="preserve"> PAGEREF _Toc16862 \h </w:instrText>
        </w:r>
        <w:r>
          <w:fldChar w:fldCharType="separate"/>
        </w:r>
        <w:r>
          <w:t>45</w:t>
        </w:r>
        <w:r>
          <w:fldChar w:fldCharType="end"/>
        </w:r>
      </w:hyperlink>
    </w:p>
    <w:p>
      <w:pPr>
        <w:pStyle w:val="TOC1"/>
        <w:tabs>
          <w:tab w:val="right" w:leader="dot" w:pos="8306"/>
        </w:tabs>
      </w:pPr>
      <w:hyperlink w:anchor="_Toc17825" w:history="1">
        <w:r>
          <w:rPr>
            <w:rFonts w:ascii="仿宋" w:eastAsia="仿宋" w:hAnsi="仿宋" w:cs="仿宋" w:hint="eastAsia"/>
            <w:lang w:eastAsia="zh-CN"/>
          </w:rPr>
          <w:t>十三、质量管理体系</w:t>
        </w:r>
        <w:r>
          <w:tab/>
        </w:r>
        <w:r>
          <w:fldChar w:fldCharType="begin"/>
        </w:r>
        <w:r>
          <w:instrText xml:space="preserve"> PAGEREF _Toc17825 \h </w:instrText>
        </w:r>
        <w:r>
          <w:fldChar w:fldCharType="separate"/>
        </w:r>
        <w:r>
          <w:t>47</w:t>
        </w:r>
        <w:r>
          <w:fldChar w:fldCharType="end"/>
        </w:r>
      </w:hyperlink>
    </w:p>
    <w:p>
      <w:pPr>
        <w:pStyle w:val="TOC2"/>
        <w:tabs>
          <w:tab w:val="right" w:leader="dot" w:pos="8306"/>
        </w:tabs>
      </w:pPr>
      <w:hyperlink w:anchor="_Toc31221" w:history="1">
        <w:r>
          <w:rPr>
            <w:rFonts w:ascii="仿宋" w:eastAsia="仿宋" w:hAnsi="仿宋" w:cs="仿宋" w:hint="eastAsia"/>
            <w:lang w:eastAsia="zh-CN"/>
          </w:rPr>
          <w:t>(一)、质量目标与方针</w:t>
        </w:r>
        <w:r>
          <w:tab/>
        </w:r>
        <w:r>
          <w:fldChar w:fldCharType="begin"/>
        </w:r>
        <w:r>
          <w:instrText xml:space="preserve"> PAGEREF _Toc31221 \h </w:instrText>
        </w:r>
        <w:r>
          <w:fldChar w:fldCharType="separate"/>
        </w:r>
        <w:r>
          <w:t>47</w:t>
        </w:r>
        <w:r>
          <w:fldChar w:fldCharType="end"/>
        </w:r>
      </w:hyperlink>
    </w:p>
    <w:p>
      <w:pPr>
        <w:pStyle w:val="TOC2"/>
        <w:tabs>
          <w:tab w:val="right" w:leader="dot" w:pos="8306"/>
        </w:tabs>
      </w:pPr>
      <w:hyperlink w:anchor="_Toc21068" w:history="1">
        <w:r>
          <w:rPr>
            <w:rFonts w:ascii="仿宋" w:eastAsia="仿宋" w:hAnsi="仿宋" w:cs="仿宋" w:hint="eastAsia"/>
            <w:lang w:eastAsia="zh-CN"/>
          </w:rPr>
          <w:t>(二)、质量管理责任</w:t>
        </w:r>
        <w:r>
          <w:tab/>
        </w:r>
        <w:r>
          <w:fldChar w:fldCharType="begin"/>
        </w:r>
        <w:r>
          <w:instrText xml:space="preserve"> PAGEREF _Toc21068 \h </w:instrText>
        </w:r>
        <w:r>
          <w:fldChar w:fldCharType="separate"/>
        </w:r>
        <w:r>
          <w:t>48</w:t>
        </w:r>
        <w:r>
          <w:fldChar w:fldCharType="end"/>
        </w:r>
      </w:hyperlink>
    </w:p>
    <w:p>
      <w:pPr>
        <w:pStyle w:val="TOC2"/>
        <w:tabs>
          <w:tab w:val="right" w:leader="dot" w:pos="8306"/>
        </w:tabs>
      </w:pPr>
      <w:hyperlink w:anchor="_Toc3264" w:history="1">
        <w:r>
          <w:rPr>
            <w:rFonts w:ascii="仿宋" w:eastAsia="仿宋" w:hAnsi="仿宋" w:cs="仿宋" w:hint="eastAsia"/>
            <w:lang w:eastAsia="zh-CN"/>
          </w:rPr>
          <w:t>(三)、质量管理体系文件</w:t>
        </w:r>
        <w:r>
          <w:tab/>
        </w:r>
        <w:r>
          <w:fldChar w:fldCharType="begin"/>
        </w:r>
        <w:r>
          <w:instrText xml:space="preserve"> PAGEREF _Toc3264 \h </w:instrText>
        </w:r>
        <w:r>
          <w:fldChar w:fldCharType="separate"/>
        </w:r>
        <w:r>
          <w:t>49</w:t>
        </w:r>
        <w:r>
          <w:fldChar w:fldCharType="end"/>
        </w:r>
      </w:hyperlink>
    </w:p>
    <w:p>
      <w:pPr>
        <w:pStyle w:val="TOC2"/>
        <w:tabs>
          <w:tab w:val="right" w:leader="dot" w:pos="8306"/>
        </w:tabs>
      </w:pPr>
      <w:hyperlink w:anchor="_Toc26792" w:history="1">
        <w:r>
          <w:rPr>
            <w:rFonts w:ascii="仿宋" w:eastAsia="仿宋" w:hAnsi="仿宋" w:cs="仿宋" w:hint="eastAsia"/>
            <w:lang w:eastAsia="zh-CN"/>
          </w:rPr>
          <w:t>(四)、质量培训与教育</w:t>
        </w:r>
        <w:r>
          <w:tab/>
        </w:r>
        <w:r>
          <w:fldChar w:fldCharType="begin"/>
        </w:r>
        <w:r>
          <w:instrText xml:space="preserve"> PAGEREF _Toc26792 \h </w:instrText>
        </w:r>
        <w:r>
          <w:fldChar w:fldCharType="separate"/>
        </w:r>
        <w:r>
          <w:t>51</w:t>
        </w:r>
        <w:r>
          <w:fldChar w:fldCharType="end"/>
        </w:r>
      </w:hyperlink>
    </w:p>
    <w:p>
      <w:pPr>
        <w:pStyle w:val="TOC2"/>
        <w:tabs>
          <w:tab w:val="right" w:leader="dot" w:pos="8306"/>
        </w:tabs>
      </w:pPr>
      <w:hyperlink w:anchor="_Toc29207" w:history="1">
        <w:r>
          <w:rPr>
            <w:rFonts w:ascii="仿宋" w:eastAsia="仿宋" w:hAnsi="仿宋" w:cs="仿宋" w:hint="eastAsia"/>
            <w:lang w:eastAsia="zh-CN"/>
          </w:rPr>
          <w:t>(五)、质量审核与评价</w:t>
        </w:r>
        <w:r>
          <w:tab/>
        </w:r>
        <w:r>
          <w:fldChar w:fldCharType="begin"/>
        </w:r>
        <w:r>
          <w:instrText xml:space="preserve"> PAGEREF _Toc29207 \h </w:instrText>
        </w:r>
        <w:r>
          <w:fldChar w:fldCharType="separate"/>
        </w:r>
        <w:r>
          <w:t>53</w:t>
        </w:r>
        <w:r>
          <w:fldChar w:fldCharType="end"/>
        </w:r>
      </w:hyperlink>
    </w:p>
    <w:p>
      <w:pPr>
        <w:pStyle w:val="TOC2"/>
        <w:tabs>
          <w:tab w:val="right" w:leader="dot" w:pos="8306"/>
        </w:tabs>
      </w:pPr>
      <w:hyperlink w:anchor="_Toc390" w:history="1">
        <w:r>
          <w:rPr>
            <w:rFonts w:ascii="仿宋" w:eastAsia="仿宋" w:hAnsi="仿宋" w:cs="仿宋" w:hint="eastAsia"/>
            <w:lang w:eastAsia="zh-CN"/>
          </w:rPr>
          <w:t>(六)、不符合与纠正措施</w:t>
        </w:r>
        <w:r>
          <w:tab/>
        </w:r>
        <w:r>
          <w:fldChar w:fldCharType="begin"/>
        </w:r>
        <w:r>
          <w:instrText xml:space="preserve"> PAGEREF _Toc390 \h </w:instrText>
        </w:r>
        <w:r>
          <w:fldChar w:fldCharType="separate"/>
        </w:r>
        <w:r>
          <w:t>54</w:t>
        </w:r>
        <w:r>
          <w:fldChar w:fldCharType="end"/>
        </w:r>
      </w:hyperlink>
    </w:p>
    <w:p>
      <w:pPr>
        <w:pStyle w:val="TOC1"/>
        <w:tabs>
          <w:tab w:val="right" w:leader="dot" w:pos="8306"/>
        </w:tabs>
      </w:pPr>
      <w:hyperlink w:anchor="_Toc1656" w:history="1">
        <w:r>
          <w:rPr>
            <w:rFonts w:ascii="仿宋" w:eastAsia="仿宋" w:hAnsi="仿宋" w:cs="仿宋" w:hint="eastAsia"/>
            <w:lang w:eastAsia="zh-CN"/>
          </w:rPr>
          <w:t>十四、利益相关者分析与沟通计划</w:t>
        </w:r>
        <w:r>
          <w:tab/>
        </w:r>
        <w:r>
          <w:fldChar w:fldCharType="begin"/>
        </w:r>
        <w:r>
          <w:instrText xml:space="preserve"> PAGEREF _Toc1656 \h </w:instrText>
        </w:r>
        <w:r>
          <w:fldChar w:fldCharType="separate"/>
        </w:r>
        <w:r>
          <w:t>55</w:t>
        </w:r>
        <w:r>
          <w:fldChar w:fldCharType="end"/>
        </w:r>
      </w:hyperlink>
    </w:p>
    <w:p>
      <w:pPr>
        <w:pStyle w:val="TOC2"/>
        <w:tabs>
          <w:tab w:val="right" w:leader="dot" w:pos="8306"/>
        </w:tabs>
      </w:pPr>
      <w:hyperlink w:anchor="_Toc31379" w:history="1">
        <w:r>
          <w:rPr>
            <w:rFonts w:ascii="仿宋" w:eastAsia="仿宋" w:hAnsi="仿宋" w:cs="仿宋" w:hint="eastAsia"/>
            <w:lang w:eastAsia="zh-CN"/>
          </w:rPr>
          <w:t>(一)、利益相关者分析</w:t>
        </w:r>
        <w:r>
          <w:tab/>
        </w:r>
        <w:r>
          <w:fldChar w:fldCharType="begin"/>
        </w:r>
        <w:r>
          <w:instrText xml:space="preserve"> PAGEREF _Toc31379 \h </w:instrText>
        </w:r>
        <w:r>
          <w:fldChar w:fldCharType="separate"/>
        </w:r>
        <w:r>
          <w:t>55</w:t>
        </w:r>
        <w:r>
          <w:fldChar w:fldCharType="end"/>
        </w:r>
      </w:hyperlink>
    </w:p>
    <w:p>
      <w:pPr>
        <w:pStyle w:val="TOC2"/>
        <w:tabs>
          <w:tab w:val="right" w:leader="dot" w:pos="8306"/>
        </w:tabs>
      </w:pPr>
      <w:hyperlink w:anchor="_Toc32605" w:history="1">
        <w:r>
          <w:rPr>
            <w:rFonts w:ascii="仿宋" w:eastAsia="仿宋" w:hAnsi="仿宋" w:cs="仿宋" w:hint="eastAsia"/>
            <w:lang w:eastAsia="zh-CN"/>
          </w:rPr>
          <w:t>(二)、沟通计划</w:t>
        </w:r>
        <w:r>
          <w:tab/>
        </w:r>
        <w:r>
          <w:fldChar w:fldCharType="begin"/>
        </w:r>
        <w:r>
          <w:instrText xml:space="preserve"> PAGEREF _Toc32605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79"/>
      <w:r>
        <w:rPr>
          <w:rFonts w:ascii="仿宋" w:eastAsia="仿宋" w:hAnsi="仿宋" w:cs="仿宋" w:hint="eastAsia"/>
          <w:sz w:val="28"/>
          <w:lang w:eastAsia="zh-CN"/>
        </w:rPr>
        <w:t>一、气血分析仪项目土建工程</w:t>
      </w:r>
      <w:bookmarkEnd w:id="2"/>
    </w:p>
    <w:p>
      <w:pPr>
        <w:pStyle w:val="Heading2"/>
        <w:rPr>
          <w:rFonts w:ascii="仿宋" w:eastAsia="仿宋" w:hAnsi="仿宋" w:cs="仿宋" w:hint="eastAsia"/>
          <w:lang w:eastAsia="zh-CN"/>
        </w:rPr>
      </w:pPr>
      <w:bookmarkStart w:id="3" w:name="_Toc162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在气血分析仪项目的建筑工程设计中，我们将秉承一系列重要的设计原则，以确保气血分析仪项目建筑在功能、美观、可持续性等方面达到最佳效果。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首要原则是确保建筑的功能性得到最大化的发挥。我们将充分理解气血分析仪项目的实际需求，合理布局各个功能区域，保证建筑在满足业务需求的同时，提供高效的工作环境。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在建筑设计中，我们将综合考虑建设和运营成本。通过精细的经济效益分析，确保设计方案在高效利用资源的同时，对气血分析仪项目的长期盈利能力有积极的贡献。</w:t>
      </w:r>
    </w:p>
    <w:p>
      <w:pPr>
        <w:pStyle w:val="Heading2"/>
        <w:ind w:firstLine="560" w:firstLineChars="200"/>
        <w:rPr>
          <w:rFonts w:ascii="仿宋" w:eastAsia="仿宋" w:hAnsi="仿宋" w:cs="仿宋" w:hint="eastAsia"/>
          <w:sz w:val="28"/>
          <w:lang w:eastAsia="zh-CN"/>
        </w:rPr>
      </w:pPr>
      <w:bookmarkStart w:id="4" w:name="_Toc3007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分析仪项目的土建工程设计中，我们将精准设定设计年限，结合气血分析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血分析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0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气血分析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血分析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血分析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93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本期工程气血分析仪项目预计总建筑面积XXX平方米，其中：计容建筑面积XXX平方米，计划建筑工程投资XX万元，占气血分析仪项目总投资的XX%。</w:t>
      </w:r>
    </w:p>
    <w:p>
      <w:pPr>
        <w:pStyle w:val="Heading1"/>
        <w:ind w:firstLine="560" w:firstLineChars="200"/>
        <w:rPr>
          <w:rFonts w:ascii="仿宋" w:eastAsia="仿宋" w:hAnsi="仿宋" w:cs="仿宋" w:hint="eastAsia"/>
          <w:sz w:val="28"/>
          <w:lang w:eastAsia="zh-CN"/>
        </w:rPr>
      </w:pPr>
      <w:bookmarkStart w:id="7" w:name="_Toc12157"/>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17"/>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气血分析仪项目的主要产品是XXXX，预计年产值为XXX万元。这一产品在市场中占据着重要的地位，其广泛的应用范围使得该气血分析仪项目的市场前景非常广阔。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血分析仪项目的xxx产品作为重要的原材料之一，将在多个领域发挥关键作用。其在建筑、交通、能源等方面的广泛应用将为整个产业链提供强大的支持，形成产业协同效应。气血分析仪项目的年产值XXX万XXX万XXX万万元不仅反映了其在市场上的巨大潜力，更预示着它对国民经济的积极贡献。这种关联度高、涉及面广的产业关系，使得该气血分析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5182"/>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总征地面积为XXXX平方米，相当于约XX.XX亩，其中净用地面积为XXXX平方米，红线范围内相当于约XX.XX亩。这一用地规模充分考虑了气血分析仪项目的建设需求，保障了气血分析仪项目在合适的空间内得以充分发展。气血分析仪项目规划的总建筑面积为XXXX平方米，其中主体工程建设占XXXX平方米，计容建筑面积达XXXX平方米。预计建筑工程的投资将达到XXXX万元，为气血分析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计划购置的设备共计XXXX台（套），设备购置费用为XXXX万元。这一设备购置计划充分考虑到气血分析仪项目的生产需求和技术要求，确保了气血分析仪项目在生产运营中具备先进的技术装备和高效的生产能力。设备的合理配置将为气血分析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计划总投资为XXXX万元，预计年实现营业收入为XXXX万元。这一产能规模的设定旨在确保气血分析仪项目能够在投资与回报之间取得平衡，实现长期可持续的发展。气血分析仪项目的总投资充分考虑到各个方面的需求，包括用地建设、设备购置等多个环节，以确保气血分析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6129"/>
      <w:r>
        <w:rPr>
          <w:rFonts w:ascii="仿宋" w:eastAsia="仿宋" w:hAnsi="仿宋" w:cs="仿宋" w:hint="eastAsia"/>
          <w:sz w:val="28"/>
          <w:lang w:eastAsia="zh-CN"/>
        </w:rPr>
        <w:t>三、气血分析仪项目文档管理</w:t>
      </w:r>
      <w:bookmarkEnd w:id="10"/>
    </w:p>
    <w:p>
      <w:pPr>
        <w:pStyle w:val="Heading2"/>
        <w:rPr>
          <w:rFonts w:ascii="仿宋" w:eastAsia="仿宋" w:hAnsi="仿宋" w:cs="仿宋" w:hint="eastAsia"/>
          <w:lang w:eastAsia="zh-CN"/>
        </w:rPr>
      </w:pPr>
      <w:bookmarkStart w:id="11" w:name="_Toc6147"/>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气血分析仪项目高度重视文档的质量和准确性，以支持气血分析仪项目的各项活动和决策。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文档的编制始于气血分析仪项目计划的初期，我们制定了详细的文档编制计划，明确了每个文档的内容、格式和编写责任人。在气血分析仪项目启动阶段，我们首先编制了气血分析仪项目章程，明确定义了气血分析仪项目的目标、范围、风险等关键要素。随后，气血分析仪项目团队根据计划陆续编制了需求文档、设计文档、测试文档等各类文档，确保气血分析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气血分析仪项目管理中的重要环节，旨在确保气血分析仪项目文档符合质量标准和气血分析仪项目需求。在气血分析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气血分析仪项目相关利益方和专业领域的专家对文档进行独立审查。这有助于获取更全面、客观的反馈，确保气血分析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气血分析仪项目在文档编制与审查方面建立了严格的管理机制，通过规范的流程和多维度的审查，确保气血分析仪项目文档的质量、准确性和可靠性，为气血分析仪项目的顺利推进提供了有力支持。</w:t>
      </w:r>
    </w:p>
    <w:p>
      <w:pPr>
        <w:pStyle w:val="Heading2"/>
        <w:ind w:firstLine="560" w:firstLineChars="200"/>
        <w:rPr>
          <w:rFonts w:ascii="仿宋" w:eastAsia="仿宋" w:hAnsi="仿宋" w:cs="仿宋" w:hint="eastAsia"/>
          <w:sz w:val="28"/>
          <w:lang w:eastAsia="zh-CN"/>
        </w:rPr>
      </w:pPr>
      <w:bookmarkStart w:id="12" w:name="_Toc2659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在气血分析仪项目中，我们致力于优化文档发布与分发过程，以确保信息的高效传递和团队间协作的顺畅进行。以下是我们采取的关键优化策略：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我们通过多渠道发布文档，包括电子邮件、气血分析仪项目管理平台、内部网站等，以满足不同团队成员的偏好和需求。多渠道发布确保了信息的全面覆盖。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我们采用了精细的权限控制，确保只有授权人员可以访问敏感信息。这种安全措施保护了气血分析仪项目文档的机密性，防止了未经授权的信息泄露。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2484"/>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文档存档与归档是气血分析仪项目生命周期中一个至关重要的环节，直接关系到气血分析仪项目信息的长期保存和历史记录的完整性。在气血分析仪项目中，我们实施了一系列有效的文档存档与归档管理策略：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933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7844"/>
      <w:r>
        <w:rPr>
          <w:rFonts w:ascii="仿宋" w:eastAsia="仿宋" w:hAnsi="仿宋" w:cs="仿宋" w:hint="eastAsia"/>
          <w:lang w:eastAsia="zh-CN"/>
        </w:rPr>
        <w:t>(一)、气血分析仪行业分析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行业一直以来都是市场的关注焦点。行业内的发展趋势、竞争态势以及潜在机会都对气血分析仪项目的推进产生深远的影响。通过深入研究行业的整体概貌，我们将更好地理解行业的核心特征，为气血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分析仪行业，技术一直是推动创新和发展的关键因素。我们将对当前技术趋势进行详尽分析，包括但不限于人工智能、大数据应用、先进制造技术等。这有助于气血分析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血分析仪项目成功的基础。我们将对主要竞争对手进行深入研究，包括其市场份额、产品特点、市场定位等。通过全面了解竞争对手的优势和劣势，气血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0716"/>
      <w:r>
        <w:rPr>
          <w:rFonts w:ascii="仿宋" w:eastAsia="仿宋" w:hAnsi="仿宋" w:cs="仿宋" w:hint="eastAsia"/>
          <w:sz w:val="28"/>
          <w:lang w:eastAsia="zh-CN"/>
        </w:rPr>
        <w:t>(二)、气血分析仪市场分析预测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血分析仪市场未来的增长趋势。这包括市场的整体规模、各细分领域的发展趋势等。气血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血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气血分析仪项目实施过程中需要充分考虑的因素。我们将对市场风险进行全面评估，包括但不限于政策法规风险、市场竞争风险、技术变革风险等。通过对潜在风险的深入分析，气血分析仪项目可以制定相应的风险缓解策略，降低不确定性对气血分析仪项目的影响。</w:t>
      </w:r>
    </w:p>
    <w:p>
      <w:pPr>
        <w:pStyle w:val="Heading1"/>
        <w:ind w:firstLine="560" w:firstLineChars="200"/>
        <w:rPr>
          <w:rFonts w:ascii="仿宋" w:eastAsia="仿宋" w:hAnsi="仿宋" w:cs="仿宋" w:hint="eastAsia"/>
          <w:sz w:val="28"/>
          <w:lang w:eastAsia="zh-CN"/>
        </w:rPr>
      </w:pPr>
      <w:bookmarkStart w:id="17" w:name="_Toc15897"/>
      <w:r>
        <w:rPr>
          <w:rFonts w:ascii="仿宋" w:eastAsia="仿宋" w:hAnsi="仿宋" w:cs="仿宋" w:hint="eastAsia"/>
          <w:sz w:val="28"/>
          <w:lang w:eastAsia="zh-CN"/>
        </w:rPr>
        <w:t>五、气血分析仪项目绩效评估</w:t>
      </w:r>
      <w:bookmarkEnd w:id="17"/>
    </w:p>
    <w:p>
      <w:pPr>
        <w:pStyle w:val="Heading2"/>
        <w:rPr>
          <w:rFonts w:ascii="仿宋" w:eastAsia="仿宋" w:hAnsi="仿宋" w:cs="仿宋" w:hint="eastAsia"/>
          <w:lang w:eastAsia="zh-CN"/>
        </w:rPr>
      </w:pPr>
      <w:bookmarkStart w:id="18" w:name="_Toc3016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分析仪项目中，我们设计了一套全面的绩效评估指标，以确保气血分析仪项目的可控和成功交付。这些指标跨足气血分析仪项目目标、成本、进度和质量等多个维度，为我们提供了全面洞察气血分析仪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目标达成率是我们关注的首要指标。我们设定了明确的目标，并通过定期监测和评估，迅速发现并应对潜在的目标偏差。这为气血分析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成本绩效是另一个核心关注点。通过实际成本与预算成本的对比分析，我们深入了解成本差异的原因，及时调整资源分配，保持气血分析仪项目在经济效益方面的合理水平。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进度作为关键的绩效指标之一，得到了精心的关注。我们制定了详细的气血分析仪项目进度计划，并设立了进度符合度指标，确保实际进度与计划进度保持一致。这使我们能够快速发现和解决潜在的进度问题，保持气血分析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血分析仪项目绩效的不可或缺的一环。我们引入了一系列的质量标准和客户满意度指标，以确保气血分析仪项目交付的成果在质量上达到或超越预期水平。通过持续监测这些指标，我们努力提升气血分析仪项目整体质量水平，为气血分析仪项目的成功交付提供有力保障。通过这些科学且全面的绩效评估，我们能够更好地引导气血分析仪项目的持续改进，确保气血分析仪项目目标的顺利达成。</w:t>
      </w:r>
    </w:p>
    <w:p>
      <w:pPr>
        <w:pStyle w:val="Heading2"/>
        <w:ind w:firstLine="560" w:firstLineChars="200"/>
        <w:rPr>
          <w:rFonts w:ascii="仿宋" w:eastAsia="仿宋" w:hAnsi="仿宋" w:cs="仿宋" w:hint="eastAsia"/>
          <w:sz w:val="28"/>
          <w:lang w:eastAsia="zh-CN"/>
        </w:rPr>
      </w:pPr>
      <w:bookmarkStart w:id="19" w:name="_Toc347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绩效评估是气血分析仪项目中的关键环节，为确保气血分析仪项目达到预期目标，我们采用了多层次、多维度的绩效评估方法。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血分析仪项目的战略目标对齐，确保每个决策和行动都与气血分析仪项目整体目标保持一致。团队会定期召开战略对齐会议，审视当前工作与气血分析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血分析仪项目进度、质量、成本和风险等方面。这些指标通过数据收集和分析，为气血分析仪项目管理团队提供了客观的评估依据。例如，我们通过气血分析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绩效评估不仅仅停留在气血分析仪项目内部，还考虑了气血分析仪项目对外部环境的影响。我们定期进行干系人满意度调查，以了解各利益相关方对气血分析仪项目的期望和满意度，并及时做出调整。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这种多层次、多角度的绩效评估方法，使得我们能够全面了解气血分析仪项目的运行状态，及时做出调整，确保气血分析仪项目在不断变化的环境中保持稳健前行。</w:t>
      </w:r>
    </w:p>
    <w:p>
      <w:pPr>
        <w:pStyle w:val="Heading2"/>
        <w:ind w:firstLine="560" w:firstLineChars="200"/>
        <w:rPr>
          <w:rFonts w:ascii="仿宋" w:eastAsia="仿宋" w:hAnsi="仿宋" w:cs="仿宋" w:hint="eastAsia"/>
          <w:sz w:val="28"/>
          <w:lang w:eastAsia="zh-CN"/>
        </w:rPr>
      </w:pPr>
      <w:bookmarkStart w:id="20" w:name="_Toc12807"/>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为了确保气血分析仪项目的有效管理和不断优化，我们采用了精心设计的绩效评估周期。这个周期旨在实现灵活、实时和全面的评估，以适应气血分析仪项目执行中的各种挑战。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血分析仪项目的不同需求，分为短期、中期和长期。短期评估关注每个迭代或工作周期，以及时发现和解决当前任务中的问题。中期评估涵盖几个迭代，深入了解整体气血分析仪项目的趋势和性能。长期评估则着眼于整个气血分析仪项目阶段，确保气血分析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血分析仪项目管理工具和协作平台，团队成员能够随时更新和分享气血分析仪项目数据。这种实时性的反馈机制使我们能够及时察觉潜在问题，快速调整，保持气血分析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血分析仪项目的决策制定密不可分。每个周期的气血分析仪项目回顾会议成为集体总结经验、识别问题深层次原因并找到创新解决方案的平台。这种定期的反思与调整机制使气血分析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18538"/>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26065"/>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https://d.book118.com/468070041053006045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AF43B9"/>
    <w:rsid w:val="2BAF43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7004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2024-03-02T23:03:00Z</dcterms:created>
  <dcterms:modified xsi:type="dcterms:W3CDTF">2024-03-02T23:03:15Z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D9AA8DAFB883426C954D28B193EBAE5D_11</vt:lpwstr>
  </property>
  <property fmtid="{D5CDD505-2E9C-101B-9397-08002B2CF9AE}" pid="3" name="KSOProductBuildVer">
    <vt:lpwstr>2052-12.1.0.16388</vt:lpwstr>
  </property>
</Properties>
</file>