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firstLine="0"/>
        <w:rPr>
          <w:rFonts w:ascii="Times New Roman"/>
          <w:sz w:val="20"/>
        </w:rPr>
      </w:pPr>
    </w:p>
    <w:p>
      <w:pPr>
        <w:pStyle w:val="BodyText"/>
        <w:ind w:left="0" w:firstLine="0"/>
        <w:rPr>
          <w:rFonts w:ascii="Times New Roman"/>
          <w:sz w:val="20"/>
        </w:rPr>
      </w:pPr>
    </w:p>
    <w:p>
      <w:pPr>
        <w:pStyle w:val="BodyText"/>
        <w:ind w:left="0" w:firstLine="0"/>
        <w:rPr>
          <w:rFonts w:ascii="Times New Roman"/>
          <w:sz w:val="20"/>
        </w:rPr>
      </w:pPr>
    </w:p>
    <w:p>
      <w:pPr>
        <w:pStyle w:val="Title"/>
      </w:pPr>
      <w:r>
        <w:rPr>
          <w:spacing w:val="-5"/>
        </w:rPr>
        <w:t>目录</w:t>
      </w:r>
    </w:p>
    <w:p>
      <w:pPr>
        <w:pStyle w:val="BodyText"/>
        <w:spacing w:before="8"/>
        <w:ind w:left="0" w:firstLine="0"/>
        <w:rPr>
          <w:sz w:val="37"/>
        </w:rPr>
      </w:pPr>
    </w:p>
    <w:p>
      <w:pPr>
        <w:spacing w:before="0"/>
        <w:ind w:left="134" w:right="0" w:firstLine="0"/>
        <w:jc w:val="left"/>
        <w:rPr>
          <w:b/>
          <w:sz w:val="21"/>
        </w:rPr>
      </w:pPr>
      <w:hyperlink w:anchor="_bookmark0" w:history="1">
        <w:r>
          <w:rPr>
            <w:b/>
            <w:sz w:val="21"/>
          </w:rPr>
          <w:t>【复试】2024</w:t>
        </w:r>
        <w:r>
          <w:rPr>
            <w:b/>
            <w:spacing w:val="-6"/>
            <w:sz w:val="21"/>
          </w:rPr>
          <w:t xml:space="preserve"> 年暨南大学 </w:t>
        </w:r>
        <w:r>
          <w:rPr>
            <w:b/>
            <w:sz w:val="21"/>
          </w:rPr>
          <w:t>0301Z1</w:t>
        </w:r>
        <w:r>
          <w:rPr>
            <w:b/>
            <w:spacing w:val="-5"/>
            <w:sz w:val="21"/>
          </w:rPr>
          <w:t xml:space="preserve"> 知识产权法学《复试:知识产权法》考研复试仿真模拟 </w:t>
        </w:r>
        <w:r>
          <w:rPr>
            <w:b/>
            <w:sz w:val="21"/>
          </w:rPr>
          <w:t>5</w:t>
        </w:r>
        <w:r>
          <w:rPr>
            <w:b/>
            <w:spacing w:val="-5"/>
            <w:sz w:val="21"/>
          </w:rPr>
          <w:t xml:space="preserve"> 套卷</w:t>
        </w:r>
        <w:r>
          <w:rPr>
            <w:b/>
            <w:sz w:val="21"/>
          </w:rPr>
          <w:t>（一</w:t>
        </w:r>
        <w:r>
          <w:rPr>
            <w:b/>
            <w:spacing w:val="-5"/>
            <w:sz w:val="21"/>
          </w:rPr>
          <w:t>）4</w:t>
        </w:r>
      </w:hyperlink>
    </w:p>
    <w:p>
      <w:pPr>
        <w:pStyle w:val="BodyText"/>
        <w:spacing w:before="2"/>
        <w:ind w:left="0" w:firstLine="0"/>
        <w:rPr>
          <w:b/>
          <w:sz w:val="18"/>
        </w:rPr>
      </w:pPr>
    </w:p>
    <w:p>
      <w:pPr>
        <w:spacing w:before="0"/>
        <w:ind w:left="134" w:right="0" w:firstLine="0"/>
        <w:jc w:val="left"/>
        <w:rPr>
          <w:b/>
          <w:sz w:val="21"/>
        </w:rPr>
      </w:pPr>
      <w:hyperlink w:anchor="_bookmark1" w:history="1">
        <w:r>
          <w:rPr>
            <w:b/>
            <w:sz w:val="21"/>
          </w:rPr>
          <w:t>【复试】2024</w:t>
        </w:r>
        <w:r>
          <w:rPr>
            <w:b/>
            <w:spacing w:val="-6"/>
            <w:sz w:val="21"/>
          </w:rPr>
          <w:t xml:space="preserve"> 年暨南大学 </w:t>
        </w:r>
        <w:r>
          <w:rPr>
            <w:b/>
            <w:sz w:val="21"/>
          </w:rPr>
          <w:t>0301Z1</w:t>
        </w:r>
        <w:r>
          <w:rPr>
            <w:b/>
            <w:spacing w:val="-5"/>
            <w:sz w:val="21"/>
          </w:rPr>
          <w:t xml:space="preserve"> 知识产权法学《复试:知识产权法》考研复试仿真模拟 </w:t>
        </w:r>
        <w:r>
          <w:rPr>
            <w:b/>
            <w:sz w:val="21"/>
          </w:rPr>
          <w:t>5</w:t>
        </w:r>
        <w:r>
          <w:rPr>
            <w:b/>
            <w:spacing w:val="-5"/>
            <w:sz w:val="21"/>
          </w:rPr>
          <w:t xml:space="preserve"> 套卷</w:t>
        </w:r>
        <w:r>
          <w:rPr>
            <w:b/>
            <w:sz w:val="21"/>
          </w:rPr>
          <w:t>（二</w:t>
        </w:r>
        <w:r>
          <w:rPr>
            <w:b/>
            <w:spacing w:val="-5"/>
            <w:sz w:val="21"/>
          </w:rPr>
          <w:t>）8</w:t>
        </w:r>
      </w:hyperlink>
    </w:p>
    <w:p>
      <w:pPr>
        <w:pStyle w:val="BodyText"/>
        <w:spacing w:before="1"/>
        <w:ind w:left="0" w:firstLine="0"/>
        <w:rPr>
          <w:b/>
          <w:sz w:val="18"/>
        </w:rPr>
      </w:pPr>
    </w:p>
    <w:p>
      <w:pPr>
        <w:spacing w:before="0"/>
        <w:ind w:left="134" w:right="0" w:firstLine="0"/>
        <w:jc w:val="left"/>
        <w:rPr>
          <w:b/>
          <w:sz w:val="21"/>
        </w:rPr>
      </w:pPr>
      <w:hyperlink w:anchor="_bookmark2" w:history="1">
        <w:r>
          <w:rPr>
            <w:b/>
            <w:spacing w:val="-4"/>
            <w:sz w:val="21"/>
          </w:rPr>
          <w:t>【复试】2024</w:t>
        </w:r>
        <w:r>
          <w:rPr>
            <w:b/>
            <w:spacing w:val="-5"/>
            <w:sz w:val="21"/>
          </w:rPr>
          <w:t xml:space="preserve"> 年暨南大学 </w:t>
        </w:r>
        <w:r>
          <w:rPr>
            <w:b/>
            <w:spacing w:val="-4"/>
            <w:sz w:val="21"/>
          </w:rPr>
          <w:t>0301Z1 知识产权法学《复试:知识产权法》考研复试仿真模拟 5 套卷（三</w:t>
        </w:r>
        <w:r>
          <w:rPr>
            <w:b/>
            <w:spacing w:val="-5"/>
            <w:sz w:val="21"/>
          </w:rPr>
          <w:t>）13</w:t>
        </w:r>
      </w:hyperlink>
    </w:p>
    <w:p>
      <w:pPr>
        <w:pStyle w:val="BodyText"/>
        <w:spacing w:before="2"/>
        <w:ind w:left="0" w:firstLine="0"/>
        <w:rPr>
          <w:b/>
          <w:sz w:val="18"/>
        </w:rPr>
      </w:pPr>
    </w:p>
    <w:p>
      <w:pPr>
        <w:spacing w:before="0"/>
        <w:ind w:left="134" w:right="0" w:firstLine="0"/>
        <w:jc w:val="left"/>
        <w:rPr>
          <w:b/>
          <w:sz w:val="21"/>
        </w:rPr>
      </w:pPr>
      <w:hyperlink w:anchor="_bookmark3" w:history="1">
        <w:r>
          <w:rPr>
            <w:b/>
            <w:spacing w:val="-4"/>
            <w:sz w:val="21"/>
          </w:rPr>
          <w:t>【复试】2024</w:t>
        </w:r>
        <w:r>
          <w:rPr>
            <w:b/>
            <w:spacing w:val="-5"/>
            <w:sz w:val="21"/>
          </w:rPr>
          <w:t xml:space="preserve"> 年暨南大学 </w:t>
        </w:r>
        <w:r>
          <w:rPr>
            <w:b/>
            <w:spacing w:val="-4"/>
            <w:sz w:val="21"/>
          </w:rPr>
          <w:t>0301Z1 知识产权法学《复试:知识产权法》考研复试仿真模拟 5 套卷（四</w:t>
        </w:r>
        <w:r>
          <w:rPr>
            <w:b/>
            <w:spacing w:val="-5"/>
            <w:sz w:val="21"/>
          </w:rPr>
          <w:t>）17</w:t>
        </w:r>
      </w:hyperlink>
    </w:p>
    <w:p>
      <w:pPr>
        <w:pStyle w:val="BodyText"/>
        <w:spacing w:before="1"/>
        <w:ind w:left="0" w:firstLine="0"/>
        <w:rPr>
          <w:b/>
          <w:sz w:val="18"/>
        </w:rPr>
      </w:pPr>
    </w:p>
    <w:p>
      <w:pPr>
        <w:spacing w:before="1"/>
        <w:ind w:left="134" w:right="0" w:firstLine="0"/>
        <w:jc w:val="left"/>
        <w:rPr>
          <w:b/>
          <w:sz w:val="21"/>
        </w:rPr>
      </w:pPr>
      <w:hyperlink w:anchor="_bookmark4" w:history="1">
        <w:r>
          <w:rPr>
            <w:b/>
            <w:spacing w:val="-4"/>
            <w:sz w:val="21"/>
          </w:rPr>
          <w:t>【复试】2024</w:t>
        </w:r>
        <w:r>
          <w:rPr>
            <w:b/>
            <w:spacing w:val="-5"/>
            <w:sz w:val="21"/>
          </w:rPr>
          <w:t xml:space="preserve"> 年暨南大学 </w:t>
        </w:r>
        <w:r>
          <w:rPr>
            <w:b/>
            <w:spacing w:val="-4"/>
            <w:sz w:val="21"/>
          </w:rPr>
          <w:t>0301Z1 知识产权法学《复试:知识产权法》考研复试仿真模拟 5 套卷（五</w:t>
        </w:r>
        <w:r>
          <w:rPr>
            <w:b/>
            <w:spacing w:val="-5"/>
            <w:sz w:val="21"/>
          </w:rPr>
          <w:t>）22</w:t>
        </w:r>
      </w:hyperlink>
    </w:p>
    <w:p>
      <w:pPr>
        <w:spacing w:after="0"/>
        <w:jc w:val="left"/>
        <w:rPr>
          <w:sz w:val="21"/>
        </w:rPr>
        <w:sectPr>
          <w:headerReference w:type="default" r:id="rId5"/>
          <w:footerReference w:type="default" r:id="rId6"/>
          <w:type w:val="continuous"/>
          <w:pgSz w:w="11910" w:h="16840"/>
          <w:pgMar w:top="1460" w:right="920" w:bottom="820" w:left="1000" w:header="567" w:footer="633" w:gutter="0"/>
          <w:pgNumType w:start="3"/>
          <w:cols w:num="1" w:space="720"/>
        </w:sectPr>
      </w:pPr>
    </w:p>
    <w:p>
      <w:pPr>
        <w:spacing w:before="113" w:line="427" w:lineRule="exact"/>
        <w:ind w:left="139" w:right="276" w:firstLine="0"/>
        <w:jc w:val="center"/>
        <w:rPr>
          <w:b/>
          <w:sz w:val="24"/>
        </w:rPr>
      </w:pPr>
      <w:bookmarkStart w:id="1" w:name="_bookmark0"/>
      <w:bookmarkEnd w:id="1"/>
      <w:r>
        <w:rPr>
          <w:b/>
          <w:spacing w:val="-2"/>
          <w:sz w:val="24"/>
        </w:rPr>
        <w:t>【复试】2024</w:t>
      </w:r>
      <w:r>
        <w:rPr>
          <w:b/>
          <w:spacing w:val="-3"/>
          <w:sz w:val="24"/>
        </w:rPr>
        <w:t xml:space="preserve"> 年暨南大学 </w:t>
      </w:r>
      <w:r>
        <w:rPr>
          <w:b/>
          <w:spacing w:val="-2"/>
          <w:sz w:val="24"/>
        </w:rPr>
        <w:t>0301Z1</w:t>
      </w:r>
      <w:r>
        <w:rPr>
          <w:b/>
          <w:spacing w:val="-3"/>
          <w:sz w:val="24"/>
        </w:rPr>
        <w:t xml:space="preserve"> 知识产权法学《复试:知识产权法》考研复试仿真模拟 </w:t>
      </w:r>
      <w:r>
        <w:rPr>
          <w:b/>
          <w:spacing w:val="-10"/>
          <w:sz w:val="24"/>
        </w:rPr>
        <w:t>5</w:t>
      </w:r>
    </w:p>
    <w:p>
      <w:pPr>
        <w:spacing w:before="0" w:line="427" w:lineRule="exact"/>
        <w:ind w:left="4340" w:right="4419" w:firstLine="0"/>
        <w:jc w:val="center"/>
        <w:rPr>
          <w:b/>
          <w:sz w:val="24"/>
        </w:rPr>
      </w:pPr>
      <w:r>
        <w:rPr>
          <w:b/>
          <w:sz w:val="24"/>
        </w:rPr>
        <w:t>套卷（一</w:t>
      </w:r>
      <w:r>
        <w:rPr>
          <w:b/>
          <w:spacing w:val="-10"/>
          <w:sz w:val="24"/>
        </w:rPr>
        <w:t>）</w:t>
      </w:r>
    </w:p>
    <w:p>
      <w:pPr>
        <w:spacing w:before="110" w:line="223" w:lineRule="auto"/>
        <w:ind w:left="134" w:right="213" w:firstLine="0"/>
        <w:jc w:val="left"/>
        <w:rPr>
          <w:b/>
          <w:sz w:val="21"/>
        </w:rPr>
      </w:pPr>
      <w:r>
        <w:pict>
          <v:line id="_x0000_s1026" o:spid="_x0000_s1025" style="mso-height-relative:page;mso-position-horizontal-relative:page;mso-width-relative:page;position:absolute;z-index:251658240" from="55.25pt,41.05pt" to="540.05pt,41.05pt" coordsize="21600,21600" stroked="t" strokecolor="black"/>
        </w:pict>
      </w:r>
      <w:r>
        <w:rPr>
          <w:b/>
          <w:color w:val="FF0000"/>
          <w:spacing w:val="-2"/>
          <w:sz w:val="21"/>
        </w:rPr>
        <w:t>说明：本书按照复试要求、大纲真题、指定参考书等公开信息潜心整理编写，由学长严格审核校对，仅供考研备考使用，与目标学校及研究生院官方无关，如有侵权请联系我们立即处理。</w:t>
      </w:r>
    </w:p>
    <w:p>
      <w:pPr>
        <w:spacing w:before="0" w:line="365" w:lineRule="exact"/>
        <w:ind w:left="134" w:right="0" w:firstLine="0"/>
        <w:jc w:val="left"/>
        <w:rPr>
          <w:b/>
          <w:sz w:val="21"/>
        </w:rPr>
      </w:pPr>
      <w:r>
        <w:rPr>
          <w:b/>
          <w:color w:val="0000FF"/>
          <w:spacing w:val="-2"/>
          <w:sz w:val="21"/>
        </w:rPr>
        <w:t>一、名词解释</w:t>
      </w:r>
    </w:p>
    <w:p>
      <w:pPr>
        <w:pStyle w:val="ListParagraph"/>
        <w:numPr>
          <w:ilvl w:val="0"/>
          <w:numId w:val="1"/>
        </w:numPr>
        <w:tabs>
          <w:tab w:val="left" w:pos="554"/>
        </w:tabs>
        <w:spacing w:before="0" w:after="0" w:line="360" w:lineRule="exact"/>
        <w:ind w:left="554" w:right="0" w:hanging="420"/>
        <w:jc w:val="left"/>
        <w:rPr>
          <w:b/>
          <w:sz w:val="21"/>
        </w:rPr>
      </w:pPr>
      <w:r>
        <w:rPr>
          <w:b/>
          <w:spacing w:val="-3"/>
          <w:sz w:val="21"/>
        </w:rPr>
        <w:t>中心限定</w:t>
      </w:r>
    </w:p>
    <w:p>
      <w:pPr>
        <w:pStyle w:val="BodyText"/>
        <w:spacing w:before="6" w:line="223" w:lineRule="auto"/>
        <w:ind w:right="213"/>
      </w:pPr>
      <w:r>
        <w:rPr>
          <w:color w:val="FF0000"/>
          <w:spacing w:val="-2"/>
        </w:rPr>
        <w:t>【答案】</w:t>
      </w:r>
      <w:r>
        <w:rPr>
          <w:spacing w:val="-2"/>
        </w:rPr>
        <w:t>是指在理解和解释专利权利要求时</w:t>
      </w:r>
      <w:r>
        <w:rPr>
          <w:rFonts w:ascii="黑体" w:eastAsia="黑体"/>
          <w:spacing w:val="-2"/>
        </w:rPr>
        <w:t>，</w:t>
      </w:r>
      <w:r>
        <w:rPr>
          <w:spacing w:val="-2"/>
        </w:rPr>
        <w:t>以权利要求所陈述的基本内核为中心</w:t>
      </w:r>
      <w:r>
        <w:rPr>
          <w:rFonts w:ascii="黑体" w:eastAsia="黑体"/>
          <w:spacing w:val="-2"/>
        </w:rPr>
        <w:t>，</w:t>
      </w:r>
      <w:r>
        <w:rPr>
          <w:spacing w:val="-2"/>
        </w:rPr>
        <w:t>向外作适当的扩</w:t>
      </w:r>
      <w:r>
        <w:rPr>
          <w:spacing w:val="-4"/>
        </w:rPr>
        <w:t>大解释。</w:t>
      </w:r>
    </w:p>
    <w:p>
      <w:pPr>
        <w:pStyle w:val="ListParagraph"/>
        <w:numPr>
          <w:ilvl w:val="0"/>
          <w:numId w:val="1"/>
        </w:numPr>
        <w:tabs>
          <w:tab w:val="left" w:pos="554"/>
        </w:tabs>
        <w:spacing w:before="222" w:after="0" w:line="374" w:lineRule="exact"/>
        <w:ind w:left="554" w:right="0" w:hanging="420"/>
        <w:jc w:val="left"/>
        <w:rPr>
          <w:b/>
          <w:sz w:val="21"/>
        </w:rPr>
      </w:pPr>
      <w:r>
        <w:rPr>
          <w:b/>
          <w:spacing w:val="-4"/>
          <w:sz w:val="21"/>
        </w:rPr>
        <w:t>分许可</w:t>
      </w:r>
    </w:p>
    <w:p>
      <w:pPr>
        <w:pStyle w:val="BodyText"/>
        <w:spacing w:line="374" w:lineRule="exact"/>
        <w:ind w:left="554" w:firstLine="0"/>
      </w:pPr>
      <w:r>
        <w:rPr>
          <w:color w:val="FF0000"/>
        </w:rPr>
        <w:t>【答案】</w:t>
      </w:r>
      <w:r>
        <w:rPr>
          <w:spacing w:val="-1"/>
        </w:rPr>
        <w:t>是指被许可人根据专利权人在主许可中的授权再向他人发放的专利实施许可。</w:t>
      </w:r>
    </w:p>
    <w:p>
      <w:pPr>
        <w:pStyle w:val="ListParagraph"/>
        <w:numPr>
          <w:ilvl w:val="0"/>
          <w:numId w:val="1"/>
        </w:numPr>
        <w:tabs>
          <w:tab w:val="left" w:pos="554"/>
        </w:tabs>
        <w:spacing w:before="215" w:after="0" w:line="374" w:lineRule="exact"/>
        <w:ind w:left="554" w:right="0" w:hanging="420"/>
        <w:jc w:val="both"/>
        <w:rPr>
          <w:b/>
          <w:sz w:val="21"/>
        </w:rPr>
      </w:pPr>
      <w:r>
        <w:rPr>
          <w:b/>
          <w:spacing w:val="-3"/>
          <w:sz w:val="21"/>
        </w:rPr>
        <w:t>联合商标</w:t>
      </w:r>
    </w:p>
    <w:p>
      <w:pPr>
        <w:pStyle w:val="BodyText"/>
        <w:spacing w:before="6" w:line="223" w:lineRule="auto"/>
        <w:ind w:right="213"/>
        <w:jc w:val="both"/>
      </w:pPr>
      <w:r>
        <w:rPr>
          <w:color w:val="FF0000"/>
        </w:rPr>
        <w:t>【答案】</w:t>
      </w:r>
      <w:r>
        <w:t>联合商标是指同一商标所有人在相同或 类似商品上注册的几个相同或者近似的商标。这种</w:t>
      </w:r>
      <w:r>
        <w:rPr>
          <w:spacing w:val="-2"/>
        </w:rPr>
        <w:t>相互近似商标注册后</w:t>
      </w:r>
      <w:r>
        <w:rPr>
          <w:rFonts w:ascii="黑体" w:eastAsia="黑体"/>
          <w:spacing w:val="-2"/>
        </w:rPr>
        <w:t>,</w:t>
      </w:r>
      <w:r>
        <w:rPr>
          <w:spacing w:val="-2"/>
        </w:rPr>
        <w:t>不一定都使用</w:t>
      </w:r>
      <w:r>
        <w:rPr>
          <w:rFonts w:ascii="黑体" w:eastAsia="黑体"/>
          <w:spacing w:val="-2"/>
        </w:rPr>
        <w:t>，</w:t>
      </w:r>
      <w:r>
        <w:rPr>
          <w:spacing w:val="-2"/>
        </w:rPr>
        <w:t>其目的是防止他人仿冒或注册</w:t>
      </w:r>
      <w:r>
        <w:rPr>
          <w:rFonts w:ascii="黑体" w:eastAsia="黑体"/>
          <w:spacing w:val="-2"/>
        </w:rPr>
        <w:t>，</w:t>
      </w:r>
      <w:r>
        <w:rPr>
          <w:spacing w:val="-2"/>
        </w:rPr>
        <w:t>从而更有效地保护自己的商标。联合商标以其中的一个商标为主</w:t>
      </w:r>
      <w:r>
        <w:rPr>
          <w:rFonts w:ascii="黑体" w:eastAsia="黑体"/>
          <w:spacing w:val="-2"/>
        </w:rPr>
        <w:t>,</w:t>
      </w:r>
      <w:r>
        <w:rPr>
          <w:spacing w:val="-2"/>
        </w:rPr>
        <w:t>称为主商标或正商标。因联合商标作用和功能的特殊性</w:t>
      </w:r>
      <w:r>
        <w:rPr>
          <w:rFonts w:ascii="黑体" w:eastAsia="黑体"/>
          <w:spacing w:val="-2"/>
        </w:rPr>
        <w:t>，</w:t>
      </w:r>
      <w:r>
        <w:rPr>
          <w:spacing w:val="-2"/>
        </w:rPr>
        <w:t>其中的某个商标闲置不用</w:t>
      </w:r>
      <w:r>
        <w:rPr>
          <w:rFonts w:ascii="黑体" w:eastAsia="黑体"/>
          <w:spacing w:val="-2"/>
        </w:rPr>
        <w:t>，</w:t>
      </w:r>
      <w:r>
        <w:rPr>
          <w:spacing w:val="-2"/>
        </w:rPr>
        <w:t>不致被国家商标主管机关撤销。由于联合商标相互近似的整体作用</w:t>
      </w:r>
      <w:r>
        <w:rPr>
          <w:rFonts w:ascii="黑体" w:eastAsia="黑体"/>
          <w:spacing w:val="-2"/>
        </w:rPr>
        <w:t>，</w:t>
      </w:r>
      <w:r>
        <w:rPr>
          <w:spacing w:val="-2"/>
        </w:rPr>
        <w:t>因此</w:t>
      </w:r>
      <w:r>
        <w:rPr>
          <w:rFonts w:ascii="黑体" w:eastAsia="黑体"/>
          <w:spacing w:val="-2"/>
        </w:rPr>
        <w:t>，</w:t>
      </w:r>
      <w:r>
        <w:rPr>
          <w:spacing w:val="-2"/>
        </w:rPr>
        <w:t>联合商标不得跨类分割使用或转让。</w:t>
      </w:r>
    </w:p>
    <w:p>
      <w:pPr>
        <w:spacing w:before="223" w:line="374" w:lineRule="exact"/>
        <w:ind w:left="134" w:right="0" w:firstLine="0"/>
        <w:jc w:val="left"/>
        <w:rPr>
          <w:b/>
          <w:sz w:val="21"/>
        </w:rPr>
      </w:pPr>
      <w:r>
        <w:rPr>
          <w:b/>
          <w:color w:val="0000FF"/>
          <w:spacing w:val="-2"/>
          <w:sz w:val="21"/>
        </w:rPr>
        <w:t>二、简答题</w:t>
      </w:r>
    </w:p>
    <w:p>
      <w:pPr>
        <w:pStyle w:val="ListParagraph"/>
        <w:numPr>
          <w:ilvl w:val="0"/>
          <w:numId w:val="1"/>
        </w:numPr>
        <w:tabs>
          <w:tab w:val="left" w:pos="554"/>
        </w:tabs>
        <w:spacing w:before="0" w:after="0" w:line="360" w:lineRule="exact"/>
        <w:ind w:left="554" w:right="0" w:hanging="420"/>
        <w:jc w:val="left"/>
        <w:rPr>
          <w:b/>
          <w:sz w:val="21"/>
        </w:rPr>
      </w:pPr>
      <w:r>
        <w:rPr>
          <w:b/>
          <w:spacing w:val="-1"/>
          <w:sz w:val="21"/>
        </w:rPr>
        <w:t>简述不视为侵犯专利权的行为。</w:t>
      </w:r>
    </w:p>
    <w:p>
      <w:pPr>
        <w:pStyle w:val="BodyText"/>
        <w:spacing w:line="360" w:lineRule="exact"/>
        <w:ind w:left="554" w:firstLine="0"/>
      </w:pPr>
      <w:r>
        <w:rPr>
          <w:color w:val="FF0000"/>
        </w:rPr>
        <w:t>【答案】</w:t>
      </w:r>
      <w:r>
        <w:rPr>
          <w:spacing w:val="-1"/>
        </w:rPr>
        <w:t>不视为侵犯专利权的行为：</w:t>
      </w:r>
    </w:p>
    <w:p>
      <w:pPr>
        <w:pStyle w:val="ListParagraph"/>
        <w:numPr>
          <w:ilvl w:val="1"/>
          <w:numId w:val="1"/>
        </w:numPr>
        <w:tabs>
          <w:tab w:val="left" w:pos="1080"/>
        </w:tabs>
        <w:spacing w:before="0" w:after="0" w:line="360" w:lineRule="exact"/>
        <w:ind w:left="1080" w:right="0" w:hanging="526"/>
        <w:jc w:val="left"/>
        <w:rPr>
          <w:rFonts w:ascii="黑体" w:eastAsia="黑体"/>
          <w:sz w:val="21"/>
        </w:rPr>
      </w:pPr>
      <w:r>
        <w:rPr>
          <w:sz w:val="21"/>
        </w:rPr>
        <w:t>专利权的穷竭</w:t>
      </w:r>
      <w:r>
        <w:rPr>
          <w:rFonts w:ascii="黑体" w:eastAsia="黑体"/>
          <w:spacing w:val="-10"/>
          <w:sz w:val="21"/>
        </w:rPr>
        <w:t>；</w:t>
      </w:r>
    </w:p>
    <w:p>
      <w:pPr>
        <w:pStyle w:val="ListParagraph"/>
        <w:numPr>
          <w:ilvl w:val="1"/>
          <w:numId w:val="1"/>
        </w:numPr>
        <w:tabs>
          <w:tab w:val="left" w:pos="1080"/>
        </w:tabs>
        <w:spacing w:before="0" w:after="0" w:line="360" w:lineRule="exact"/>
        <w:ind w:left="1080" w:right="0" w:hanging="526"/>
        <w:jc w:val="left"/>
        <w:rPr>
          <w:rFonts w:ascii="黑体" w:eastAsia="黑体"/>
          <w:sz w:val="21"/>
        </w:rPr>
      </w:pPr>
      <w:r>
        <w:rPr>
          <w:sz w:val="21"/>
        </w:rPr>
        <w:t>先用权人的实施</w:t>
      </w:r>
      <w:r>
        <w:rPr>
          <w:rFonts w:ascii="黑体" w:eastAsia="黑体"/>
          <w:spacing w:val="-10"/>
          <w:sz w:val="21"/>
        </w:rPr>
        <w:t>；</w:t>
      </w:r>
    </w:p>
    <w:p>
      <w:pPr>
        <w:pStyle w:val="ListParagraph"/>
        <w:numPr>
          <w:ilvl w:val="1"/>
          <w:numId w:val="1"/>
        </w:numPr>
        <w:tabs>
          <w:tab w:val="left" w:pos="1080"/>
        </w:tabs>
        <w:spacing w:before="0" w:after="0" w:line="360" w:lineRule="exact"/>
        <w:ind w:left="1080" w:right="0" w:hanging="526"/>
        <w:jc w:val="left"/>
        <w:rPr>
          <w:rFonts w:ascii="黑体" w:eastAsia="黑体"/>
          <w:sz w:val="21"/>
        </w:rPr>
      </w:pPr>
      <w:r>
        <w:rPr>
          <w:sz w:val="21"/>
        </w:rPr>
        <w:t>临时过境</w:t>
      </w:r>
      <w:r>
        <w:rPr>
          <w:rFonts w:ascii="黑体" w:eastAsia="黑体"/>
          <w:spacing w:val="-10"/>
          <w:sz w:val="21"/>
        </w:rPr>
        <w:t>；</w:t>
      </w:r>
    </w:p>
    <w:p>
      <w:pPr>
        <w:pStyle w:val="ListParagraph"/>
        <w:numPr>
          <w:ilvl w:val="1"/>
          <w:numId w:val="1"/>
        </w:numPr>
        <w:tabs>
          <w:tab w:val="left" w:pos="1080"/>
        </w:tabs>
        <w:spacing w:before="0" w:after="0" w:line="360" w:lineRule="exact"/>
        <w:ind w:left="1080" w:right="0" w:hanging="526"/>
        <w:jc w:val="left"/>
        <w:rPr>
          <w:rFonts w:ascii="黑体" w:eastAsia="黑体"/>
          <w:sz w:val="21"/>
        </w:rPr>
      </w:pPr>
      <w:r>
        <w:rPr>
          <w:sz w:val="21"/>
        </w:rPr>
        <w:t>专为科学或实验目的的使用</w:t>
      </w:r>
      <w:r>
        <w:rPr>
          <w:rFonts w:ascii="黑体" w:eastAsia="黑体"/>
          <w:spacing w:val="-10"/>
          <w:sz w:val="21"/>
        </w:rPr>
        <w:t>；</w:t>
      </w:r>
    </w:p>
    <w:p>
      <w:pPr>
        <w:pStyle w:val="ListParagraph"/>
        <w:numPr>
          <w:ilvl w:val="1"/>
          <w:numId w:val="1"/>
        </w:numPr>
        <w:tabs>
          <w:tab w:val="left" w:pos="1080"/>
        </w:tabs>
        <w:spacing w:before="0" w:after="0" w:line="374" w:lineRule="exact"/>
        <w:ind w:left="1080" w:right="0" w:hanging="526"/>
        <w:jc w:val="left"/>
        <w:rPr>
          <w:sz w:val="21"/>
        </w:rPr>
      </w:pPr>
      <w:r>
        <w:rPr>
          <w:spacing w:val="-2"/>
          <w:sz w:val="21"/>
        </w:rPr>
        <w:t>医药审批的使用。</w:t>
      </w:r>
    </w:p>
    <w:p>
      <w:pPr>
        <w:pStyle w:val="ListParagraph"/>
        <w:numPr>
          <w:ilvl w:val="0"/>
          <w:numId w:val="1"/>
        </w:numPr>
        <w:tabs>
          <w:tab w:val="left" w:pos="554"/>
        </w:tabs>
        <w:spacing w:before="215" w:after="0" w:line="374" w:lineRule="exact"/>
        <w:ind w:left="554" w:right="0" w:hanging="420"/>
        <w:jc w:val="left"/>
        <w:rPr>
          <w:b/>
          <w:sz w:val="21"/>
        </w:rPr>
      </w:pPr>
      <w:r>
        <w:rPr>
          <w:b/>
          <w:spacing w:val="-1"/>
          <w:sz w:val="21"/>
        </w:rPr>
        <w:t>简述证明商标与普通商标的异同。</w:t>
      </w:r>
    </w:p>
    <w:p>
      <w:pPr>
        <w:pStyle w:val="BodyText"/>
        <w:spacing w:before="6" w:line="223" w:lineRule="auto"/>
        <w:ind w:right="213"/>
      </w:pPr>
      <w:r>
        <w:rPr>
          <w:color w:val="FF0000"/>
          <w:spacing w:val="-2"/>
        </w:rPr>
        <w:t>【答案】</w:t>
      </w:r>
      <w:r>
        <w:rPr>
          <w:spacing w:val="-2"/>
        </w:rPr>
        <w:t>证明商标又称保证商标</w:t>
      </w:r>
      <w:r>
        <w:rPr>
          <w:rFonts w:ascii="黑体" w:eastAsia="黑体"/>
          <w:spacing w:val="-2"/>
        </w:rPr>
        <w:t>，</w:t>
      </w:r>
      <w:r>
        <w:rPr>
          <w:spacing w:val="-2"/>
        </w:rPr>
        <w:t>使用于商品或者服务之上</w:t>
      </w:r>
      <w:r>
        <w:rPr>
          <w:rFonts w:ascii="黑体" w:eastAsia="黑体"/>
          <w:spacing w:val="-2"/>
        </w:rPr>
        <w:t>，</w:t>
      </w:r>
      <w:r>
        <w:rPr>
          <w:spacing w:val="-2"/>
        </w:rPr>
        <w:t>用于证明该种商品或服务具有一定的特征。这种特征包括商品或者服务的独特的地理来源、原料、质量、制造方法、精确度等。</w:t>
      </w:r>
    </w:p>
    <w:p>
      <w:pPr>
        <w:pStyle w:val="BodyText"/>
        <w:spacing w:line="223" w:lineRule="auto"/>
        <w:ind w:right="213"/>
      </w:pPr>
      <w:r>
        <w:rPr>
          <w:spacing w:val="3"/>
        </w:rPr>
        <w:t>而普通商标则指能够将一经营者的商品或服务与其他经营者的商品或服务区别开来并可为视觉所感知的标记。</w:t>
      </w:r>
    </w:p>
    <w:p>
      <w:pPr>
        <w:pStyle w:val="BodyText"/>
        <w:spacing w:before="1" w:line="223" w:lineRule="auto"/>
        <w:ind w:right="213"/>
        <w:jc w:val="both"/>
      </w:pPr>
      <w:r>
        <w:rPr>
          <w:spacing w:val="-2"/>
        </w:rPr>
        <w:t>两者不同之处在于:证明商标的所有与使用分属不同的主体</w:t>
      </w:r>
      <w:r>
        <w:rPr>
          <w:rFonts w:ascii="黑体" w:eastAsia="黑体"/>
          <w:spacing w:val="-74"/>
        </w:rPr>
        <w:t>，</w:t>
      </w:r>
      <w:r>
        <w:rPr>
          <w:spacing w:val="-2"/>
        </w:rPr>
        <w:t>它是由具备对某种商品或服务的检测与监督能力的组织注册并拥有</w:t>
      </w:r>
      <w:r>
        <w:rPr>
          <w:rFonts w:ascii="黑体" w:eastAsia="黑体"/>
          <w:spacing w:val="-2"/>
        </w:rPr>
        <w:t>，</w:t>
      </w:r>
      <w:r>
        <w:rPr>
          <w:spacing w:val="-2"/>
        </w:rPr>
        <w:t>而由该注册人以外的人使用在他们的商品或服务之上。而普通商标</w:t>
      </w:r>
      <w:r>
        <w:rPr>
          <w:rFonts w:ascii="黑体" w:eastAsia="黑体"/>
          <w:spacing w:val="-2"/>
        </w:rPr>
        <w:t>，</w:t>
      </w:r>
      <w:r>
        <w:rPr>
          <w:spacing w:val="-2"/>
        </w:rPr>
        <w:t>除了许可使用的情况之外</w:t>
      </w:r>
      <w:r>
        <w:rPr>
          <w:rFonts w:ascii="黑体" w:eastAsia="黑体"/>
          <w:spacing w:val="-2"/>
        </w:rPr>
        <w:t>，</w:t>
      </w:r>
      <w:r>
        <w:rPr>
          <w:spacing w:val="-2"/>
        </w:rPr>
        <w:t>注册人和使用人是相同的主体。</w:t>
      </w:r>
    </w:p>
    <w:p>
      <w:pPr>
        <w:pStyle w:val="BodyText"/>
        <w:spacing w:line="368" w:lineRule="exact"/>
        <w:ind w:left="554" w:firstLine="0"/>
      </w:pPr>
      <w:r>
        <w:t>另外</w:t>
      </w:r>
      <w:r>
        <w:rPr>
          <w:rFonts w:ascii="黑体" w:eastAsia="黑体"/>
        </w:rPr>
        <w:t>，</w:t>
      </w:r>
      <w:r>
        <w:t>证明商标不具有专用性</w:t>
      </w:r>
      <w:r>
        <w:rPr>
          <w:rFonts w:ascii="黑体" w:eastAsia="黑体"/>
        </w:rPr>
        <w:t>，</w:t>
      </w:r>
      <w:r>
        <w:rPr>
          <w:spacing w:val="-1"/>
        </w:rPr>
        <w:t>任何具备某一证明商标的使用条件的企业都可以申请使用此种商标。</w:t>
      </w:r>
    </w:p>
    <w:p>
      <w:pPr>
        <w:pStyle w:val="ListParagraph"/>
        <w:numPr>
          <w:ilvl w:val="0"/>
          <w:numId w:val="1"/>
        </w:numPr>
        <w:tabs>
          <w:tab w:val="left" w:pos="554"/>
        </w:tabs>
        <w:spacing w:before="214" w:after="0" w:line="374" w:lineRule="exact"/>
        <w:ind w:left="554" w:right="0" w:hanging="420"/>
        <w:jc w:val="left"/>
        <w:rPr>
          <w:b/>
          <w:sz w:val="21"/>
        </w:rPr>
      </w:pPr>
      <w:r>
        <w:rPr>
          <w:b/>
          <w:spacing w:val="-1"/>
          <w:sz w:val="21"/>
        </w:rPr>
        <w:t>实用性的判断标准有哪些？</w:t>
      </w:r>
    </w:p>
    <w:p>
      <w:pPr>
        <w:pStyle w:val="BodyText"/>
        <w:spacing w:line="374" w:lineRule="exact"/>
        <w:ind w:left="554" w:firstLine="0"/>
      </w:pPr>
      <w:r>
        <w:rPr>
          <w:color w:val="FF0000"/>
          <w:spacing w:val="-2"/>
        </w:rPr>
        <w:t>【答案】</w:t>
      </w:r>
      <w:r>
        <w:rPr>
          <w:spacing w:val="-2"/>
        </w:rPr>
        <w:t>第一</w:t>
      </w:r>
      <w:r>
        <w:rPr>
          <w:rFonts w:ascii="黑体" w:eastAsia="黑体"/>
          <w:spacing w:val="-2"/>
        </w:rPr>
        <w:t>，</w:t>
      </w:r>
      <w:r>
        <w:rPr>
          <w:spacing w:val="-2"/>
        </w:rPr>
        <w:t>具备实用性的发明创造应当能够制造或使用</w:t>
      </w:r>
      <w:r>
        <w:rPr>
          <w:rFonts w:ascii="黑体" w:eastAsia="黑体"/>
          <w:spacing w:val="-2"/>
        </w:rPr>
        <w:t>，</w:t>
      </w:r>
      <w:r>
        <w:rPr>
          <w:spacing w:val="-3"/>
        </w:rPr>
        <w:t>即具备可实施性。这就要求一项发明创</w:t>
      </w:r>
    </w:p>
    <w:p>
      <w:pPr>
        <w:spacing w:after="0" w:line="374" w:lineRule="exact"/>
        <w:sectPr>
          <w:headerReference w:type="default" r:id="rId7"/>
          <w:footerReference w:type="default" r:id="rId8"/>
          <w:pgSz w:w="11910" w:h="16840"/>
          <w:pgMar w:top="1460" w:right="920" w:bottom="820" w:left="1000" w:header="567" w:footer="633" w:gutter="0"/>
          <w:pgNumType w:start="4"/>
          <w:cols w:num="1" w:space="720"/>
        </w:sectPr>
      </w:pPr>
    </w:p>
    <w:p>
      <w:pPr>
        <w:pStyle w:val="BodyText"/>
        <w:spacing w:before="14" w:line="223" w:lineRule="auto"/>
        <w:ind w:right="192" w:firstLine="0"/>
        <w:jc w:val="both"/>
      </w:pPr>
      <w:r>
        <w:rPr>
          <w:spacing w:val="-2"/>
        </w:rPr>
        <w:t>造要付诸实施</w:t>
      </w:r>
      <w:r>
        <w:rPr>
          <w:rFonts w:ascii="黑体" w:eastAsia="黑体" w:hAnsi="黑体"/>
          <w:spacing w:val="-2"/>
        </w:rPr>
        <w:t>，</w:t>
      </w:r>
      <w:r>
        <w:rPr>
          <w:spacing w:val="-2"/>
        </w:rPr>
        <w:t>布局具有翔实的技术方案。可实施性的另一层含义是要求一项发明创造可以重复实施。有些方案尽管翔实具体</w:t>
      </w:r>
      <w:r>
        <w:rPr>
          <w:rFonts w:ascii="黑体" w:eastAsia="黑体" w:hAnsi="黑体"/>
          <w:spacing w:val="-2"/>
        </w:rPr>
        <w:t>，</w:t>
      </w:r>
      <w:r>
        <w:rPr>
          <w:spacing w:val="-2"/>
        </w:rPr>
        <w:t>但不可能在产业上重复实施</w:t>
      </w:r>
      <w:r>
        <w:rPr>
          <w:rFonts w:ascii="黑体" w:eastAsia="黑体" w:hAnsi="黑体"/>
          <w:spacing w:val="-2"/>
        </w:rPr>
        <w:t>，</w:t>
      </w:r>
      <w:r>
        <w:rPr>
          <w:spacing w:val="-2"/>
        </w:rPr>
        <w:t>则不具备专利法上的实用性。第二</w:t>
      </w:r>
      <w:r>
        <w:rPr>
          <w:rFonts w:ascii="黑体" w:eastAsia="黑体" w:hAnsi="黑体"/>
          <w:spacing w:val="-2"/>
        </w:rPr>
        <w:t>，</w:t>
      </w:r>
      <w:r>
        <w:rPr>
          <w:spacing w:val="-2"/>
        </w:rPr>
        <w:t>具备实用性的发明创造必须能够带来积极的效果</w:t>
      </w:r>
      <w:r>
        <w:rPr>
          <w:rFonts w:ascii="黑体" w:eastAsia="黑体" w:hAnsi="黑体"/>
          <w:spacing w:val="-2"/>
        </w:rPr>
        <w:t>，</w:t>
      </w:r>
      <w:r>
        <w:rPr>
          <w:spacing w:val="-2"/>
        </w:rPr>
        <w:t>即具备有益性。这里的有益性是指一项发明创造对社会和经济的发展</w:t>
      </w:r>
      <w:r>
        <w:rPr>
          <w:rFonts w:ascii="黑体" w:eastAsia="黑体" w:hAnsi="黑体"/>
          <w:spacing w:val="-2"/>
        </w:rPr>
        <w:t>，</w:t>
      </w:r>
      <w:r>
        <w:rPr>
          <w:spacing w:val="-2"/>
        </w:rPr>
        <w:t>对物质和精神文明建设所能够产生的积极效果。（豆丁华研к电</w:t>
      </w:r>
      <w:r>
        <w:rPr>
          <w:rFonts w:ascii="Lucida Sans Unicode" w:eastAsia="Lucida Sans Unicode" w:hAnsi="Lucida Sans Unicode"/>
          <w:spacing w:val="-2"/>
          <w:w w:val="90"/>
        </w:rPr>
        <w:t>▦</w:t>
      </w:r>
      <w:r>
        <w:rPr>
          <w:spacing w:val="-2"/>
        </w:rPr>
        <w:t>子书）</w:t>
      </w:r>
    </w:p>
    <w:p>
      <w:pPr>
        <w:pStyle w:val="ListParagraph"/>
        <w:numPr>
          <w:ilvl w:val="0"/>
          <w:numId w:val="1"/>
        </w:numPr>
        <w:tabs>
          <w:tab w:val="left" w:pos="554"/>
        </w:tabs>
        <w:spacing w:before="223" w:after="0" w:line="374" w:lineRule="exact"/>
        <w:ind w:left="554" w:right="0" w:hanging="420"/>
        <w:jc w:val="left"/>
        <w:rPr>
          <w:b/>
          <w:sz w:val="21"/>
        </w:rPr>
      </w:pPr>
      <w:r>
        <w:rPr>
          <w:b/>
          <w:spacing w:val="-1"/>
          <w:sz w:val="21"/>
        </w:rPr>
        <w:t>简述侵犯著作权行为的法律责任。</w:t>
      </w:r>
    </w:p>
    <w:p>
      <w:pPr>
        <w:pStyle w:val="BodyText"/>
        <w:spacing w:before="6" w:line="223" w:lineRule="auto"/>
        <w:ind w:right="213"/>
      </w:pPr>
      <w:r>
        <w:rPr>
          <w:color w:val="FF0000"/>
          <w:spacing w:val="-2"/>
        </w:rPr>
        <w:t>【答案】</w:t>
      </w:r>
      <w:r>
        <w:rPr>
          <w:spacing w:val="-2"/>
        </w:rPr>
        <w:t>侵犯著作权的法律责任</w:t>
      </w:r>
      <w:r>
        <w:rPr>
          <w:rFonts w:ascii="黑体" w:eastAsia="黑体"/>
          <w:spacing w:val="-2"/>
        </w:rPr>
        <w:t>，</w:t>
      </w:r>
      <w:r>
        <w:rPr>
          <w:spacing w:val="-2"/>
        </w:rPr>
        <w:t>是指侵权行为人违反著作权法的规定</w:t>
      </w:r>
      <w:r>
        <w:rPr>
          <w:rFonts w:ascii="黑体" w:eastAsia="黑体"/>
          <w:spacing w:val="-2"/>
        </w:rPr>
        <w:t>，</w:t>
      </w:r>
      <w:r>
        <w:rPr>
          <w:spacing w:val="-2"/>
        </w:rPr>
        <w:t>对著作权人享有的人身权和财产权或对作品传播者享有的邻接权造成侵害时</w:t>
      </w:r>
      <w:r>
        <w:rPr>
          <w:rFonts w:ascii="黑体" w:eastAsia="黑体"/>
          <w:spacing w:val="-2"/>
        </w:rPr>
        <w:t>，</w:t>
      </w:r>
      <w:r>
        <w:rPr>
          <w:spacing w:val="-2"/>
        </w:rPr>
        <w:t>依法所应承担的法律后果。</w:t>
      </w:r>
    </w:p>
    <w:p>
      <w:pPr>
        <w:pStyle w:val="BodyText"/>
        <w:spacing w:line="223" w:lineRule="auto"/>
        <w:ind w:right="108"/>
      </w:pPr>
      <w:r>
        <w:rPr>
          <w:spacing w:val="1"/>
        </w:rPr>
        <w:t>侵犯著作权的法律责任类型有：</w:t>
      </w:r>
      <w:r>
        <w:rPr>
          <w:spacing w:val="2"/>
        </w:rPr>
        <w:t>（</w:t>
      </w:r>
      <w:r>
        <w:rPr>
          <w:rFonts w:ascii="Times New Roman" w:eastAsia="Times New Roman"/>
        </w:rPr>
        <w:t>1</w:t>
      </w:r>
      <w:r>
        <w:rPr>
          <w:spacing w:val="1"/>
        </w:rPr>
        <w:t>）民事责任</w:t>
      </w:r>
      <w:r>
        <w:rPr>
          <w:rFonts w:ascii="黑体" w:eastAsia="黑体"/>
          <w:spacing w:val="2"/>
        </w:rPr>
        <w:t>，</w:t>
      </w:r>
      <w:r>
        <w:t>主要有责令停止侵害、消除影响、公开赔礼道歉、</w:t>
      </w:r>
      <w:r>
        <w:rPr>
          <w:spacing w:val="-2"/>
        </w:rPr>
        <w:t>赔偿损失等形式</w:t>
      </w:r>
      <w:r>
        <w:rPr>
          <w:rFonts w:ascii="黑体" w:eastAsia="黑体"/>
          <w:spacing w:val="-11"/>
        </w:rPr>
        <w:t>；</w:t>
      </w:r>
      <w:r>
        <w:t>（</w:t>
      </w:r>
      <w:r>
        <w:rPr>
          <w:rFonts w:ascii="Times New Roman" w:eastAsia="Times New Roman"/>
        </w:rPr>
        <w:t>2</w:t>
      </w:r>
      <w:r>
        <w:t>）行政责任</w:t>
      </w:r>
      <w:r>
        <w:rPr>
          <w:rFonts w:ascii="黑体" w:eastAsia="黑体"/>
        </w:rPr>
        <w:t>，</w:t>
      </w:r>
      <w:r>
        <w:rPr>
          <w:spacing w:val="-1"/>
        </w:rPr>
        <w:t>主要有没收非法所得、罚款、警告、责令停止制作和发行侵权复制品、</w:t>
      </w:r>
      <w:r>
        <w:t>停止营业等形式</w:t>
      </w:r>
      <w:r>
        <w:rPr>
          <w:rFonts w:ascii="黑体" w:eastAsia="黑体"/>
        </w:rPr>
        <w:t>；</w:t>
      </w:r>
      <w:r>
        <w:t>（</w:t>
      </w:r>
      <w:r>
        <w:rPr>
          <w:rFonts w:ascii="Times New Roman" w:eastAsia="Times New Roman"/>
        </w:rPr>
        <w:t>3</w:t>
      </w:r>
      <w:r>
        <w:t>）刑事责任</w:t>
      </w:r>
      <w:r>
        <w:rPr>
          <w:rFonts w:ascii="黑体" w:eastAsia="黑体"/>
        </w:rPr>
        <w:t>，</w:t>
      </w:r>
      <w:r>
        <w:t>主要有有期徒刑、拘役、罚金等形式。</w:t>
      </w:r>
    </w:p>
    <w:p>
      <w:pPr>
        <w:pStyle w:val="ListParagraph"/>
        <w:numPr>
          <w:ilvl w:val="0"/>
          <w:numId w:val="1"/>
        </w:numPr>
        <w:tabs>
          <w:tab w:val="left" w:pos="554"/>
        </w:tabs>
        <w:spacing w:before="223" w:after="0" w:line="374" w:lineRule="exact"/>
        <w:ind w:left="554" w:right="0" w:hanging="420"/>
        <w:jc w:val="both"/>
        <w:rPr>
          <w:b/>
          <w:sz w:val="21"/>
        </w:rPr>
      </w:pPr>
      <w:r>
        <w:rPr>
          <w:b/>
          <w:spacing w:val="-1"/>
          <w:sz w:val="21"/>
        </w:rPr>
        <w:t>简述压价排挤竞争对手行为的概念及构成要件是什么。</w:t>
      </w:r>
    </w:p>
    <w:p>
      <w:pPr>
        <w:pStyle w:val="BodyText"/>
        <w:spacing w:before="6" w:line="223" w:lineRule="auto"/>
        <w:ind w:right="208"/>
        <w:jc w:val="both"/>
      </w:pPr>
      <w:r>
        <w:rPr>
          <w:color w:val="FF0000"/>
          <w:spacing w:val="-2"/>
        </w:rPr>
        <w:t>【答案】</w:t>
      </w:r>
      <w:r>
        <w:rPr>
          <w:spacing w:val="-2"/>
        </w:rPr>
        <w:t>压价排挤竞争对手行为</w:t>
      </w:r>
      <w:r>
        <w:rPr>
          <w:rFonts w:ascii="黑体" w:eastAsia="黑体" w:hAnsi="黑体"/>
          <w:spacing w:val="-2"/>
        </w:rPr>
        <w:t>，</w:t>
      </w:r>
      <w:r>
        <w:rPr>
          <w:spacing w:val="-2"/>
        </w:rPr>
        <w:t>是指经营者为了排挤竞争对手</w:t>
      </w:r>
      <w:r>
        <w:rPr>
          <w:rFonts w:ascii="黑体" w:eastAsia="黑体" w:hAnsi="黑体"/>
          <w:spacing w:val="-2"/>
        </w:rPr>
        <w:t>，</w:t>
      </w:r>
      <w:r>
        <w:rPr>
          <w:spacing w:val="-2"/>
        </w:rPr>
        <w:t>在一定的市场和一定的时期内</w:t>
      </w:r>
      <w:r>
        <w:rPr>
          <w:rFonts w:ascii="黑体" w:eastAsia="黑体" w:hAnsi="黑体"/>
          <w:spacing w:val="-2"/>
        </w:rPr>
        <w:t>，</w:t>
      </w:r>
      <w:r>
        <w:rPr>
          <w:spacing w:val="-2"/>
        </w:rPr>
        <w:t>以</w:t>
      </w:r>
      <w:r>
        <w:rPr>
          <w:spacing w:val="-1"/>
        </w:rPr>
        <w:t xml:space="preserve">低于成本的价格销售商品的行为。我国《反不正当竞争法》第 </w:t>
      </w:r>
      <w:r>
        <w:rPr>
          <w:rFonts w:ascii="Times New Roman" w:eastAsia="Times New Roman" w:hAnsi="Times New Roman"/>
        </w:rPr>
        <w:t>U</w:t>
      </w:r>
      <w:r>
        <w:rPr>
          <w:rFonts w:ascii="Times New Roman" w:eastAsia="Times New Roman" w:hAnsi="Times New Roman"/>
          <w:spacing w:val="-13"/>
        </w:rPr>
        <w:t xml:space="preserve"> </w:t>
      </w:r>
      <w:r>
        <w:t>条:</w:t>
      </w:r>
      <w:r>
        <w:rPr>
          <w:rFonts w:ascii="Times New Roman" w:eastAsia="Times New Roman" w:hAnsi="Times New Roman"/>
        </w:rPr>
        <w:t>“</w:t>
      </w:r>
      <w:r>
        <w:t>经营者不得以排挤竞争对手为自的</w:t>
      </w:r>
      <w:r>
        <w:rPr>
          <w:rFonts w:ascii="黑体" w:eastAsia="黑体" w:hAnsi="黑体"/>
        </w:rPr>
        <w:t>，</w:t>
      </w:r>
      <w:r>
        <w:rPr>
          <w:spacing w:val="-2"/>
        </w:rPr>
        <w:t>以低于成本的价格销售商品。有下列情形之一的</w:t>
      </w:r>
      <w:r>
        <w:rPr>
          <w:rFonts w:ascii="黑体" w:eastAsia="黑体" w:hAnsi="黑体"/>
          <w:spacing w:val="-2"/>
        </w:rPr>
        <w:t>，</w:t>
      </w:r>
      <w:r>
        <w:rPr>
          <w:spacing w:val="-2"/>
        </w:rPr>
        <w:t>不属于不正当竞争行为:（一）销售鲜活商品</w:t>
      </w:r>
      <w:r>
        <w:rPr>
          <w:rFonts w:ascii="黑体" w:eastAsia="黑体" w:hAnsi="黑体"/>
          <w:spacing w:val="-2"/>
        </w:rPr>
        <w:t>；</w:t>
      </w:r>
      <w:r>
        <w:rPr>
          <w:spacing w:val="-2"/>
        </w:rPr>
        <w:t>（二）处理有效期限即将到期的商品或者其他积压的商品</w:t>
      </w:r>
      <w:r>
        <w:rPr>
          <w:rFonts w:ascii="黑体" w:eastAsia="黑体" w:hAnsi="黑体"/>
          <w:spacing w:val="-2"/>
        </w:rPr>
        <w:t>；</w:t>
      </w:r>
      <w:r>
        <w:rPr>
          <w:spacing w:val="-2"/>
        </w:rPr>
        <w:t>（三）季节性降价</w:t>
      </w:r>
      <w:r>
        <w:rPr>
          <w:rFonts w:ascii="黑体" w:eastAsia="黑体" w:hAnsi="黑体"/>
          <w:spacing w:val="-2"/>
        </w:rPr>
        <w:t>；</w:t>
      </w:r>
      <w:r>
        <w:rPr>
          <w:spacing w:val="-2"/>
        </w:rPr>
        <w:t>（四）因清偿债务、转产、歇业降价销售商品。</w:t>
      </w:r>
      <w:r>
        <w:rPr>
          <w:rFonts w:ascii="Times New Roman" w:eastAsia="Times New Roman" w:hAnsi="Times New Roman"/>
          <w:spacing w:val="-2"/>
        </w:rPr>
        <w:t>”</w:t>
      </w:r>
      <w:r>
        <w:rPr>
          <w:spacing w:val="-2"/>
        </w:rPr>
        <w:t>可见</w:t>
      </w:r>
      <w:r>
        <w:rPr>
          <w:rFonts w:ascii="黑体" w:eastAsia="黑体" w:hAnsi="黑体"/>
          <w:spacing w:val="-2"/>
        </w:rPr>
        <w:t>，</w:t>
      </w:r>
      <w:r>
        <w:rPr>
          <w:spacing w:val="-2"/>
        </w:rPr>
        <w:t>压价排挤竞争对手行为具有以下两个特点:第一</w:t>
      </w:r>
      <w:r>
        <w:rPr>
          <w:rFonts w:ascii="黑体" w:eastAsia="黑体" w:hAnsi="黑体"/>
          <w:spacing w:val="-2"/>
        </w:rPr>
        <w:t>，</w:t>
      </w:r>
      <w:r>
        <w:rPr>
          <w:spacing w:val="-2"/>
        </w:rPr>
        <w:t>具有很强的目的性</w:t>
      </w:r>
      <w:r>
        <w:rPr>
          <w:rFonts w:ascii="黑体" w:eastAsia="黑体" w:hAnsi="黑体"/>
          <w:spacing w:val="-2"/>
        </w:rPr>
        <w:t>，</w:t>
      </w:r>
      <w:r>
        <w:rPr>
          <w:spacing w:val="-2"/>
        </w:rPr>
        <w:t>这就是排挤竞争对手</w:t>
      </w:r>
      <w:r>
        <w:rPr>
          <w:rFonts w:ascii="黑体" w:eastAsia="黑体" w:hAnsi="黑体"/>
          <w:spacing w:val="-2"/>
        </w:rPr>
        <w:t>；</w:t>
      </w:r>
      <w:r>
        <w:rPr>
          <w:spacing w:val="-2"/>
        </w:rPr>
        <w:t>第二</w:t>
      </w:r>
      <w:r>
        <w:rPr>
          <w:rFonts w:ascii="黑体" w:eastAsia="黑体" w:hAnsi="黑体"/>
          <w:spacing w:val="-2"/>
        </w:rPr>
        <w:t>，</w:t>
      </w:r>
      <w:r>
        <w:rPr>
          <w:spacing w:val="-2"/>
        </w:rPr>
        <w:t>具有很明显的行为特征</w:t>
      </w:r>
      <w:r>
        <w:rPr>
          <w:rFonts w:ascii="黑体" w:eastAsia="黑体" w:hAnsi="黑体"/>
          <w:spacing w:val="-2"/>
        </w:rPr>
        <w:t>，</w:t>
      </w:r>
      <w:r>
        <w:rPr>
          <w:spacing w:val="-2"/>
        </w:rPr>
        <w:t>即以低于成本价格销售商品。</w:t>
      </w:r>
    </w:p>
    <w:p>
      <w:pPr>
        <w:pStyle w:val="BodyText"/>
        <w:spacing w:before="1" w:line="223" w:lineRule="auto"/>
        <w:ind w:right="213"/>
      </w:pPr>
      <w:r>
        <w:rPr>
          <w:spacing w:val="-2"/>
        </w:rPr>
        <w:t>压价排挤竞争对手行为的构成要件是：（</w:t>
      </w:r>
      <w:r>
        <w:rPr>
          <w:rFonts w:ascii="Times New Roman" w:eastAsia="Times New Roman"/>
          <w:spacing w:val="-2"/>
        </w:rPr>
        <w:t>1</w:t>
      </w:r>
      <w:r>
        <w:rPr>
          <w:spacing w:val="-2"/>
        </w:rPr>
        <w:t>）该行为的主体</w:t>
      </w:r>
      <w:r>
        <w:rPr>
          <w:rFonts w:ascii="黑体" w:eastAsia="黑体"/>
          <w:spacing w:val="-2"/>
        </w:rPr>
        <w:t>，</w:t>
      </w:r>
      <w:r>
        <w:rPr>
          <w:spacing w:val="-2"/>
        </w:rPr>
        <w:t>可以是生产者</w:t>
      </w:r>
      <w:r>
        <w:rPr>
          <w:rFonts w:ascii="黑体" w:eastAsia="黑体"/>
          <w:spacing w:val="-2"/>
        </w:rPr>
        <w:t>，</w:t>
      </w:r>
      <w:r>
        <w:rPr>
          <w:spacing w:val="-2"/>
        </w:rPr>
        <w:t>也可以是销售者。但是必须是经营者。现实电</w:t>
      </w:r>
      <w:r>
        <w:rPr>
          <w:rFonts w:ascii="黑体" w:eastAsia="黑体"/>
          <w:spacing w:val="-2"/>
        </w:rPr>
        <w:t>，</w:t>
      </w:r>
      <w:r>
        <w:rPr>
          <w:spacing w:val="-2"/>
        </w:rPr>
        <w:t>一般是经济实力雄厚的经营者才能够实施该行为。</w:t>
      </w:r>
    </w:p>
    <w:p>
      <w:pPr>
        <w:pStyle w:val="ListParagraph"/>
        <w:numPr>
          <w:ilvl w:val="0"/>
          <w:numId w:val="2"/>
        </w:numPr>
        <w:tabs>
          <w:tab w:val="left" w:pos="1083"/>
        </w:tabs>
        <w:spacing w:before="1" w:after="0" w:line="223" w:lineRule="auto"/>
        <w:ind w:left="134" w:right="213" w:firstLine="420"/>
        <w:jc w:val="left"/>
        <w:rPr>
          <w:sz w:val="21"/>
        </w:rPr>
      </w:pPr>
      <w:r>
        <w:rPr>
          <w:spacing w:val="-2"/>
          <w:sz w:val="21"/>
        </w:rPr>
        <w:t>主观方面是故意的</w:t>
      </w:r>
      <w:r>
        <w:rPr>
          <w:rFonts w:ascii="黑体" w:eastAsia="黑体"/>
          <w:spacing w:val="-2"/>
          <w:sz w:val="21"/>
        </w:rPr>
        <w:t>，</w:t>
      </w:r>
      <w:r>
        <w:rPr>
          <w:spacing w:val="-2"/>
          <w:sz w:val="21"/>
        </w:rPr>
        <w:t>目的是为了排挤竞争对手。即行为人故意实施压价排挤竞争对手的行为。压价排挤对手行为所具有的突然目的性</w:t>
      </w:r>
      <w:r>
        <w:rPr>
          <w:rFonts w:ascii="黑体" w:eastAsia="黑体"/>
          <w:spacing w:val="-2"/>
          <w:sz w:val="21"/>
        </w:rPr>
        <w:t>，</w:t>
      </w:r>
      <w:r>
        <w:rPr>
          <w:spacing w:val="-2"/>
          <w:sz w:val="21"/>
        </w:rPr>
        <w:t>也就决定了行为人在主观上只能是出于故意。</w:t>
      </w:r>
    </w:p>
    <w:p>
      <w:pPr>
        <w:pStyle w:val="ListParagraph"/>
        <w:numPr>
          <w:ilvl w:val="0"/>
          <w:numId w:val="2"/>
        </w:numPr>
        <w:tabs>
          <w:tab w:val="left" w:pos="1083"/>
        </w:tabs>
        <w:spacing w:before="0" w:after="0" w:line="223" w:lineRule="auto"/>
        <w:ind w:left="134" w:right="213" w:firstLine="420"/>
        <w:jc w:val="left"/>
        <w:rPr>
          <w:sz w:val="21"/>
        </w:rPr>
      </w:pPr>
      <w:r>
        <w:rPr>
          <w:spacing w:val="-2"/>
          <w:sz w:val="21"/>
        </w:rPr>
        <w:t>客观方面实施了低于成本价格销售商品的行为。也就是说销售的价格无论多低</w:t>
      </w:r>
      <w:r>
        <w:rPr>
          <w:rFonts w:ascii="黑体" w:eastAsia="黑体"/>
          <w:spacing w:val="-2"/>
          <w:sz w:val="21"/>
        </w:rPr>
        <w:t>，</w:t>
      </w:r>
      <w:r>
        <w:rPr>
          <w:spacing w:val="-2"/>
          <w:sz w:val="21"/>
        </w:rPr>
        <w:t>只要不低于经营者的成本价格</w:t>
      </w:r>
      <w:r>
        <w:rPr>
          <w:rFonts w:ascii="黑体" w:eastAsia="黑体"/>
          <w:spacing w:val="-2"/>
          <w:sz w:val="21"/>
        </w:rPr>
        <w:t>，</w:t>
      </w:r>
      <w:r>
        <w:rPr>
          <w:spacing w:val="-2"/>
          <w:sz w:val="21"/>
        </w:rPr>
        <w:t>则不存在违法的问题。</w:t>
      </w:r>
    </w:p>
    <w:p>
      <w:pPr>
        <w:pStyle w:val="ListParagraph"/>
        <w:numPr>
          <w:ilvl w:val="0"/>
          <w:numId w:val="2"/>
        </w:numPr>
        <w:tabs>
          <w:tab w:val="left" w:pos="1080"/>
        </w:tabs>
        <w:spacing w:before="0" w:after="0" w:line="368" w:lineRule="exact"/>
        <w:ind w:left="1080" w:right="0" w:hanging="526"/>
        <w:jc w:val="left"/>
        <w:rPr>
          <w:sz w:val="21"/>
        </w:rPr>
      </w:pPr>
      <w:r>
        <w:rPr>
          <w:sz w:val="21"/>
        </w:rPr>
        <w:t>这种行为侵害了其他经营者的公平交易权</w:t>
      </w:r>
      <w:r>
        <w:rPr>
          <w:rFonts w:ascii="黑体" w:eastAsia="黑体"/>
          <w:sz w:val="21"/>
        </w:rPr>
        <w:t>，</w:t>
      </w:r>
      <w:r>
        <w:rPr>
          <w:spacing w:val="-1"/>
          <w:sz w:val="21"/>
        </w:rPr>
        <w:t>破坏了正常的竞争秩序。</w:t>
      </w:r>
    </w:p>
    <w:p>
      <w:pPr>
        <w:spacing w:before="215" w:line="374" w:lineRule="exact"/>
        <w:ind w:left="134" w:right="0" w:firstLine="0"/>
        <w:jc w:val="left"/>
        <w:rPr>
          <w:b/>
          <w:sz w:val="21"/>
        </w:rPr>
      </w:pPr>
      <w:r>
        <w:rPr>
          <w:b/>
          <w:color w:val="0000FF"/>
          <w:spacing w:val="-2"/>
          <w:sz w:val="21"/>
        </w:rPr>
        <w:t>三、论述题</w:t>
      </w:r>
    </w:p>
    <w:p>
      <w:pPr>
        <w:pStyle w:val="ListParagraph"/>
        <w:numPr>
          <w:ilvl w:val="0"/>
          <w:numId w:val="1"/>
        </w:numPr>
        <w:tabs>
          <w:tab w:val="left" w:pos="554"/>
        </w:tabs>
        <w:spacing w:before="0" w:after="0" w:line="360" w:lineRule="exact"/>
        <w:ind w:left="554" w:right="0" w:hanging="420"/>
        <w:jc w:val="left"/>
        <w:rPr>
          <w:b/>
          <w:sz w:val="21"/>
        </w:rPr>
      </w:pPr>
      <w:r>
        <w:rPr>
          <w:b/>
          <w:spacing w:val="-1"/>
          <w:sz w:val="21"/>
        </w:rPr>
        <w:t>试述著作权专有许可使用与一般许可使用的区别。</w:t>
      </w:r>
    </w:p>
    <w:p>
      <w:pPr>
        <w:pStyle w:val="BodyText"/>
        <w:spacing w:before="6" w:line="223" w:lineRule="auto"/>
        <w:ind w:right="192"/>
        <w:jc w:val="both"/>
      </w:pPr>
      <w:r>
        <w:rPr>
          <w:color w:val="FF0000"/>
          <w:spacing w:val="-2"/>
        </w:rPr>
        <w:t>【答案】</w:t>
      </w:r>
      <w:r>
        <w:rPr>
          <w:spacing w:val="-2"/>
        </w:rPr>
        <w:t>著作权专有许可使用是指著作权人授权他人在一定的地域和期限内以特定的方式独占使用作品。著作权一般许可使用是指著作权人授权使用者在一定期限和范围内以特定的方式非独占地使用作品。两者的区别表现在：</w:t>
      </w:r>
    </w:p>
    <w:p>
      <w:pPr>
        <w:pStyle w:val="BodyText"/>
        <w:spacing w:line="223" w:lineRule="auto"/>
        <w:ind w:right="108"/>
        <w:jc w:val="both"/>
      </w:pPr>
      <w:r>
        <w:rPr>
          <w:rFonts w:ascii="宋体" w:eastAsia="宋体" w:hAnsi="宋体"/>
          <w:spacing w:val="-2"/>
        </w:rPr>
        <w:t>①</w:t>
      </w:r>
      <w:r>
        <w:rPr>
          <w:spacing w:val="-2"/>
        </w:rPr>
        <w:t>在著作权专有使用许可的情况下</w:t>
      </w:r>
      <w:r>
        <w:rPr>
          <w:rFonts w:ascii="黑体" w:eastAsia="黑体" w:hAnsi="黑体"/>
          <w:spacing w:val="-2"/>
        </w:rPr>
        <w:t>，</w:t>
      </w:r>
      <w:r>
        <w:rPr>
          <w:spacing w:val="-2"/>
        </w:rPr>
        <w:t>任何人（包括著作权人）</w:t>
      </w:r>
      <w:r>
        <w:rPr>
          <w:spacing w:val="-5"/>
        </w:rPr>
        <w:t>都无权以许可证所列举的方式使用作品</w:t>
      </w:r>
      <w:r>
        <w:rPr>
          <w:rFonts w:ascii="黑体" w:eastAsia="黑体" w:hAnsi="黑体"/>
          <w:spacing w:val="-2"/>
        </w:rPr>
        <w:t>；</w:t>
      </w:r>
      <w:r>
        <w:rPr>
          <w:spacing w:val="-2"/>
        </w:rPr>
        <w:t>而在一般许可使用的情况下</w:t>
      </w:r>
      <w:r>
        <w:rPr>
          <w:rFonts w:ascii="黑体" w:eastAsia="黑体" w:hAnsi="黑体"/>
          <w:spacing w:val="-63"/>
        </w:rPr>
        <w:t>，</w:t>
      </w:r>
      <w:r>
        <w:rPr>
          <w:spacing w:val="-2"/>
        </w:rPr>
        <w:t>著作权人可以在相同的地域和期限内</w:t>
      </w:r>
      <w:r>
        <w:rPr>
          <w:rFonts w:ascii="黑体" w:eastAsia="黑体" w:hAnsi="黑体"/>
          <w:spacing w:val="-63"/>
        </w:rPr>
        <w:t>，</w:t>
      </w:r>
      <w:r>
        <w:rPr>
          <w:spacing w:val="-2"/>
        </w:rPr>
        <w:t>以相同的方式许可多人使用同一作品</w:t>
      </w:r>
      <w:r>
        <w:rPr>
          <w:rFonts w:ascii="黑体" w:eastAsia="黑体" w:hAnsi="黑体"/>
          <w:spacing w:val="-2"/>
        </w:rPr>
        <w:t>，</w:t>
      </w:r>
      <w:r>
        <w:rPr>
          <w:spacing w:val="-2"/>
        </w:rPr>
        <w:t>著作权人自己也可在上述范围内使用作品。</w:t>
      </w:r>
    </w:p>
    <w:p>
      <w:pPr>
        <w:pStyle w:val="BodyText"/>
        <w:spacing w:before="1" w:line="223" w:lineRule="auto"/>
        <w:ind w:right="213"/>
        <w:jc w:val="both"/>
      </w:pPr>
      <w:r>
        <w:rPr>
          <w:rFonts w:ascii="宋体" w:eastAsia="宋体" w:hAnsi="宋体"/>
          <w:spacing w:val="-2"/>
        </w:rPr>
        <w:t>②</w:t>
      </w:r>
      <w:r>
        <w:rPr>
          <w:spacing w:val="-2"/>
        </w:rPr>
        <w:t>在著作权专有使用许可的条件下</w:t>
      </w:r>
      <w:r>
        <w:rPr>
          <w:rFonts w:ascii="黑体" w:eastAsia="黑体" w:hAnsi="黑体"/>
          <w:spacing w:val="-2"/>
        </w:rPr>
        <w:t>，</w:t>
      </w:r>
      <w:r>
        <w:rPr>
          <w:spacing w:val="-2"/>
        </w:rPr>
        <w:t>被许可人是否享有从属许可权</w:t>
      </w:r>
      <w:r>
        <w:rPr>
          <w:rFonts w:ascii="黑体" w:eastAsia="黑体" w:hAnsi="黑体"/>
          <w:spacing w:val="-2"/>
        </w:rPr>
        <w:t>，</w:t>
      </w:r>
      <w:r>
        <w:rPr>
          <w:spacing w:val="-2"/>
        </w:rPr>
        <w:t>应当以合同的约定为准。如果许可使用合同没有明示的约定</w:t>
      </w:r>
      <w:r>
        <w:rPr>
          <w:rFonts w:ascii="黑体" w:eastAsia="黑体" w:hAnsi="黑体"/>
          <w:spacing w:val="-2"/>
        </w:rPr>
        <w:t>，</w:t>
      </w:r>
      <w:r>
        <w:rPr>
          <w:spacing w:val="-2"/>
        </w:rPr>
        <w:t>则被许可人只能自己行使权利</w:t>
      </w:r>
      <w:r>
        <w:rPr>
          <w:rFonts w:ascii="黑体" w:eastAsia="黑体" w:hAnsi="黑体"/>
          <w:spacing w:val="-2"/>
        </w:rPr>
        <w:t>，</w:t>
      </w:r>
      <w:r>
        <w:rPr>
          <w:spacing w:val="-2"/>
        </w:rPr>
        <w:t>不能再许可第三人行使</w:t>
      </w:r>
      <w:r>
        <w:rPr>
          <w:rFonts w:ascii="黑体" w:eastAsia="黑体" w:hAnsi="黑体"/>
          <w:spacing w:val="-2"/>
        </w:rPr>
        <w:t>；</w:t>
      </w:r>
      <w:r>
        <w:rPr>
          <w:spacing w:val="-2"/>
        </w:rPr>
        <w:t>而对于一般许可使用的被许可人一般不享有从属许可权。</w:t>
      </w:r>
    </w:p>
    <w:p>
      <w:pPr>
        <w:spacing w:before="223"/>
        <w:ind w:left="134" w:right="0" w:firstLine="0"/>
        <w:jc w:val="left"/>
        <w:rPr>
          <w:b/>
          <w:sz w:val="21"/>
        </w:rPr>
      </w:pPr>
      <w:r>
        <w:rPr>
          <w:b/>
          <w:color w:val="0000FF"/>
          <w:spacing w:val="-2"/>
          <w:sz w:val="21"/>
        </w:rPr>
        <w:t>四、案例分析题</w:t>
      </w:r>
    </w:p>
    <w:p>
      <w:pPr>
        <w:spacing w:after="0"/>
        <w:jc w:val="left"/>
        <w:rPr>
          <w:sz w:val="21"/>
        </w:rPr>
        <w:sectPr>
          <w:headerReference w:type="default" r:id="rId9"/>
          <w:footerReference w:type="default" r:id="rId10"/>
          <w:pgSz w:w="11910" w:h="16840"/>
          <w:pgMar w:top="1460" w:right="920" w:bottom="820" w:left="1000" w:header="567" w:footer="633" w:gutter="0"/>
          <w:pgNumType w:start="5"/>
          <w:cols w:num="1" w:space="720"/>
        </w:sectPr>
      </w:pPr>
    </w:p>
    <w:p>
      <w:pPr>
        <w:pStyle w:val="ListParagraph"/>
        <w:numPr>
          <w:ilvl w:val="0"/>
          <w:numId w:val="1"/>
        </w:numPr>
        <w:tabs>
          <w:tab w:val="left" w:pos="555"/>
        </w:tabs>
        <w:spacing w:before="0" w:after="0" w:line="368" w:lineRule="exact"/>
        <w:ind w:left="555" w:right="0" w:hanging="421"/>
        <w:jc w:val="left"/>
        <w:rPr>
          <w:b/>
          <w:sz w:val="21"/>
        </w:rPr>
      </w:pPr>
      <w:r>
        <w:rPr>
          <w:b/>
          <w:spacing w:val="-2"/>
          <w:sz w:val="21"/>
        </w:rPr>
        <w:t>案例分析题</w:t>
      </w:r>
    </w:p>
    <w:p>
      <w:pPr>
        <w:pStyle w:val="BodyText"/>
        <w:spacing w:before="6" w:line="223" w:lineRule="auto"/>
        <w:ind w:right="108"/>
      </w:pPr>
      <w:r>
        <w:rPr>
          <w:rFonts w:ascii="Times New Roman" w:eastAsia="Times New Roman" w:hAnsi="Times New Roman"/>
        </w:rPr>
        <w:t>2002</w:t>
      </w:r>
      <w:r>
        <w:rPr>
          <w:rFonts w:ascii="Times New Roman" w:eastAsia="Times New Roman" w:hAnsi="Times New Roman"/>
          <w:spacing w:val="-5"/>
        </w:rPr>
        <w:t xml:space="preserve"> </w:t>
      </w:r>
      <w:r>
        <w:t>年</w:t>
      </w:r>
      <w:r>
        <w:rPr>
          <w:rFonts w:ascii="黑体" w:eastAsia="黑体" w:hAnsi="黑体"/>
        </w:rPr>
        <w:t>，</w:t>
      </w:r>
      <w:r>
        <w:t>甲公司向国家商标局申请在葡萄酒上注册了</w:t>
      </w:r>
      <w:r>
        <w:rPr>
          <w:rFonts w:ascii="宋体" w:eastAsia="宋体" w:hAnsi="宋体" w:hint="eastAsia"/>
          <w:i/>
        </w:rPr>
        <w:t>“</w:t>
      </w:r>
      <w:r>
        <w:t>康达</w:t>
      </w:r>
      <w:r>
        <w:rPr>
          <w:rFonts w:ascii="宋体" w:eastAsia="宋体" w:hAnsi="宋体" w:hint="eastAsia"/>
          <w:i/>
        </w:rPr>
        <w:t>”</w:t>
      </w:r>
      <w:r>
        <w:t>文字商标并获核准。甲公司的</w:t>
      </w:r>
      <w:r>
        <w:rPr>
          <w:rFonts w:ascii="宋体" w:eastAsia="宋体" w:hAnsi="宋体" w:hint="eastAsia"/>
          <w:i/>
        </w:rPr>
        <w:t>“</w:t>
      </w:r>
      <w:r>
        <w:t>康达</w:t>
      </w:r>
      <w:r>
        <w:rPr>
          <w:rFonts w:ascii="宋体" w:eastAsia="宋体" w:hAnsi="宋体" w:hint="eastAsia"/>
          <w:i/>
        </w:rPr>
        <w:t>”</w:t>
      </w:r>
      <w:r>
        <w:rPr>
          <w:spacing w:val="-2"/>
        </w:rPr>
        <w:t>牌葡萄酒经过一段时间的销售和广告宣传之后</w:t>
      </w:r>
      <w:r>
        <w:rPr>
          <w:rFonts w:ascii="黑体" w:eastAsia="黑体" w:hAnsi="黑体"/>
          <w:spacing w:val="-63"/>
        </w:rPr>
        <w:t>，</w:t>
      </w:r>
      <w:r>
        <w:rPr>
          <w:spacing w:val="-2"/>
        </w:rPr>
        <w:t>在当地市场上占有了较稳定的份额</w:t>
      </w:r>
      <w:r>
        <w:rPr>
          <w:rFonts w:ascii="黑体" w:eastAsia="黑体" w:hAnsi="黑体"/>
          <w:spacing w:val="-63"/>
        </w:rPr>
        <w:t>，</w:t>
      </w:r>
      <w:r>
        <w:rPr>
          <w:spacing w:val="-2"/>
        </w:rPr>
        <w:t xml:space="preserve">并具有一定的知名度。 </w:t>
      </w:r>
      <w:r>
        <w:rPr>
          <w:rFonts w:ascii="Times New Roman" w:eastAsia="Times New Roman" w:hAnsi="Times New Roman"/>
        </w:rPr>
        <w:t>2004</w:t>
      </w:r>
      <w:r>
        <w:rPr>
          <w:rFonts w:ascii="Times New Roman" w:eastAsia="Times New Roman" w:hAnsi="Times New Roman"/>
          <w:spacing w:val="-5"/>
        </w:rPr>
        <w:t xml:space="preserve"> </w:t>
      </w:r>
      <w:r>
        <w:t>年</w:t>
      </w:r>
      <w:r>
        <w:rPr>
          <w:rFonts w:ascii="黑体" w:eastAsia="黑体" w:hAnsi="黑体"/>
        </w:rPr>
        <w:t>，</w:t>
      </w:r>
      <w:r>
        <w:t>乙公司向国家商标局申请在白酒上注册</w:t>
      </w:r>
      <w:r>
        <w:rPr>
          <w:rFonts w:ascii="宋体" w:eastAsia="宋体" w:hAnsi="宋体" w:hint="eastAsia"/>
          <w:i/>
        </w:rPr>
        <w:t>“</w:t>
      </w:r>
      <w:r>
        <w:t>康达尔</w:t>
      </w:r>
      <w:r>
        <w:rPr>
          <w:rFonts w:ascii="宋体" w:eastAsia="宋体" w:hAnsi="宋体" w:hint="eastAsia"/>
          <w:i/>
        </w:rPr>
        <w:t>”</w:t>
      </w:r>
      <w:r>
        <w:t>文字商标。商标局经审查</w:t>
      </w:r>
      <w:r>
        <w:rPr>
          <w:rFonts w:ascii="黑体" w:eastAsia="黑体" w:hAnsi="黑体"/>
        </w:rPr>
        <w:t>，</w:t>
      </w:r>
      <w:r>
        <w:t>初步审定了</w:t>
      </w:r>
      <w:r>
        <w:rPr>
          <w:rFonts w:ascii="宋体" w:eastAsia="宋体" w:hAnsi="宋体" w:hint="eastAsia"/>
          <w:i/>
        </w:rPr>
        <w:t>“</w:t>
      </w:r>
      <w:r>
        <w:t>康达</w:t>
      </w:r>
      <w:r>
        <w:rPr>
          <w:spacing w:val="-2"/>
        </w:rPr>
        <w:t>尔</w:t>
      </w:r>
      <w:r>
        <w:rPr>
          <w:rFonts w:ascii="宋体" w:eastAsia="宋体" w:hAnsi="宋体" w:hint="eastAsia"/>
          <w:i/>
          <w:spacing w:val="-2"/>
        </w:rPr>
        <w:t>”</w:t>
      </w:r>
      <w:r>
        <w:rPr>
          <w:spacing w:val="-2"/>
        </w:rPr>
        <w:t>文字商标并发布了初步审定公告。甲公司对该</w:t>
      </w:r>
      <w:r>
        <w:rPr>
          <w:rFonts w:ascii="宋体" w:eastAsia="宋体" w:hAnsi="宋体" w:hint="eastAsia"/>
          <w:i/>
          <w:spacing w:val="-2"/>
        </w:rPr>
        <w:t>“</w:t>
      </w:r>
      <w:r>
        <w:rPr>
          <w:spacing w:val="-2"/>
        </w:rPr>
        <w:t>康达尔</w:t>
      </w:r>
      <w:r>
        <w:rPr>
          <w:rFonts w:ascii="宋体" w:eastAsia="宋体" w:hAnsi="宋体" w:hint="eastAsia"/>
          <w:i/>
          <w:spacing w:val="-2"/>
        </w:rPr>
        <w:t>”</w:t>
      </w:r>
      <w:r>
        <w:rPr>
          <w:spacing w:val="-2"/>
        </w:rPr>
        <w:t>商标提出异议</w:t>
      </w:r>
      <w:r>
        <w:rPr>
          <w:rFonts w:ascii="黑体" w:eastAsia="黑体" w:hAnsi="黑体"/>
          <w:spacing w:val="-2"/>
        </w:rPr>
        <w:t>，</w:t>
      </w:r>
      <w:r>
        <w:rPr>
          <w:spacing w:val="-2"/>
        </w:rPr>
        <w:t>理由是</w:t>
      </w:r>
      <w:r>
        <w:rPr>
          <w:rFonts w:ascii="宋体" w:eastAsia="宋体" w:hAnsi="宋体" w:hint="eastAsia"/>
          <w:i/>
          <w:spacing w:val="-2"/>
        </w:rPr>
        <w:t>“</w:t>
      </w:r>
      <w:r>
        <w:rPr>
          <w:spacing w:val="-2"/>
        </w:rPr>
        <w:t>康达尔</w:t>
      </w:r>
      <w:r>
        <w:rPr>
          <w:rFonts w:ascii="宋体" w:eastAsia="宋体" w:hAnsi="宋体" w:hint="eastAsia"/>
          <w:i/>
          <w:spacing w:val="-2"/>
        </w:rPr>
        <w:t>”</w:t>
      </w:r>
      <w:r>
        <w:rPr>
          <w:spacing w:val="-2"/>
        </w:rPr>
        <w:t>商标与甲公司已经注册核准的</w:t>
      </w:r>
      <w:r>
        <w:rPr>
          <w:rFonts w:ascii="宋体" w:eastAsia="宋体" w:hAnsi="宋体" w:hint="eastAsia"/>
          <w:i/>
          <w:spacing w:val="-2"/>
        </w:rPr>
        <w:t>“</w:t>
      </w:r>
      <w:r>
        <w:rPr>
          <w:spacing w:val="-2"/>
        </w:rPr>
        <w:t>康达</w:t>
      </w:r>
      <w:r>
        <w:rPr>
          <w:rFonts w:ascii="宋体" w:eastAsia="宋体" w:hAnsi="宋体" w:hint="eastAsia"/>
          <w:i/>
          <w:spacing w:val="-2"/>
        </w:rPr>
        <w:t>”</w:t>
      </w:r>
      <w:r>
        <w:rPr>
          <w:spacing w:val="-2"/>
        </w:rPr>
        <w:t>商标相似</w:t>
      </w:r>
      <w:r>
        <w:rPr>
          <w:rFonts w:ascii="黑体" w:eastAsia="黑体" w:hAnsi="黑体"/>
          <w:spacing w:val="-2"/>
        </w:rPr>
        <w:t>，</w:t>
      </w:r>
      <w:r>
        <w:rPr>
          <w:spacing w:val="-2"/>
        </w:rPr>
        <w:t>而且使用在类似商品上。</w:t>
      </w:r>
    </w:p>
    <w:p>
      <w:pPr>
        <w:pStyle w:val="BodyText"/>
        <w:spacing w:line="355" w:lineRule="exact"/>
        <w:ind w:left="554" w:firstLine="0"/>
      </w:pPr>
      <w:r>
        <w:t>问题：（</w:t>
      </w:r>
      <w:r>
        <w:rPr>
          <w:rFonts w:ascii="Times New Roman" w:eastAsia="Times New Roman"/>
        </w:rPr>
        <w:t>1</w:t>
      </w:r>
      <w:r>
        <w:t>）</w:t>
      </w:r>
      <w:r>
        <w:rPr>
          <w:spacing w:val="-2"/>
        </w:rPr>
        <w:t>如何判断商标近似？</w:t>
      </w:r>
    </w:p>
    <w:p>
      <w:pPr>
        <w:pStyle w:val="BodyText"/>
        <w:spacing w:line="360" w:lineRule="exact"/>
        <w:ind w:left="554" w:firstLine="0"/>
      </w:pPr>
      <w:r>
        <w:t>（</w:t>
      </w:r>
      <w:r>
        <w:rPr>
          <w:rFonts w:ascii="Times New Roman" w:eastAsia="Times New Roman" w:hAnsi="Times New Roman"/>
        </w:rPr>
        <w:t>2</w:t>
      </w:r>
      <w:r>
        <w:t>）乙公司申请注册的</w:t>
      </w:r>
      <w:r>
        <w:rPr>
          <w:rFonts w:ascii="宋体" w:eastAsia="宋体" w:hAnsi="宋体" w:hint="eastAsia"/>
          <w:i/>
        </w:rPr>
        <w:t>“</w:t>
      </w:r>
      <w:r>
        <w:t>康达尔</w:t>
      </w:r>
      <w:r>
        <w:rPr>
          <w:rFonts w:ascii="宋体" w:eastAsia="宋体" w:hAnsi="宋体" w:hint="eastAsia"/>
          <w:i/>
        </w:rPr>
        <w:t>”</w:t>
      </w:r>
      <w:r>
        <w:t>商标与甲公司的</w:t>
      </w:r>
      <w:r>
        <w:rPr>
          <w:rFonts w:ascii="宋体" w:eastAsia="宋体" w:hAnsi="宋体" w:hint="eastAsia"/>
          <w:i/>
        </w:rPr>
        <w:t>“</w:t>
      </w:r>
      <w:r>
        <w:t>康达</w:t>
      </w:r>
      <w:r>
        <w:rPr>
          <w:rFonts w:ascii="宋体" w:eastAsia="宋体" w:hAnsi="宋体" w:hint="eastAsia"/>
          <w:i/>
        </w:rPr>
        <w:t>”</w:t>
      </w:r>
      <w:r>
        <w:rPr>
          <w:spacing w:val="-1"/>
        </w:rPr>
        <w:t>商标是否在类似商品上构成商标近似？</w:t>
      </w:r>
    </w:p>
    <w:p>
      <w:pPr>
        <w:pStyle w:val="BodyText"/>
        <w:spacing w:before="6" w:line="223" w:lineRule="auto"/>
        <w:ind w:right="213"/>
        <w:jc w:val="both"/>
      </w:pPr>
      <w:r>
        <w:rPr>
          <w:color w:val="FF0000"/>
          <w:spacing w:val="-2"/>
        </w:rPr>
        <w:t>【答案】</w:t>
      </w:r>
      <w:r>
        <w:rPr>
          <w:spacing w:val="-2"/>
        </w:rPr>
        <w:t>（</w:t>
      </w:r>
      <w:r>
        <w:rPr>
          <w:rFonts w:ascii="Times New Roman" w:eastAsia="Times New Roman"/>
          <w:spacing w:val="-2"/>
        </w:rPr>
        <w:t>1</w:t>
      </w:r>
      <w:r>
        <w:rPr>
          <w:spacing w:val="-2"/>
        </w:rPr>
        <w:t>）商标权人有权禁止他人在相同或类似的商品上使用相同或相似的商标。因此在商标申请中</w:t>
      </w:r>
      <w:r>
        <w:rPr>
          <w:rFonts w:ascii="黑体" w:eastAsia="黑体"/>
          <w:spacing w:val="-2"/>
        </w:rPr>
        <w:t>，</w:t>
      </w:r>
      <w:r>
        <w:rPr>
          <w:spacing w:val="-2"/>
        </w:rPr>
        <w:t>与在先注册的商标相似是商标申请被驳回的重要理由</w:t>
      </w:r>
      <w:r>
        <w:rPr>
          <w:rFonts w:ascii="黑体" w:eastAsia="黑体"/>
          <w:spacing w:val="-2"/>
        </w:rPr>
        <w:t>，</w:t>
      </w:r>
      <w:r>
        <w:rPr>
          <w:spacing w:val="-2"/>
        </w:rPr>
        <w:t>而且判断商标近似也是判断是否构成商标侵权的重要环节。所谓商标近似是指使用在同一种或类似商品上的商标相似。因此</w:t>
      </w:r>
      <w:r>
        <w:rPr>
          <w:rFonts w:ascii="黑体" w:eastAsia="黑体"/>
          <w:spacing w:val="-2"/>
        </w:rPr>
        <w:t>，</w:t>
      </w:r>
      <w:r>
        <w:rPr>
          <w:spacing w:val="-2"/>
        </w:rPr>
        <w:t>判断商标近似涉及两个方面：一是商品是否类似</w:t>
      </w:r>
      <w:r>
        <w:rPr>
          <w:rFonts w:ascii="黑体" w:eastAsia="黑体"/>
          <w:spacing w:val="-2"/>
        </w:rPr>
        <w:t>；</w:t>
      </w:r>
      <w:r>
        <w:rPr>
          <w:spacing w:val="-2"/>
        </w:rPr>
        <w:t>二是商标是否近似。</w:t>
      </w:r>
    </w:p>
    <w:p>
      <w:pPr>
        <w:pStyle w:val="BodyText"/>
        <w:spacing w:before="1" w:line="223" w:lineRule="auto"/>
        <w:ind w:right="213"/>
        <w:jc w:val="both"/>
      </w:pPr>
      <w:r>
        <w:rPr>
          <w:spacing w:val="-2"/>
        </w:rPr>
        <w:t>判断商品类似</w:t>
      </w:r>
      <w:r>
        <w:rPr>
          <w:rFonts w:ascii="黑体" w:eastAsia="黑体"/>
          <w:spacing w:val="-2"/>
        </w:rPr>
        <w:t>，</w:t>
      </w:r>
      <w:r>
        <w:rPr>
          <w:spacing w:val="-2"/>
        </w:rPr>
        <w:t>通常需要考虑的因素包括商品的功能、用途、来源、销售渠道、商品种类、消费对象等方面是否相同</w:t>
      </w:r>
      <w:r>
        <w:rPr>
          <w:rFonts w:ascii="黑体" w:eastAsia="黑体"/>
          <w:spacing w:val="-2"/>
        </w:rPr>
        <w:t>，</w:t>
      </w:r>
      <w:r>
        <w:rPr>
          <w:spacing w:val="-2"/>
        </w:rPr>
        <w:t>或为功能互补的商品</w:t>
      </w:r>
      <w:r>
        <w:rPr>
          <w:rFonts w:ascii="黑体" w:eastAsia="黑体"/>
          <w:spacing w:val="-2"/>
        </w:rPr>
        <w:t>，</w:t>
      </w:r>
      <w:r>
        <w:rPr>
          <w:spacing w:val="-2"/>
        </w:rPr>
        <w:t>或者为相关公众一般认为其存在特定联系、容易混淆的商品。认定商品是否类似</w:t>
      </w:r>
      <w:r>
        <w:rPr>
          <w:rFonts w:ascii="黑体" w:eastAsia="黑体"/>
          <w:spacing w:val="-2"/>
        </w:rPr>
        <w:t>，</w:t>
      </w:r>
      <w:r>
        <w:rPr>
          <w:spacing w:val="-2"/>
        </w:rPr>
        <w:t>应当以相关公众对商品的一般认识综合判断</w:t>
      </w:r>
      <w:r>
        <w:rPr>
          <w:rFonts w:ascii="黑体" w:eastAsia="黑体"/>
          <w:spacing w:val="-2"/>
        </w:rPr>
        <w:t>，</w:t>
      </w:r>
      <w:r>
        <w:rPr>
          <w:spacing w:val="-2"/>
        </w:rPr>
        <w:t>《商标注册用商品和服务国际分类表》可以作为认定的参考</w:t>
      </w:r>
      <w:r>
        <w:rPr>
          <w:rFonts w:ascii="黑体" w:eastAsia="黑体"/>
          <w:spacing w:val="-2"/>
        </w:rPr>
        <w:t>，</w:t>
      </w:r>
      <w:r>
        <w:rPr>
          <w:spacing w:val="-2"/>
        </w:rPr>
        <w:t>但不是唯一的依据。商品分类是为方便商标注册而设置的供行政主管部门使用的分类标准</w:t>
      </w:r>
      <w:r>
        <w:rPr>
          <w:rFonts w:ascii="黑体" w:eastAsia="黑体"/>
          <w:spacing w:val="-2"/>
        </w:rPr>
        <w:t>，</w:t>
      </w:r>
      <w:r>
        <w:rPr>
          <w:spacing w:val="-2"/>
        </w:rPr>
        <w:t>而判断商标是否类似是以消费者的认识水平为基准的</w:t>
      </w:r>
      <w:r>
        <w:rPr>
          <w:rFonts w:ascii="黑体" w:eastAsia="黑体"/>
          <w:spacing w:val="-2"/>
        </w:rPr>
        <w:t>，</w:t>
      </w:r>
      <w:r>
        <w:rPr>
          <w:spacing w:val="-2"/>
        </w:rPr>
        <w:t>判断的目的是解决消费者是否会对两种商品的来源产生混淆</w:t>
      </w:r>
      <w:r>
        <w:rPr>
          <w:rFonts w:ascii="黑体" w:eastAsia="黑体"/>
          <w:spacing w:val="-2"/>
        </w:rPr>
        <w:t>，</w:t>
      </w:r>
      <w:r>
        <w:rPr>
          <w:spacing w:val="-2"/>
        </w:rPr>
        <w:t>或误认为它们的经营者之间有某种联系。</w:t>
      </w:r>
    </w:p>
    <w:p>
      <w:pPr>
        <w:pStyle w:val="BodyText"/>
        <w:spacing w:before="1" w:line="223" w:lineRule="auto"/>
        <w:ind w:right="213"/>
        <w:jc w:val="both"/>
      </w:pPr>
      <w:r>
        <w:rPr>
          <w:spacing w:val="-2"/>
        </w:rPr>
        <w:t>近似商标是指两商标相比较</w:t>
      </w:r>
      <w:r>
        <w:rPr>
          <w:rFonts w:ascii="黑体" w:eastAsia="黑体"/>
          <w:spacing w:val="-2"/>
        </w:rPr>
        <w:t>，</w:t>
      </w:r>
      <w:r>
        <w:rPr>
          <w:spacing w:val="-2"/>
        </w:rPr>
        <w:t>文字的字形、读音、含义或者图形的构图及颜色相似</w:t>
      </w:r>
      <w:r>
        <w:rPr>
          <w:rFonts w:ascii="黑体" w:eastAsia="黑体"/>
          <w:spacing w:val="-2"/>
        </w:rPr>
        <w:t>，</w:t>
      </w:r>
      <w:r>
        <w:rPr>
          <w:spacing w:val="-2"/>
        </w:rPr>
        <w:t>或者其各要素组合后的整体结构相似</w:t>
      </w:r>
      <w:r>
        <w:rPr>
          <w:rFonts w:ascii="黑体" w:eastAsia="黑体"/>
          <w:spacing w:val="-2"/>
        </w:rPr>
        <w:t>，</w:t>
      </w:r>
      <w:r>
        <w:rPr>
          <w:spacing w:val="-2"/>
        </w:rPr>
        <w:t>或者其立体形状、颜色组合近似</w:t>
      </w:r>
      <w:r>
        <w:rPr>
          <w:rFonts w:ascii="黑体" w:eastAsia="黑体"/>
          <w:spacing w:val="-2"/>
        </w:rPr>
        <w:t>，</w:t>
      </w:r>
      <w:r>
        <w:rPr>
          <w:spacing w:val="-2"/>
        </w:rPr>
        <w:t>容易使相关公众对商品的来源产生误认或者认为商品的经营者之间有某种联系。认定商标的近似</w:t>
      </w:r>
      <w:r>
        <w:rPr>
          <w:rFonts w:ascii="黑体" w:eastAsia="黑体"/>
          <w:spacing w:val="-2"/>
        </w:rPr>
        <w:t>，</w:t>
      </w:r>
      <w:r>
        <w:rPr>
          <w:spacing w:val="-2"/>
        </w:rPr>
        <w:t>应依据以下原则：以相关公众的一般注意力为标准</w:t>
      </w:r>
      <w:r>
        <w:rPr>
          <w:rFonts w:ascii="黑体" w:eastAsia="黑体"/>
          <w:spacing w:val="-2"/>
        </w:rPr>
        <w:t>；</w:t>
      </w:r>
      <w:r>
        <w:rPr>
          <w:spacing w:val="-2"/>
        </w:rPr>
        <w:t>既要进行商标的整体比对</w:t>
      </w:r>
      <w:r>
        <w:rPr>
          <w:rFonts w:ascii="黑体" w:eastAsia="黑体"/>
          <w:spacing w:val="-2"/>
        </w:rPr>
        <w:t>，</w:t>
      </w:r>
      <w:r>
        <w:rPr>
          <w:spacing w:val="-2"/>
        </w:rPr>
        <w:t>又要进行商标主要部分的比对</w:t>
      </w:r>
      <w:r>
        <w:rPr>
          <w:rFonts w:ascii="黑体" w:eastAsia="黑体"/>
          <w:spacing w:val="-2"/>
        </w:rPr>
        <w:t>，</w:t>
      </w:r>
      <w:r>
        <w:rPr>
          <w:spacing w:val="-2"/>
        </w:rPr>
        <w:t>比对应在比对对象隔离的状态下进行。</w:t>
      </w:r>
    </w:p>
    <w:p>
      <w:pPr>
        <w:pStyle w:val="BodyText"/>
        <w:spacing w:before="1" w:line="223" w:lineRule="auto"/>
        <w:ind w:right="108"/>
      </w:pPr>
      <w:r>
        <w:rPr>
          <w:spacing w:val="-2"/>
        </w:rPr>
        <w:t>（</w:t>
      </w:r>
      <w:r>
        <w:rPr>
          <w:rFonts w:ascii="Times New Roman" w:eastAsia="Times New Roman" w:hAnsi="Times New Roman"/>
          <w:spacing w:val="-2"/>
        </w:rPr>
        <w:t>2</w:t>
      </w:r>
      <w:r>
        <w:rPr>
          <w:spacing w:val="-2"/>
        </w:rPr>
        <w:t>）对本案中所涉及的两商标</w:t>
      </w:r>
      <w:r>
        <w:rPr>
          <w:rFonts w:ascii="黑体" w:eastAsia="黑体" w:hAnsi="黑体"/>
          <w:spacing w:val="-2"/>
        </w:rPr>
        <w:t>，</w:t>
      </w:r>
      <w:r>
        <w:rPr>
          <w:spacing w:val="-2"/>
        </w:rPr>
        <w:t>可从以下两方面来判断：首先</w:t>
      </w:r>
      <w:r>
        <w:rPr>
          <w:rFonts w:ascii="黑体" w:eastAsia="黑体" w:hAnsi="黑体"/>
          <w:spacing w:val="-2"/>
        </w:rPr>
        <w:t>，</w:t>
      </w:r>
      <w:r>
        <w:rPr>
          <w:spacing w:val="-2"/>
        </w:rPr>
        <w:t>从商标构成来看</w:t>
      </w:r>
      <w:r>
        <w:rPr>
          <w:rFonts w:ascii="黑体" w:eastAsia="黑体" w:hAnsi="黑体"/>
          <w:spacing w:val="-2"/>
        </w:rPr>
        <w:t>，</w:t>
      </w:r>
      <w:r>
        <w:rPr>
          <w:rFonts w:ascii="宋体" w:eastAsia="宋体" w:hAnsi="宋体" w:hint="eastAsia"/>
          <w:i/>
          <w:spacing w:val="-2"/>
        </w:rPr>
        <w:t>“</w:t>
      </w:r>
      <w:r>
        <w:rPr>
          <w:spacing w:val="-2"/>
        </w:rPr>
        <w:t>康达尔</w:t>
      </w:r>
      <w:r>
        <w:rPr>
          <w:rFonts w:ascii="宋体" w:eastAsia="宋体" w:hAnsi="宋体" w:hint="eastAsia"/>
          <w:i/>
          <w:spacing w:val="-2"/>
        </w:rPr>
        <w:t>”</w:t>
      </w:r>
      <w:r>
        <w:rPr>
          <w:spacing w:val="-2"/>
        </w:rPr>
        <w:t>与</w:t>
      </w:r>
      <w:r>
        <w:rPr>
          <w:spacing w:val="80"/>
          <w:w w:val="150"/>
        </w:rPr>
        <w:t xml:space="preserve">  </w:t>
      </w:r>
      <w:r>
        <w:rPr>
          <w:rFonts w:ascii="宋体" w:eastAsia="宋体" w:hAnsi="宋体" w:hint="eastAsia"/>
          <w:i/>
          <w:spacing w:val="-2"/>
        </w:rPr>
        <w:t>“</w:t>
      </w:r>
      <w:r>
        <w:rPr>
          <w:spacing w:val="-2"/>
        </w:rPr>
        <w:t>康达</w:t>
      </w:r>
      <w:r>
        <w:rPr>
          <w:rFonts w:ascii="宋体" w:eastAsia="宋体" w:hAnsi="宋体" w:hint="eastAsia"/>
          <w:i/>
          <w:spacing w:val="-2"/>
        </w:rPr>
        <w:t>”</w:t>
      </w:r>
      <w:r>
        <w:rPr>
          <w:spacing w:val="-2"/>
        </w:rPr>
        <w:t>相比</w:t>
      </w:r>
      <w:r>
        <w:rPr>
          <w:rFonts w:ascii="黑体" w:eastAsia="黑体" w:hAnsi="黑体"/>
          <w:spacing w:val="-2"/>
        </w:rPr>
        <w:t>，</w:t>
      </w:r>
      <w:r>
        <w:rPr>
          <w:spacing w:val="-2"/>
        </w:rPr>
        <w:t>虽然前者多了一个</w:t>
      </w:r>
      <w:r>
        <w:rPr>
          <w:rFonts w:ascii="宋体" w:eastAsia="宋体" w:hAnsi="宋体" w:hint="eastAsia"/>
          <w:i/>
          <w:spacing w:val="-2"/>
        </w:rPr>
        <w:t>“</w:t>
      </w:r>
      <w:r>
        <w:rPr>
          <w:spacing w:val="-2"/>
        </w:rPr>
        <w:t>尔</w:t>
      </w:r>
      <w:r>
        <w:rPr>
          <w:rFonts w:ascii="宋体" w:eastAsia="宋体" w:hAnsi="宋体" w:hint="eastAsia"/>
          <w:i/>
          <w:spacing w:val="-2"/>
        </w:rPr>
        <w:t>”</w:t>
      </w:r>
      <w:r>
        <w:rPr>
          <w:spacing w:val="-2"/>
        </w:rPr>
        <w:t>字</w:t>
      </w:r>
      <w:r>
        <w:rPr>
          <w:rFonts w:ascii="黑体" w:eastAsia="黑体" w:hAnsi="黑体"/>
          <w:spacing w:val="-2"/>
        </w:rPr>
        <w:t>，</w:t>
      </w:r>
      <w:r>
        <w:rPr>
          <w:spacing w:val="-2"/>
        </w:rPr>
        <w:t>但商标的主要部分仍然是</w:t>
      </w:r>
      <w:r>
        <w:rPr>
          <w:rFonts w:ascii="宋体" w:eastAsia="宋体" w:hAnsi="宋体" w:hint="eastAsia"/>
          <w:i/>
          <w:spacing w:val="-2"/>
        </w:rPr>
        <w:t>“</w:t>
      </w:r>
      <w:r>
        <w:rPr>
          <w:spacing w:val="-2"/>
        </w:rPr>
        <w:t>康达</w:t>
      </w:r>
      <w:r>
        <w:rPr>
          <w:rFonts w:ascii="宋体" w:eastAsia="宋体" w:hAnsi="宋体" w:hint="eastAsia"/>
          <w:i/>
          <w:spacing w:val="-2"/>
        </w:rPr>
        <w:t>”</w:t>
      </w:r>
      <w:r>
        <w:rPr>
          <w:spacing w:val="-2"/>
        </w:rPr>
        <w:t>两个字</w:t>
      </w:r>
      <w:r>
        <w:rPr>
          <w:rFonts w:ascii="黑体" w:eastAsia="黑体" w:hAnsi="黑体"/>
          <w:spacing w:val="-2"/>
        </w:rPr>
        <w:t>，</w:t>
      </w:r>
      <w:r>
        <w:rPr>
          <w:spacing w:val="-2"/>
        </w:rPr>
        <w:t>而且一般的消费者的注意力也会集中在前两个字上</w:t>
      </w:r>
      <w:r>
        <w:rPr>
          <w:rFonts w:ascii="黑体" w:eastAsia="黑体" w:hAnsi="黑体"/>
          <w:spacing w:val="-2"/>
        </w:rPr>
        <w:t>，</w:t>
      </w:r>
      <w:r>
        <w:rPr>
          <w:rFonts w:ascii="宋体" w:eastAsia="宋体" w:hAnsi="宋体" w:hint="eastAsia"/>
          <w:i/>
          <w:spacing w:val="-2"/>
        </w:rPr>
        <w:t>“</w:t>
      </w:r>
      <w:r>
        <w:rPr>
          <w:spacing w:val="-2"/>
        </w:rPr>
        <w:t>康达尔</w:t>
      </w:r>
      <w:r>
        <w:rPr>
          <w:rFonts w:ascii="宋体" w:eastAsia="宋体" w:hAnsi="宋体" w:hint="eastAsia"/>
          <w:i/>
          <w:spacing w:val="-2"/>
        </w:rPr>
        <w:t>”</w:t>
      </w:r>
      <w:r>
        <w:rPr>
          <w:spacing w:val="-2"/>
        </w:rPr>
        <w:t>与</w:t>
      </w:r>
      <w:r>
        <w:rPr>
          <w:rFonts w:ascii="宋体" w:eastAsia="宋体" w:hAnsi="宋体" w:hint="eastAsia"/>
          <w:i/>
          <w:spacing w:val="-2"/>
        </w:rPr>
        <w:t>“</w:t>
      </w:r>
      <w:r>
        <w:rPr>
          <w:spacing w:val="-2"/>
        </w:rPr>
        <w:t>康达</w:t>
      </w:r>
      <w:r>
        <w:rPr>
          <w:rFonts w:ascii="宋体" w:eastAsia="宋体" w:hAnsi="宋体" w:hint="eastAsia"/>
          <w:i/>
          <w:spacing w:val="-2"/>
        </w:rPr>
        <w:t>”</w:t>
      </w:r>
      <w:r>
        <w:rPr>
          <w:spacing w:val="-2"/>
        </w:rPr>
        <w:t>整体来看是近似的。而且</w:t>
      </w:r>
      <w:r>
        <w:rPr>
          <w:rFonts w:ascii="黑体" w:eastAsia="黑体" w:hAnsi="黑体"/>
          <w:spacing w:val="-2"/>
        </w:rPr>
        <w:t>，</w:t>
      </w:r>
      <w:r>
        <w:rPr>
          <w:spacing w:val="-2"/>
        </w:rPr>
        <w:t>两个商标的发音十分近似</w:t>
      </w:r>
      <w:r>
        <w:rPr>
          <w:rFonts w:ascii="黑体" w:eastAsia="黑体" w:hAnsi="黑体"/>
          <w:spacing w:val="-2"/>
        </w:rPr>
        <w:t>，</w:t>
      </w:r>
      <w:r>
        <w:rPr>
          <w:spacing w:val="-2"/>
        </w:rPr>
        <w:t>消费者读到或听到</w:t>
      </w:r>
      <w:r>
        <w:rPr>
          <w:rFonts w:ascii="宋体" w:eastAsia="宋体" w:hAnsi="宋体" w:hint="eastAsia"/>
          <w:i/>
          <w:spacing w:val="-2"/>
        </w:rPr>
        <w:t>“</w:t>
      </w:r>
      <w:r>
        <w:rPr>
          <w:spacing w:val="-2"/>
        </w:rPr>
        <w:t>康达尔</w:t>
      </w:r>
      <w:r>
        <w:rPr>
          <w:rFonts w:ascii="宋体" w:eastAsia="宋体" w:hAnsi="宋体" w:hint="eastAsia"/>
          <w:i/>
          <w:spacing w:val="-2"/>
        </w:rPr>
        <w:t>”</w:t>
      </w:r>
      <w:r>
        <w:rPr>
          <w:spacing w:val="-2"/>
        </w:rPr>
        <w:t>商标时</w:t>
      </w:r>
      <w:r>
        <w:rPr>
          <w:rFonts w:ascii="黑体" w:eastAsia="黑体" w:hAnsi="黑体"/>
          <w:spacing w:val="-2"/>
        </w:rPr>
        <w:t>，</w:t>
      </w:r>
      <w:r>
        <w:rPr>
          <w:spacing w:val="-2"/>
        </w:rPr>
        <w:t>后面的</w:t>
      </w:r>
      <w:r>
        <w:rPr>
          <w:rFonts w:ascii="宋体" w:eastAsia="宋体" w:hAnsi="宋体" w:hint="eastAsia"/>
          <w:i/>
          <w:spacing w:val="-2"/>
        </w:rPr>
        <w:t>“</w:t>
      </w:r>
      <w:r>
        <w:rPr>
          <w:spacing w:val="-2"/>
        </w:rPr>
        <w:t>尔</w:t>
      </w:r>
      <w:r>
        <w:rPr>
          <w:rFonts w:ascii="宋体" w:eastAsia="宋体" w:hAnsi="宋体" w:hint="eastAsia"/>
          <w:i/>
          <w:spacing w:val="-2"/>
        </w:rPr>
        <w:t>”</w:t>
      </w:r>
      <w:r>
        <w:rPr>
          <w:spacing w:val="-2"/>
        </w:rPr>
        <w:t>字很有可能会理解成</w:t>
      </w:r>
      <w:r>
        <w:rPr>
          <w:rFonts w:ascii="宋体" w:eastAsia="宋体" w:hAnsi="宋体" w:hint="eastAsia"/>
          <w:i/>
          <w:spacing w:val="-2"/>
        </w:rPr>
        <w:t>“</w:t>
      </w:r>
      <w:r>
        <w:rPr>
          <w:spacing w:val="-2"/>
        </w:rPr>
        <w:t>达</w:t>
      </w:r>
      <w:r>
        <w:rPr>
          <w:rFonts w:ascii="宋体" w:eastAsia="宋体" w:hAnsi="宋体" w:hint="eastAsia"/>
          <w:i/>
          <w:spacing w:val="-2"/>
        </w:rPr>
        <w:t>”</w:t>
      </w:r>
      <w:r>
        <w:rPr>
          <w:spacing w:val="-2"/>
        </w:rPr>
        <w:t>字的儿化音。所以</w:t>
      </w:r>
      <w:r>
        <w:rPr>
          <w:rFonts w:ascii="黑体" w:eastAsia="黑体" w:hAnsi="黑体"/>
          <w:spacing w:val="-2"/>
        </w:rPr>
        <w:t>，</w:t>
      </w:r>
      <w:r>
        <w:rPr>
          <w:spacing w:val="-2"/>
        </w:rPr>
        <w:t>两商标应属近似商标。其次</w:t>
      </w:r>
      <w:r>
        <w:rPr>
          <w:rFonts w:ascii="黑体" w:eastAsia="黑体" w:hAnsi="黑体"/>
          <w:spacing w:val="-2"/>
        </w:rPr>
        <w:t>，</w:t>
      </w:r>
      <w:r>
        <w:rPr>
          <w:spacing w:val="-2"/>
        </w:rPr>
        <w:t>从两商标所使用的商品来看</w:t>
      </w:r>
      <w:r>
        <w:rPr>
          <w:rFonts w:ascii="黑体" w:eastAsia="黑体" w:hAnsi="黑体"/>
          <w:spacing w:val="-2"/>
        </w:rPr>
        <w:t>，</w:t>
      </w:r>
      <w:r>
        <w:rPr>
          <w:spacing w:val="-2"/>
        </w:rPr>
        <w:t>葡萄酒和白酒应为类似商品。我国商标法中的商品分类表</w:t>
      </w:r>
      <w:r>
        <w:rPr>
          <w:rFonts w:ascii="黑体" w:eastAsia="黑体" w:hAnsi="黑体"/>
          <w:spacing w:val="-2"/>
        </w:rPr>
        <w:t>，</w:t>
      </w:r>
      <w:r>
        <w:rPr>
          <w:spacing w:val="-2"/>
        </w:rPr>
        <w:t>即《商标注册用商品和服务国际分类表》是商标分类注册、管理、检索的依据</w:t>
      </w:r>
      <w:r>
        <w:rPr>
          <w:rFonts w:ascii="黑体" w:eastAsia="黑体" w:hAnsi="黑体"/>
          <w:spacing w:val="-2"/>
        </w:rPr>
        <w:t>，</w:t>
      </w:r>
      <w:r>
        <w:rPr>
          <w:spacing w:val="-2"/>
        </w:rPr>
        <w:t>只作为判断类似商品时的参考</w:t>
      </w:r>
      <w:r>
        <w:rPr>
          <w:rFonts w:ascii="黑体" w:eastAsia="黑体" w:hAnsi="黑体"/>
          <w:spacing w:val="-2"/>
        </w:rPr>
        <w:t>，</w:t>
      </w:r>
      <w:r>
        <w:rPr>
          <w:spacing w:val="-2"/>
        </w:rPr>
        <w:t xml:space="preserve">不能作为商标侵权与否的法律依据。虽然乙公司申请白酒商品注册商标为 </w:t>
      </w:r>
      <w:r>
        <w:rPr>
          <w:rFonts w:ascii="Times New Roman" w:eastAsia="Times New Roman" w:hAnsi="Times New Roman"/>
          <w:spacing w:val="-2"/>
        </w:rPr>
        <w:t xml:space="preserve">33 </w:t>
      </w:r>
      <w:r>
        <w:rPr>
          <w:spacing w:val="-2"/>
        </w:rPr>
        <w:t>类</w:t>
      </w:r>
      <w:r>
        <w:rPr>
          <w:rFonts w:ascii="黑体" w:eastAsia="黑体" w:hAnsi="黑体"/>
          <w:spacing w:val="-2"/>
        </w:rPr>
        <w:t>，</w:t>
      </w:r>
      <w:r>
        <w:t xml:space="preserve">甲公司葡萄酒商品注册商标为 </w:t>
      </w:r>
      <w:r>
        <w:rPr>
          <w:rFonts w:ascii="Times New Roman" w:eastAsia="Times New Roman" w:hAnsi="Times New Roman"/>
        </w:rPr>
        <w:t xml:space="preserve">32 </w:t>
      </w:r>
      <w:r>
        <w:t>类。但葡萄酒和白酒均属于含酒精的饮料</w:t>
      </w:r>
      <w:r>
        <w:rPr>
          <w:rFonts w:ascii="黑体" w:eastAsia="黑体" w:hAnsi="黑体"/>
        </w:rPr>
        <w:t>，</w:t>
      </w:r>
      <w:r>
        <w:t>在普通消费者看来</w:t>
      </w:r>
      <w:r>
        <w:rPr>
          <w:rFonts w:ascii="黑体" w:eastAsia="黑体" w:hAnsi="黑体"/>
        </w:rPr>
        <w:t>，</w:t>
      </w:r>
      <w:r>
        <w:t>无论是</w:t>
      </w:r>
      <w:r>
        <w:rPr>
          <w:spacing w:val="-2"/>
        </w:rPr>
        <w:t>白酒还是葡萄酒均属同类产品曲酒类</w:t>
      </w:r>
      <w:r>
        <w:rPr>
          <w:rFonts w:ascii="黑体" w:eastAsia="黑体" w:hAnsi="黑体"/>
          <w:spacing w:val="-2"/>
        </w:rPr>
        <w:t>，</w:t>
      </w:r>
      <w:r>
        <w:rPr>
          <w:spacing w:val="-2"/>
        </w:rPr>
        <w:t>而且两者在功能上有一定互补性</w:t>
      </w:r>
      <w:r>
        <w:rPr>
          <w:rFonts w:ascii="黑体" w:eastAsia="黑体" w:hAnsi="黑体"/>
          <w:spacing w:val="-2"/>
        </w:rPr>
        <w:t>，</w:t>
      </w:r>
      <w:r>
        <w:rPr>
          <w:spacing w:val="-2"/>
        </w:rPr>
        <w:t>销售渠道和消费群体通常相同</w:t>
      </w:r>
      <w:r>
        <w:rPr>
          <w:rFonts w:ascii="黑体" w:eastAsia="黑体" w:hAnsi="黑体"/>
          <w:spacing w:val="-2"/>
        </w:rPr>
        <w:t>，</w:t>
      </w:r>
      <w:r>
        <w:rPr>
          <w:spacing w:val="-2"/>
        </w:rPr>
        <w:t>生产厂家也往往会有重叠</w:t>
      </w:r>
      <w:r>
        <w:rPr>
          <w:rFonts w:ascii="黑体" w:eastAsia="黑体" w:hAnsi="黑体"/>
          <w:spacing w:val="-2"/>
        </w:rPr>
        <w:t>，</w:t>
      </w:r>
      <w:r>
        <w:rPr>
          <w:spacing w:val="-2"/>
        </w:rPr>
        <w:t>因此应当认定两者为类似商品。因此</w:t>
      </w:r>
      <w:r>
        <w:rPr>
          <w:rFonts w:ascii="黑体" w:eastAsia="黑体" w:hAnsi="黑体"/>
          <w:spacing w:val="-2"/>
        </w:rPr>
        <w:t>，</w:t>
      </w:r>
      <w:r>
        <w:rPr>
          <w:spacing w:val="-2"/>
        </w:rPr>
        <w:t>两商标在类似商品上构成商标近似。</w:t>
      </w:r>
    </w:p>
    <w:p>
      <w:pPr>
        <w:pStyle w:val="ListParagraph"/>
        <w:numPr>
          <w:ilvl w:val="0"/>
          <w:numId w:val="1"/>
        </w:numPr>
        <w:tabs>
          <w:tab w:val="left" w:pos="555"/>
        </w:tabs>
        <w:spacing w:before="224" w:after="0" w:line="374" w:lineRule="exact"/>
        <w:ind w:left="555" w:right="0" w:hanging="421"/>
        <w:jc w:val="left"/>
        <w:rPr>
          <w:b/>
          <w:sz w:val="21"/>
        </w:rPr>
      </w:pPr>
      <w:r>
        <w:rPr>
          <w:b/>
          <w:spacing w:val="-2"/>
          <w:sz w:val="21"/>
        </w:rPr>
        <w:t>案例分析题</w:t>
      </w:r>
    </w:p>
    <w:p>
      <w:pPr>
        <w:pStyle w:val="BodyText"/>
        <w:spacing w:before="6" w:line="223" w:lineRule="auto"/>
        <w:ind w:right="108"/>
        <w:jc w:val="both"/>
        <w:rPr>
          <w:rFonts w:ascii="黑体" w:eastAsia="黑体" w:hAnsi="黑体"/>
        </w:rPr>
      </w:pPr>
      <w:r>
        <w:rPr>
          <w:rFonts w:ascii="宋体" w:eastAsia="宋体" w:hAnsi="宋体" w:hint="eastAsia"/>
          <w:i/>
        </w:rPr>
        <w:t>“</w:t>
      </w:r>
      <w:r>
        <w:t>哈佛鼠</w:t>
      </w:r>
      <w:r>
        <w:rPr>
          <w:rFonts w:ascii="宋体" w:eastAsia="宋体" w:hAnsi="宋体" w:hint="eastAsia"/>
          <w:i/>
        </w:rPr>
        <w:t>”</w:t>
      </w:r>
      <w:r>
        <w:t>又叫</w:t>
      </w:r>
      <w:r>
        <w:rPr>
          <w:rFonts w:ascii="宋体" w:eastAsia="宋体" w:hAnsi="宋体" w:hint="eastAsia"/>
          <w:i/>
        </w:rPr>
        <w:t>“</w:t>
      </w:r>
      <w:r>
        <w:t>肿瘤鼠</w:t>
      </w:r>
      <w:r>
        <w:rPr>
          <w:rFonts w:ascii="宋体" w:eastAsia="宋体" w:hAnsi="宋体" w:hint="eastAsia"/>
          <w:i/>
        </w:rPr>
        <w:t>”</w:t>
      </w:r>
      <w:r>
        <w:rPr>
          <w:rFonts w:ascii="黑体" w:eastAsia="黑体" w:hAnsi="黑体"/>
        </w:rPr>
        <w:t>，</w:t>
      </w:r>
      <w:r>
        <w:t xml:space="preserve">它是哈佛大学两位科学家在 </w:t>
      </w:r>
      <w:r>
        <w:rPr>
          <w:rFonts w:ascii="Times New Roman" w:eastAsia="Times New Roman" w:hAnsi="Times New Roman"/>
        </w:rPr>
        <w:t xml:space="preserve">20 </w:t>
      </w:r>
      <w:r>
        <w:t xml:space="preserve">世纪 </w:t>
      </w:r>
      <w:r>
        <w:rPr>
          <w:rFonts w:ascii="Times New Roman" w:eastAsia="Times New Roman" w:hAnsi="Times New Roman"/>
        </w:rPr>
        <w:t xml:space="preserve">80 </w:t>
      </w:r>
      <w:r>
        <w:t>年代通过转基因技术培育出来的</w:t>
      </w:r>
      <w:r>
        <w:rPr>
          <w:spacing w:val="-2"/>
        </w:rPr>
        <w:t>一种老鼠。由于该老鼠易患癌症</w:t>
      </w:r>
      <w:r>
        <w:rPr>
          <w:rFonts w:ascii="黑体" w:eastAsia="黑体" w:hAnsi="黑体"/>
          <w:spacing w:val="-2"/>
        </w:rPr>
        <w:t>，</w:t>
      </w:r>
      <w:r>
        <w:rPr>
          <w:spacing w:val="-2"/>
        </w:rPr>
        <w:t>因此具有重大的科学和医学研究价值。欧盟各国、美国等已先后批准授</w:t>
      </w:r>
      <w:r>
        <w:t>予</w:t>
      </w:r>
      <w:r>
        <w:rPr>
          <w:rFonts w:ascii="宋体" w:eastAsia="宋体" w:hAnsi="宋体" w:hint="eastAsia"/>
          <w:i/>
        </w:rPr>
        <w:t>“</w:t>
      </w:r>
      <w:r>
        <w:t>哈佛鼠</w:t>
      </w:r>
      <w:r>
        <w:rPr>
          <w:rFonts w:ascii="宋体" w:eastAsia="宋体" w:hAnsi="宋体" w:hint="eastAsia"/>
          <w:i/>
        </w:rPr>
        <w:t>”</w:t>
      </w:r>
      <w:r>
        <w:t>专利权。</w:t>
      </w:r>
      <w:r>
        <w:rPr>
          <w:rFonts w:ascii="Times New Roman" w:eastAsia="Times New Roman" w:hAnsi="Times New Roman"/>
        </w:rPr>
        <w:t>1993</w:t>
      </w:r>
      <w:r>
        <w:rPr>
          <w:rFonts w:ascii="Times New Roman" w:eastAsia="Times New Roman" w:hAnsi="Times New Roman"/>
          <w:spacing w:val="-5"/>
        </w:rPr>
        <w:t xml:space="preserve"> </w:t>
      </w:r>
      <w:r>
        <w:t>年</w:t>
      </w:r>
      <w:r>
        <w:rPr>
          <w:rFonts w:ascii="黑体" w:eastAsia="黑体" w:hAnsi="黑体"/>
        </w:rPr>
        <w:t>，</w:t>
      </w:r>
      <w:r>
        <w:t>加拿大知识产权办公室在审核</w:t>
      </w:r>
      <w:r>
        <w:rPr>
          <w:rFonts w:ascii="宋体" w:eastAsia="宋体" w:hAnsi="宋体" w:hint="eastAsia"/>
          <w:i/>
        </w:rPr>
        <w:t>“</w:t>
      </w:r>
      <w:r>
        <w:t>哈佛鼠</w:t>
      </w:r>
      <w:r>
        <w:rPr>
          <w:rFonts w:ascii="宋体" w:eastAsia="宋体" w:hAnsi="宋体" w:hint="eastAsia"/>
          <w:i/>
        </w:rPr>
        <w:t>”</w:t>
      </w:r>
      <w:r>
        <w:t>在加拿大的专利权时裁定</w:t>
      </w:r>
      <w:r>
        <w:rPr>
          <w:rFonts w:ascii="黑体" w:eastAsia="黑体" w:hAnsi="黑体"/>
        </w:rPr>
        <w:t>，</w:t>
      </w:r>
      <w:r>
        <w:rPr>
          <w:rFonts w:ascii="宋体" w:eastAsia="宋体" w:hAnsi="宋体" w:hint="eastAsia"/>
          <w:i/>
        </w:rPr>
        <w:t>“</w:t>
      </w:r>
      <w:r>
        <w:t>哈</w:t>
      </w:r>
      <w:r>
        <w:rPr>
          <w:spacing w:val="-2"/>
        </w:rPr>
        <w:t>佛鼠</w:t>
      </w:r>
      <w:r>
        <w:rPr>
          <w:rFonts w:ascii="宋体" w:eastAsia="宋体" w:hAnsi="宋体" w:hint="eastAsia"/>
          <w:i/>
          <w:spacing w:val="-2"/>
        </w:rPr>
        <w:t>”</w:t>
      </w:r>
      <w:r>
        <w:rPr>
          <w:spacing w:val="-2"/>
        </w:rPr>
        <w:t>作为老鼠不能被授予专利</w:t>
      </w:r>
      <w:r>
        <w:rPr>
          <w:rFonts w:ascii="黑体" w:eastAsia="黑体" w:hAnsi="黑体"/>
          <w:spacing w:val="-2"/>
        </w:rPr>
        <w:t>，</w:t>
      </w:r>
      <w:r>
        <w:rPr>
          <w:spacing w:val="-2"/>
        </w:rPr>
        <w:t>但哈佛大学可以获得易致癌基因及相关试验的专利权。这个裁定引起哈</w:t>
      </w:r>
      <w:r>
        <w:rPr>
          <w:spacing w:val="-1"/>
        </w:rPr>
        <w:t xml:space="preserve">佛大学的不满。但加拿大专利申诉委员会和联邦法院均维持了加拿大专利办公室的裁决。到 </w:t>
      </w:r>
      <w:r>
        <w:rPr>
          <w:rFonts w:ascii="Times New Roman" w:eastAsia="Times New Roman" w:hAnsi="Times New Roman"/>
        </w:rPr>
        <w:t>2000</w:t>
      </w:r>
      <w:r>
        <w:rPr>
          <w:rFonts w:ascii="Times New Roman" w:eastAsia="Times New Roman" w:hAnsi="Times New Roman"/>
          <w:spacing w:val="-5"/>
        </w:rPr>
        <w:t xml:space="preserve"> </w:t>
      </w:r>
      <w:r>
        <w:rPr>
          <w:spacing w:val="-8"/>
        </w:rPr>
        <w:t xml:space="preserve">年 </w:t>
      </w:r>
      <w:r>
        <w:rPr>
          <w:rFonts w:ascii="Times New Roman" w:eastAsia="Times New Roman" w:hAnsi="Times New Roman"/>
        </w:rPr>
        <w:t>8</w:t>
      </w:r>
      <w:r>
        <w:rPr>
          <w:rFonts w:ascii="Times New Roman" w:eastAsia="Times New Roman" w:hAnsi="Times New Roman"/>
          <w:spacing w:val="-5"/>
        </w:rPr>
        <w:t xml:space="preserve"> </w:t>
      </w:r>
      <w:r>
        <w:t>月</w:t>
      </w:r>
      <w:r>
        <w:rPr>
          <w:rFonts w:ascii="黑体" w:eastAsia="黑体" w:hAnsi="黑体"/>
          <w:spacing w:val="-10"/>
        </w:rPr>
        <w:t>，</w:t>
      </w:r>
    </w:p>
    <w:p>
      <w:pPr>
        <w:spacing w:after="0" w:line="223" w:lineRule="auto"/>
        <w:jc w:val="both"/>
        <w:rPr>
          <w:rFonts w:ascii="黑体" w:eastAsia="黑体" w:hAnsi="黑体"/>
        </w:rPr>
        <w:sectPr>
          <w:headerReference w:type="default" r:id="rId11"/>
          <w:footerReference w:type="default" r:id="rId12"/>
          <w:pgSz w:w="11910" w:h="16840"/>
          <w:pgMar w:top="1460" w:right="920" w:bottom="820" w:left="1000" w:header="567" w:footer="633" w:gutter="0"/>
          <w:pgNumType w:start="6"/>
          <w:cols w:num="1" w:space="720"/>
        </w:sectPr>
      </w:pPr>
    </w:p>
    <w:p>
      <w:pPr>
        <w:pStyle w:val="BodyText"/>
        <w:spacing w:before="14" w:line="223" w:lineRule="auto"/>
        <w:ind w:right="213" w:firstLine="0"/>
        <w:jc w:val="both"/>
      </w:pPr>
      <w:r>
        <w:rPr>
          <w:spacing w:val="-2"/>
        </w:rPr>
        <w:t xml:space="preserve">加拿大联邦上诉法院又以 </w:t>
      </w:r>
      <w:r>
        <w:rPr>
          <w:rFonts w:ascii="Times New Roman" w:eastAsia="Times New Roman" w:hAnsi="Times New Roman"/>
        </w:rPr>
        <w:t>2</w:t>
      </w:r>
      <w:r>
        <w:rPr>
          <w:rFonts w:ascii="Times New Roman" w:eastAsia="Times New Roman" w:hAnsi="Times New Roman"/>
          <w:spacing w:val="-13"/>
        </w:rPr>
        <w:t xml:space="preserve"> </w:t>
      </w:r>
      <w:r>
        <w:rPr>
          <w:spacing w:val="-8"/>
        </w:rPr>
        <w:t xml:space="preserve">比 </w:t>
      </w:r>
      <w:r>
        <w:rPr>
          <w:rFonts w:ascii="Times New Roman" w:eastAsia="Times New Roman" w:hAnsi="Times New Roman"/>
        </w:rPr>
        <w:t>1</w:t>
      </w:r>
      <w:r>
        <w:rPr>
          <w:rFonts w:ascii="Times New Roman" w:eastAsia="Times New Roman" w:hAnsi="Times New Roman"/>
          <w:spacing w:val="-13"/>
        </w:rPr>
        <w:t xml:space="preserve"> </w:t>
      </w:r>
      <w:r>
        <w:t>的表决结果</w:t>
      </w:r>
      <w:r>
        <w:rPr>
          <w:rFonts w:ascii="黑体" w:eastAsia="黑体" w:hAnsi="黑体"/>
        </w:rPr>
        <w:t>，</w:t>
      </w:r>
      <w:r>
        <w:t>裁定</w:t>
      </w:r>
      <w:r>
        <w:rPr>
          <w:rFonts w:ascii="宋体" w:eastAsia="宋体" w:hAnsi="宋体" w:hint="eastAsia"/>
          <w:i/>
        </w:rPr>
        <w:t>“</w:t>
      </w:r>
      <w:r>
        <w:t>哈佛鼠</w:t>
      </w:r>
      <w:r>
        <w:rPr>
          <w:rFonts w:ascii="宋体" w:eastAsia="宋体" w:hAnsi="宋体" w:hint="eastAsia"/>
          <w:i/>
        </w:rPr>
        <w:t>”</w:t>
      </w:r>
      <w:r>
        <w:t>可以获得专利权。不过联邦上诉法院的判决也没有让人信服</w:t>
      </w:r>
      <w:r>
        <w:rPr>
          <w:rFonts w:ascii="黑体" w:eastAsia="黑体" w:hAnsi="黑体"/>
        </w:rPr>
        <w:t>，</w:t>
      </w:r>
      <w:r>
        <w:t>关于</w:t>
      </w:r>
      <w:r>
        <w:rPr>
          <w:rFonts w:ascii="宋体" w:eastAsia="宋体" w:hAnsi="宋体" w:hint="eastAsia"/>
          <w:i/>
        </w:rPr>
        <w:t>“</w:t>
      </w:r>
      <w:r>
        <w:t>哈佛鼠</w:t>
      </w:r>
      <w:r>
        <w:rPr>
          <w:rFonts w:ascii="宋体" w:eastAsia="宋体" w:hAnsi="宋体" w:hint="eastAsia"/>
          <w:i/>
        </w:rPr>
        <w:t>”</w:t>
      </w:r>
      <w:r>
        <w:t>的官司一路打到加拿大联邦最高法院。</w:t>
      </w:r>
      <w:r>
        <w:rPr>
          <w:rFonts w:ascii="Times New Roman" w:eastAsia="Times New Roman" w:hAnsi="Times New Roman"/>
        </w:rPr>
        <w:t>2002</w:t>
      </w:r>
      <w:r>
        <w:rPr>
          <w:rFonts w:ascii="Times New Roman" w:eastAsia="Times New Roman" w:hAnsi="Times New Roman"/>
          <w:spacing w:val="-2"/>
        </w:rPr>
        <w:t xml:space="preserve"> </w:t>
      </w:r>
      <w:r>
        <w:rPr>
          <w:spacing w:val="-6"/>
        </w:rPr>
        <w:t xml:space="preserve">年 </w:t>
      </w:r>
      <w:r>
        <w:rPr>
          <w:rFonts w:ascii="Times New Roman" w:eastAsia="Times New Roman" w:hAnsi="Times New Roman"/>
        </w:rPr>
        <w:t>12</w:t>
      </w:r>
      <w:r>
        <w:rPr>
          <w:rFonts w:ascii="Times New Roman" w:eastAsia="Times New Roman" w:hAnsi="Times New Roman"/>
          <w:spacing w:val="-2"/>
        </w:rPr>
        <w:t xml:space="preserve"> </w:t>
      </w:r>
      <w:r>
        <w:rPr>
          <w:spacing w:val="-6"/>
        </w:rPr>
        <w:t xml:space="preserve">月 </w:t>
      </w:r>
      <w:r>
        <w:rPr>
          <w:rFonts w:ascii="Times New Roman" w:eastAsia="Times New Roman" w:hAnsi="Times New Roman"/>
        </w:rPr>
        <w:t>5</w:t>
      </w:r>
      <w:r>
        <w:rPr>
          <w:rFonts w:ascii="Times New Roman" w:eastAsia="Times New Roman" w:hAnsi="Times New Roman"/>
          <w:spacing w:val="-2"/>
        </w:rPr>
        <w:t xml:space="preserve"> </w:t>
      </w:r>
      <w:r>
        <w:t>日</w:t>
      </w:r>
      <w:r>
        <w:rPr>
          <w:rFonts w:ascii="宋体" w:eastAsia="宋体" w:hAnsi="宋体" w:hint="eastAsia"/>
          <w:i/>
        </w:rPr>
        <w:t>“</w:t>
      </w:r>
      <w:r>
        <w:t>哈佛鼠</w:t>
      </w:r>
      <w:r>
        <w:rPr>
          <w:rFonts w:ascii="宋体" w:eastAsia="宋体" w:hAnsi="宋体" w:hint="eastAsia"/>
          <w:i/>
        </w:rPr>
        <w:t>”</w:t>
      </w:r>
      <w:r>
        <w:t>可</w:t>
      </w:r>
      <w:r>
        <w:rPr>
          <w:spacing w:val="-2"/>
        </w:rPr>
        <w:t>否获得专利案最终由加拿大联邦最高法院作出判决。判决认为专利法中所使用的制程、机器与构成物质等概念并不能涵盖高等生物本身。使加拿大成为西方国家唯一没有给</w:t>
      </w:r>
      <w:r>
        <w:rPr>
          <w:rFonts w:ascii="宋体" w:eastAsia="宋体" w:hAnsi="宋体" w:hint="eastAsia"/>
          <w:i/>
          <w:spacing w:val="-2"/>
        </w:rPr>
        <w:t>“</w:t>
      </w:r>
      <w:r>
        <w:rPr>
          <w:spacing w:val="-2"/>
        </w:rPr>
        <w:t>哈佛鼠</w:t>
      </w:r>
      <w:r>
        <w:rPr>
          <w:rFonts w:ascii="宋体" w:eastAsia="宋体" w:hAnsi="宋体" w:hint="eastAsia"/>
          <w:i/>
          <w:spacing w:val="-2"/>
        </w:rPr>
        <w:t>”</w:t>
      </w:r>
      <w:r>
        <w:rPr>
          <w:spacing w:val="-2"/>
        </w:rPr>
        <w:t>授予专利的国家。</w:t>
      </w:r>
    </w:p>
    <w:p>
      <w:pPr>
        <w:pStyle w:val="BodyText"/>
        <w:spacing w:line="355" w:lineRule="exact"/>
        <w:ind w:left="554" w:firstLine="0"/>
      </w:pPr>
      <w:r>
        <w:t>问题：结合本案例</w:t>
      </w:r>
      <w:r>
        <w:rPr>
          <w:rFonts w:ascii="黑体" w:eastAsia="黑体"/>
        </w:rPr>
        <w:t>，</w:t>
      </w:r>
      <w:r>
        <w:rPr>
          <w:spacing w:val="-1"/>
        </w:rPr>
        <w:t>谈谈对是否授予动植物品种专利权的看法。</w:t>
      </w:r>
    </w:p>
    <w:p>
      <w:pPr>
        <w:pStyle w:val="BodyText"/>
        <w:spacing w:before="6" w:line="223" w:lineRule="auto"/>
        <w:ind w:right="213"/>
        <w:jc w:val="both"/>
      </w:pPr>
      <w:r>
        <w:rPr>
          <w:color w:val="FF0000"/>
          <w:spacing w:val="-2"/>
        </w:rPr>
        <w:t>【答案】</w:t>
      </w:r>
      <w:r>
        <w:rPr>
          <w:spacing w:val="-2"/>
        </w:rPr>
        <w:t>在我国现行专利法中</w:t>
      </w:r>
      <w:r>
        <w:rPr>
          <w:rFonts w:ascii="黑体" w:eastAsia="黑体" w:hAnsi="黑体"/>
          <w:spacing w:val="-2"/>
        </w:rPr>
        <w:t>，</w:t>
      </w:r>
      <w:r>
        <w:rPr>
          <w:spacing w:val="-2"/>
        </w:rPr>
        <w:t>动物和植物新品种本身尚不能被授予专利</w:t>
      </w:r>
      <w:r>
        <w:rPr>
          <w:rFonts w:ascii="黑体" w:eastAsia="黑体" w:hAnsi="黑体"/>
          <w:spacing w:val="-2"/>
        </w:rPr>
        <w:t>，</w:t>
      </w:r>
      <w:r>
        <w:rPr>
          <w:spacing w:val="-2"/>
        </w:rPr>
        <w:t>但对培育动植物品种的方法</w:t>
      </w:r>
      <w:r>
        <w:rPr>
          <w:rFonts w:ascii="黑体" w:eastAsia="黑体" w:hAnsi="黑体"/>
          <w:spacing w:val="-2"/>
        </w:rPr>
        <w:t>，</w:t>
      </w:r>
      <w:r>
        <w:rPr>
          <w:spacing w:val="-2"/>
        </w:rPr>
        <w:t>则可依法授予专利权。这一规定是与我国现阶段的技术水平相适应的。在国际上</w:t>
      </w:r>
      <w:r>
        <w:rPr>
          <w:rFonts w:ascii="黑体" w:eastAsia="黑体" w:hAnsi="黑体"/>
          <w:spacing w:val="-2"/>
        </w:rPr>
        <w:t>，</w:t>
      </w:r>
      <w:r>
        <w:rPr>
          <w:spacing w:val="-2"/>
        </w:rPr>
        <w:t>关于动植物品种的保护问题</w:t>
      </w:r>
      <w:r>
        <w:rPr>
          <w:rFonts w:ascii="黑体" w:eastAsia="黑体" w:hAnsi="黑体"/>
          <w:spacing w:val="-2"/>
        </w:rPr>
        <w:t>，</w:t>
      </w:r>
      <w:r>
        <w:rPr>
          <w:spacing w:val="-2"/>
        </w:rPr>
        <w:t>存在着两种截然不同的观点。（豆丁华研р电子书）</w:t>
      </w:r>
    </w:p>
    <w:p>
      <w:pPr>
        <w:pStyle w:val="BodyText"/>
        <w:spacing w:line="223" w:lineRule="auto"/>
        <w:ind w:right="213"/>
        <w:jc w:val="both"/>
      </w:pPr>
      <w:r>
        <w:rPr>
          <w:spacing w:val="-2"/>
        </w:rPr>
        <w:t>反对对动植物品种予以保护的理由主要有：首先</w:t>
      </w:r>
      <w:r>
        <w:rPr>
          <w:rFonts w:ascii="黑体" w:eastAsia="黑体"/>
          <w:spacing w:val="-2"/>
        </w:rPr>
        <w:t>，</w:t>
      </w:r>
      <w:r>
        <w:rPr>
          <w:spacing w:val="-2"/>
        </w:rPr>
        <w:t>动植物品种是大自然的创造</w:t>
      </w:r>
      <w:r>
        <w:rPr>
          <w:rFonts w:ascii="黑体" w:eastAsia="黑体"/>
          <w:spacing w:val="-2"/>
        </w:rPr>
        <w:t>，</w:t>
      </w:r>
      <w:r>
        <w:rPr>
          <w:spacing w:val="-2"/>
        </w:rPr>
        <w:t>品种的再生是靠其自身的繁衍机能</w:t>
      </w:r>
      <w:r>
        <w:rPr>
          <w:rFonts w:ascii="黑体" w:eastAsia="黑体"/>
          <w:spacing w:val="-2"/>
        </w:rPr>
        <w:t>，</w:t>
      </w:r>
      <w:r>
        <w:rPr>
          <w:spacing w:val="-2"/>
        </w:rPr>
        <w:t>而非人力。所以它不是人类的发明</w:t>
      </w:r>
      <w:r>
        <w:rPr>
          <w:rFonts w:ascii="黑体" w:eastAsia="黑体"/>
          <w:spacing w:val="-2"/>
        </w:rPr>
        <w:t>，</w:t>
      </w:r>
      <w:r>
        <w:rPr>
          <w:spacing w:val="-2"/>
        </w:rPr>
        <w:t>不能采用专利法加以垄断性的保护。其次</w:t>
      </w:r>
      <w:r>
        <w:rPr>
          <w:rFonts w:ascii="黑体" w:eastAsia="黑体"/>
          <w:spacing w:val="-2"/>
        </w:rPr>
        <w:t>，</w:t>
      </w:r>
      <w:r>
        <w:rPr>
          <w:spacing w:val="-2"/>
        </w:rPr>
        <w:t>动植物品种是具有生命的活体</w:t>
      </w:r>
      <w:r>
        <w:rPr>
          <w:rFonts w:ascii="黑体" w:eastAsia="黑体"/>
          <w:spacing w:val="-2"/>
        </w:rPr>
        <w:t>，</w:t>
      </w:r>
      <w:r>
        <w:rPr>
          <w:spacing w:val="-2"/>
        </w:rPr>
        <w:t>它不仅因气候、土壤等客观条件的差异而不可能生长出完全相同的东西</w:t>
      </w:r>
      <w:r>
        <w:rPr>
          <w:rFonts w:ascii="黑体" w:eastAsia="黑体"/>
          <w:spacing w:val="-2"/>
        </w:rPr>
        <w:t>，</w:t>
      </w:r>
      <w:r>
        <w:rPr>
          <w:spacing w:val="-2"/>
        </w:rPr>
        <w:t>而且还受着其内部的遗传和变异这对矛盾的制约</w:t>
      </w:r>
      <w:r>
        <w:rPr>
          <w:rFonts w:ascii="黑体" w:eastAsia="黑体"/>
          <w:spacing w:val="-2"/>
        </w:rPr>
        <w:t>，</w:t>
      </w:r>
      <w:r>
        <w:rPr>
          <w:spacing w:val="-2"/>
        </w:rPr>
        <w:t>因而要生产出具有再现性的品种是非常困难的。所以不宜对动植物品种授予专利。</w:t>
      </w:r>
    </w:p>
    <w:p>
      <w:pPr>
        <w:pStyle w:val="BodyText"/>
        <w:spacing w:before="1" w:line="223" w:lineRule="auto"/>
        <w:ind w:right="213"/>
        <w:jc w:val="both"/>
      </w:pPr>
      <w:r>
        <w:rPr>
          <w:spacing w:val="-2"/>
        </w:rPr>
        <w:t>随着技术的发展</w:t>
      </w:r>
      <w:r>
        <w:rPr>
          <w:rFonts w:ascii="黑体" w:eastAsia="黑体"/>
          <w:spacing w:val="-2"/>
        </w:rPr>
        <w:t>，</w:t>
      </w:r>
      <w:r>
        <w:rPr>
          <w:spacing w:val="-2"/>
        </w:rPr>
        <w:t>赞成对动植物品种予以保护的意见逐渐引起人们的注意。其理由主要是：首先</w:t>
      </w:r>
      <w:r>
        <w:rPr>
          <w:rFonts w:ascii="黑体" w:eastAsia="黑体"/>
          <w:spacing w:val="-2"/>
        </w:rPr>
        <w:t>，</w:t>
      </w:r>
      <w:r>
        <w:rPr>
          <w:spacing w:val="-2"/>
        </w:rPr>
        <w:t>如果以认为动植物品种不是人类的发明</w:t>
      </w:r>
      <w:r>
        <w:rPr>
          <w:rFonts w:ascii="黑体" w:eastAsia="黑体"/>
          <w:spacing w:val="-2"/>
        </w:rPr>
        <w:t>，</w:t>
      </w:r>
      <w:r>
        <w:rPr>
          <w:spacing w:val="-2"/>
        </w:rPr>
        <w:t>只能算作发现</w:t>
      </w:r>
      <w:r>
        <w:rPr>
          <w:rFonts w:ascii="黑体" w:eastAsia="黑体"/>
          <w:spacing w:val="-2"/>
        </w:rPr>
        <w:t>，</w:t>
      </w:r>
      <w:r>
        <w:rPr>
          <w:spacing w:val="-2"/>
        </w:rPr>
        <w:t>所以动植物品种不具备可专利性</w:t>
      </w:r>
      <w:r>
        <w:rPr>
          <w:rFonts w:ascii="黑体" w:eastAsia="黑体"/>
          <w:spacing w:val="-2"/>
        </w:rPr>
        <w:t>，</w:t>
      </w:r>
      <w:r>
        <w:rPr>
          <w:spacing w:val="-2"/>
        </w:rPr>
        <w:t>那么新合成的化合物或组合物岂不也不具有可专利性？其次</w:t>
      </w:r>
      <w:r>
        <w:rPr>
          <w:rFonts w:ascii="黑体" w:eastAsia="黑体"/>
          <w:spacing w:val="-2"/>
        </w:rPr>
        <w:t>，</w:t>
      </w:r>
      <w:r>
        <w:rPr>
          <w:spacing w:val="-2"/>
        </w:rPr>
        <w:t>关于气候、土壤、遗传和变异等因素对动植物品种作为发明所应具有的可再现性的影响</w:t>
      </w:r>
      <w:r>
        <w:rPr>
          <w:rFonts w:ascii="黑体" w:eastAsia="黑体"/>
          <w:spacing w:val="-2"/>
        </w:rPr>
        <w:t>，</w:t>
      </w:r>
      <w:r>
        <w:rPr>
          <w:spacing w:val="-2"/>
        </w:rPr>
        <w:t>无论理论上还是技术上都已经解决。所以以前用以否定动植物品种不受专利法保护的理由已不能成立。动植物品种应当纳入专利法保护的范围。</w:t>
      </w:r>
    </w:p>
    <w:p>
      <w:pPr>
        <w:pStyle w:val="BodyText"/>
        <w:spacing w:before="2" w:line="223" w:lineRule="auto"/>
        <w:ind w:right="213"/>
        <w:jc w:val="both"/>
      </w:pPr>
      <w:r>
        <w:rPr>
          <w:spacing w:val="-2"/>
        </w:rPr>
        <w:t>在国际上</w:t>
      </w:r>
      <w:r>
        <w:rPr>
          <w:rFonts w:ascii="黑体" w:eastAsia="黑体" w:hAnsi="黑体"/>
          <w:spacing w:val="-2"/>
        </w:rPr>
        <w:t>，</w:t>
      </w:r>
      <w:r>
        <w:rPr>
          <w:spacing w:val="-2"/>
        </w:rPr>
        <w:t>已经有一些国家将专利法的保护范围扩大到动植物品种。</w:t>
      </w:r>
      <w:r>
        <w:rPr>
          <w:rFonts w:ascii="宋体" w:eastAsia="宋体" w:hAnsi="宋体" w:hint="eastAsia"/>
          <w:i/>
          <w:spacing w:val="-2"/>
        </w:rPr>
        <w:t>“</w:t>
      </w:r>
      <w:r>
        <w:rPr>
          <w:spacing w:val="-2"/>
        </w:rPr>
        <w:t>哈佛鼠</w:t>
      </w:r>
      <w:r>
        <w:rPr>
          <w:rFonts w:ascii="宋体" w:eastAsia="宋体" w:hAnsi="宋体" w:hint="eastAsia"/>
          <w:i/>
          <w:spacing w:val="-2"/>
        </w:rPr>
        <w:t>”</w:t>
      </w:r>
      <w:r>
        <w:rPr>
          <w:spacing w:val="-2"/>
        </w:rPr>
        <w:t>的争端实际上就是两种不同观点之间的分歧与对立。从发展角度看</w:t>
      </w:r>
      <w:r>
        <w:rPr>
          <w:rFonts w:ascii="黑体" w:eastAsia="黑体" w:hAnsi="黑体"/>
          <w:spacing w:val="-2"/>
        </w:rPr>
        <w:t>，</w:t>
      </w:r>
      <w:r>
        <w:rPr>
          <w:spacing w:val="-2"/>
        </w:rPr>
        <w:t>对动植物品种予以保护是必然的趋势。我国也已公布实施了植物新品种保护条例</w:t>
      </w:r>
      <w:r>
        <w:rPr>
          <w:rFonts w:ascii="黑体" w:eastAsia="黑体" w:hAnsi="黑体"/>
          <w:spacing w:val="-2"/>
        </w:rPr>
        <w:t>，</w:t>
      </w:r>
      <w:r>
        <w:rPr>
          <w:spacing w:val="-2"/>
        </w:rPr>
        <w:t>开始建立了一套自己的植物品种保护制度。</w:t>
      </w:r>
    </w:p>
    <w:p>
      <w:pPr>
        <w:spacing w:after="0" w:line="223" w:lineRule="auto"/>
        <w:jc w:val="both"/>
        <w:sectPr>
          <w:headerReference w:type="default" r:id="rId13"/>
          <w:footerReference w:type="default" r:id="rId14"/>
          <w:pgSz w:w="11910" w:h="16840"/>
          <w:pgMar w:top="1460" w:right="920" w:bottom="820" w:left="1000" w:header="567" w:footer="633" w:gutter="0"/>
          <w:pgNumType w:start="7"/>
          <w:cols w:num="1" w:space="720"/>
        </w:sectPr>
      </w:pPr>
    </w:p>
    <w:p>
      <w:pPr>
        <w:spacing w:before="113" w:line="427" w:lineRule="exact"/>
        <w:ind w:left="139" w:right="276" w:firstLine="0"/>
        <w:jc w:val="center"/>
        <w:rPr>
          <w:b/>
          <w:sz w:val="24"/>
        </w:rPr>
      </w:pPr>
      <w:bookmarkStart w:id="2" w:name="_bookmark1"/>
      <w:bookmarkEnd w:id="2"/>
      <w:r>
        <w:rPr>
          <w:b/>
          <w:spacing w:val="-2"/>
          <w:sz w:val="24"/>
        </w:rPr>
        <w:t>【复试】2024</w:t>
      </w:r>
      <w:r>
        <w:rPr>
          <w:b/>
          <w:spacing w:val="-3"/>
          <w:sz w:val="24"/>
        </w:rPr>
        <w:t xml:space="preserve"> 年暨南大学 </w:t>
      </w:r>
      <w:r>
        <w:rPr>
          <w:b/>
          <w:spacing w:val="-2"/>
          <w:sz w:val="24"/>
        </w:rPr>
        <w:t>0301Z1</w:t>
      </w:r>
      <w:r>
        <w:rPr>
          <w:b/>
          <w:spacing w:val="-3"/>
          <w:sz w:val="24"/>
        </w:rPr>
        <w:t xml:space="preserve"> 知识产权法学《复试:知识产权法》考研复试仿真模拟 </w:t>
      </w:r>
      <w:r>
        <w:rPr>
          <w:b/>
          <w:spacing w:val="-10"/>
          <w:sz w:val="24"/>
        </w:rPr>
        <w:t>5</w:t>
      </w:r>
    </w:p>
    <w:p>
      <w:pPr>
        <w:spacing w:before="0" w:line="427" w:lineRule="exact"/>
        <w:ind w:left="4340" w:right="4419" w:firstLine="0"/>
        <w:jc w:val="center"/>
        <w:rPr>
          <w:b/>
          <w:sz w:val="24"/>
        </w:rPr>
      </w:pPr>
      <w:r>
        <w:rPr>
          <w:b/>
          <w:sz w:val="24"/>
        </w:rPr>
        <w:t>套卷（二</w:t>
      </w:r>
      <w:r>
        <w:rPr>
          <w:b/>
          <w:spacing w:val="-10"/>
          <w:sz w:val="24"/>
        </w:rPr>
        <w:t>）</w:t>
      </w:r>
    </w:p>
    <w:p>
      <w:pPr>
        <w:spacing w:before="110" w:line="223" w:lineRule="auto"/>
        <w:ind w:left="134" w:right="213" w:firstLine="0"/>
        <w:jc w:val="left"/>
        <w:rPr>
          <w:b/>
          <w:sz w:val="21"/>
        </w:rPr>
      </w:pPr>
      <w:r>
        <w:pict>
          <v:line id="_x0000_s1027" o:spid="_x0000_s1026" style="mso-height-relative:page;mso-position-horizontal-relative:page;mso-width-relative:page;position:absolute;z-index:251659264" from="55.25pt,41.05pt" to="540.05pt,41.05pt" coordsize="21600,21600" stroked="t" strokecolor="black"/>
        </w:pict>
      </w:r>
      <w:r>
        <w:rPr>
          <w:b/>
          <w:color w:val="FF0000"/>
          <w:spacing w:val="-2"/>
          <w:sz w:val="21"/>
        </w:rPr>
        <w:t>说明：本书按照复试要求、大纲真题、指定参考书等公开信息潜心整理编写，由学长严格审核校对，仅供考研备考使用，与目标学校及研究生院官方无关，如有侵权请联系我们立即处理。</w:t>
      </w:r>
    </w:p>
    <w:p>
      <w:pPr>
        <w:spacing w:before="0" w:line="365" w:lineRule="exact"/>
        <w:ind w:left="134" w:right="0" w:firstLine="0"/>
        <w:jc w:val="left"/>
        <w:rPr>
          <w:b/>
          <w:sz w:val="21"/>
        </w:rPr>
      </w:pPr>
      <w:r>
        <w:rPr>
          <w:b/>
          <w:color w:val="0000FF"/>
          <w:spacing w:val="-2"/>
          <w:sz w:val="21"/>
        </w:rPr>
        <w:t>一、名词解释</w:t>
      </w:r>
    </w:p>
    <w:p>
      <w:pPr>
        <w:pStyle w:val="ListParagraph"/>
        <w:numPr>
          <w:ilvl w:val="0"/>
          <w:numId w:val="3"/>
        </w:numPr>
        <w:tabs>
          <w:tab w:val="left" w:pos="554"/>
        </w:tabs>
        <w:spacing w:before="0" w:after="0" w:line="360" w:lineRule="exact"/>
        <w:ind w:left="554" w:right="0" w:hanging="420"/>
        <w:jc w:val="left"/>
        <w:rPr>
          <w:b/>
          <w:sz w:val="21"/>
        </w:rPr>
      </w:pPr>
      <w:r>
        <w:rPr>
          <w:b/>
          <w:spacing w:val="-2"/>
          <w:sz w:val="21"/>
        </w:rPr>
        <w:t>著作权集体管理制度</w:t>
      </w:r>
    </w:p>
    <w:p>
      <w:pPr>
        <w:pStyle w:val="BodyText"/>
        <w:spacing w:line="360" w:lineRule="exact"/>
        <w:ind w:left="554" w:firstLine="0"/>
      </w:pPr>
      <w:r>
        <w:rPr>
          <w:color w:val="FF0000"/>
        </w:rPr>
        <w:t>【答案】</w:t>
      </w:r>
      <w:r>
        <w:t>著作权集体管理制度</w:t>
      </w:r>
      <w:r>
        <w:rPr>
          <w:rFonts w:ascii="黑体" w:eastAsia="黑体"/>
        </w:rPr>
        <w:t>，</w:t>
      </w:r>
      <w:r>
        <w:t>是著作权人行使著作权的一种模式</w:t>
      </w:r>
      <w:r>
        <w:rPr>
          <w:rFonts w:ascii="黑体" w:eastAsia="黑体"/>
        </w:rPr>
        <w:t>，</w:t>
      </w:r>
      <w:r>
        <w:t>在这一模式下</w:t>
      </w:r>
      <w:r>
        <w:rPr>
          <w:rFonts w:ascii="黑体" w:eastAsia="黑体"/>
        </w:rPr>
        <w:t>,</w:t>
      </w:r>
      <w:r>
        <w:rPr>
          <w:spacing w:val="-2"/>
        </w:rPr>
        <w:t>众多著作权人</w:t>
      </w:r>
    </w:p>
    <w:p>
      <w:pPr>
        <w:pStyle w:val="BodyText"/>
        <w:spacing w:before="6" w:line="223" w:lineRule="auto"/>
        <w:ind w:right="213" w:firstLine="0"/>
        <w:jc w:val="both"/>
      </w:pPr>
      <w:r>
        <w:rPr>
          <w:spacing w:val="-2"/>
        </w:rPr>
        <w:t>（包括邻接权人）授权某一组织统一行使著作权（邻接权）</w:t>
      </w:r>
      <w:r>
        <w:rPr>
          <w:rFonts w:ascii="黑体" w:eastAsia="黑体"/>
          <w:spacing w:val="-2"/>
        </w:rPr>
        <w:t>，</w:t>
      </w:r>
      <w:r>
        <w:rPr>
          <w:spacing w:val="-2"/>
        </w:rPr>
        <w:t>在著作权人和该组织之间形成信托关系</w:t>
      </w:r>
      <w:r>
        <w:rPr>
          <w:rFonts w:ascii="黑体" w:eastAsia="黑体"/>
          <w:spacing w:val="-2"/>
        </w:rPr>
        <w:t>,</w:t>
      </w:r>
      <w:r>
        <w:rPr>
          <w:spacing w:val="-2"/>
        </w:rPr>
        <w:t>该组织以自己的名义为了著作权人的利益</w:t>
      </w:r>
      <w:r>
        <w:rPr>
          <w:rFonts w:ascii="黑体" w:eastAsia="黑体"/>
          <w:spacing w:val="-2"/>
        </w:rPr>
        <w:t>，</w:t>
      </w:r>
      <w:r>
        <w:rPr>
          <w:spacing w:val="-2"/>
        </w:rPr>
        <w:t>独立地进行著作权许可、收取并在著作权人（邻接权人）间分配著作权许可使用费</w:t>
      </w:r>
      <w:r>
        <w:rPr>
          <w:rFonts w:ascii="黑体" w:eastAsia="黑体"/>
          <w:spacing w:val="-2"/>
        </w:rPr>
        <w:t>，</w:t>
      </w:r>
      <w:r>
        <w:rPr>
          <w:spacing w:val="-2"/>
        </w:rPr>
        <w:t>以及参加著作权诉讼、仲裁等其他为了著作权人（邻接权人）主张权利的活动。该组织被称为著作权集体管理组织。</w:t>
      </w:r>
    </w:p>
    <w:p>
      <w:pPr>
        <w:pStyle w:val="ListParagraph"/>
        <w:numPr>
          <w:ilvl w:val="0"/>
          <w:numId w:val="3"/>
        </w:numPr>
        <w:tabs>
          <w:tab w:val="left" w:pos="554"/>
        </w:tabs>
        <w:spacing w:before="223" w:after="0" w:line="374" w:lineRule="exact"/>
        <w:ind w:left="554" w:right="0" w:hanging="420"/>
        <w:jc w:val="both"/>
        <w:rPr>
          <w:b/>
          <w:sz w:val="21"/>
        </w:rPr>
      </w:pPr>
      <w:r>
        <w:rPr>
          <w:b/>
          <w:spacing w:val="-3"/>
          <w:sz w:val="21"/>
        </w:rPr>
        <w:t>商品贿赂</w:t>
      </w:r>
    </w:p>
    <w:p>
      <w:pPr>
        <w:pStyle w:val="BodyText"/>
        <w:spacing w:before="6" w:line="223" w:lineRule="auto"/>
        <w:ind w:right="192"/>
        <w:jc w:val="both"/>
      </w:pPr>
      <w:r>
        <w:rPr>
          <w:color w:val="FF0000"/>
          <w:spacing w:val="-2"/>
        </w:rPr>
        <w:t>【答案】</w:t>
      </w:r>
      <w:r>
        <w:rPr>
          <w:spacing w:val="-2"/>
        </w:rPr>
        <w:t>商品贿赂</w:t>
      </w:r>
      <w:r>
        <w:rPr>
          <w:rFonts w:ascii="黑体" w:eastAsia="黑体"/>
          <w:spacing w:val="-2"/>
        </w:rPr>
        <w:t>，</w:t>
      </w:r>
      <w:r>
        <w:rPr>
          <w:spacing w:val="-2"/>
        </w:rPr>
        <w:t>是指经营者以排斥竞争对手为目的</w:t>
      </w:r>
      <w:r>
        <w:rPr>
          <w:rFonts w:ascii="黑体" w:eastAsia="黑体"/>
          <w:spacing w:val="-2"/>
        </w:rPr>
        <w:t>，</w:t>
      </w:r>
      <w:r>
        <w:rPr>
          <w:spacing w:val="-2"/>
        </w:rPr>
        <w:t>为争取交易机会</w:t>
      </w:r>
      <w:r>
        <w:rPr>
          <w:rFonts w:ascii="黑体" w:eastAsia="黑体"/>
          <w:spacing w:val="-2"/>
        </w:rPr>
        <w:t>，</w:t>
      </w:r>
      <w:r>
        <w:rPr>
          <w:spacing w:val="-2"/>
        </w:rPr>
        <w:t>暗中给予交易对方有关人员和能够影响交易的其他相关大员以财物或其他好处的不正当竞争行为</w:t>
      </w:r>
      <w:r>
        <w:rPr>
          <w:rFonts w:ascii="黑体" w:eastAsia="黑体"/>
          <w:spacing w:val="-2"/>
        </w:rPr>
        <w:t>，</w:t>
      </w:r>
      <w:r>
        <w:rPr>
          <w:spacing w:val="-2"/>
        </w:rPr>
        <w:t>是贿赂的一种形式</w:t>
      </w:r>
      <w:r>
        <w:rPr>
          <w:rFonts w:ascii="黑体" w:eastAsia="黑体"/>
          <w:spacing w:val="-2"/>
        </w:rPr>
        <w:t>，</w:t>
      </w:r>
      <w:r>
        <w:rPr>
          <w:spacing w:val="-2"/>
        </w:rPr>
        <w:t>但又不同于</w:t>
      </w:r>
      <w:r>
        <w:t>其他贿赂形式。针对商业贿赂</w:t>
      </w:r>
      <w:r>
        <w:rPr>
          <w:rFonts w:ascii="黑体" w:eastAsia="黑体"/>
        </w:rPr>
        <w:t>，</w:t>
      </w:r>
      <w:r>
        <w:t xml:space="preserve">《反不正当竞争法》第 </w:t>
      </w:r>
      <w:r>
        <w:rPr>
          <w:rFonts w:ascii="Times New Roman" w:eastAsia="Times New Roman"/>
        </w:rPr>
        <w:t xml:space="preserve">8 </w:t>
      </w:r>
      <w:r>
        <w:t>条规定</w:t>
      </w:r>
      <w:r>
        <w:rPr>
          <w:rFonts w:ascii="黑体" w:eastAsia="黑体"/>
        </w:rPr>
        <w:t>,</w:t>
      </w:r>
      <w:r>
        <w:t>经营者不得采用财物或者其他手段进行</w:t>
      </w:r>
      <w:r>
        <w:rPr>
          <w:spacing w:val="-2"/>
        </w:rPr>
        <w:t>贿赂以销售或者购买商品。在账外暗中给予对方单位或者个人回扣的</w:t>
      </w:r>
      <w:r>
        <w:rPr>
          <w:rFonts w:ascii="黑体" w:eastAsia="黑体"/>
          <w:spacing w:val="-2"/>
        </w:rPr>
        <w:t>,</w:t>
      </w:r>
      <w:r>
        <w:rPr>
          <w:spacing w:val="-2"/>
        </w:rPr>
        <w:t>以行贿论处</w:t>
      </w:r>
      <w:r>
        <w:rPr>
          <w:rFonts w:ascii="黑体" w:eastAsia="黑体"/>
          <w:spacing w:val="-2"/>
        </w:rPr>
        <w:t>；</w:t>
      </w:r>
      <w:r>
        <w:rPr>
          <w:spacing w:val="-2"/>
        </w:rPr>
        <w:t>对方单位或者个人在账外暗中收受回扣的</w:t>
      </w:r>
      <w:r>
        <w:rPr>
          <w:rFonts w:ascii="黑体" w:eastAsia="黑体"/>
          <w:spacing w:val="-2"/>
        </w:rPr>
        <w:t>，</w:t>
      </w:r>
      <w:r>
        <w:rPr>
          <w:spacing w:val="-2"/>
        </w:rPr>
        <w:t>以受贿论处。经营者销售或者购买商品</w:t>
      </w:r>
      <w:r>
        <w:rPr>
          <w:rFonts w:ascii="黑体" w:eastAsia="黑体"/>
          <w:spacing w:val="-2"/>
        </w:rPr>
        <w:t>，</w:t>
      </w:r>
      <w:r>
        <w:rPr>
          <w:spacing w:val="-2"/>
        </w:rPr>
        <w:t>可以以明示方式给对方折扣</w:t>
      </w:r>
      <w:r>
        <w:rPr>
          <w:rFonts w:ascii="黑体" w:eastAsia="黑体"/>
          <w:spacing w:val="-2"/>
        </w:rPr>
        <w:t>，</w:t>
      </w:r>
      <w:r>
        <w:rPr>
          <w:spacing w:val="-2"/>
        </w:rPr>
        <w:t>可以给中间</w:t>
      </w:r>
      <w:r>
        <w:t>人佣金的经营者给对方折扣、给中间人佣金的</w:t>
      </w:r>
      <w:r>
        <w:rPr>
          <w:rFonts w:ascii="黑体" w:eastAsia="黑体"/>
        </w:rPr>
        <w:t>，</w:t>
      </w:r>
      <w:r>
        <w:rPr>
          <w:spacing w:val="-1"/>
        </w:rPr>
        <w:t>必须如实入账。接受折扣、佣金的经营者必须如实入账。</w:t>
      </w:r>
    </w:p>
    <w:p>
      <w:pPr>
        <w:pStyle w:val="ListParagraph"/>
        <w:numPr>
          <w:ilvl w:val="0"/>
          <w:numId w:val="3"/>
        </w:numPr>
        <w:tabs>
          <w:tab w:val="left" w:pos="554"/>
        </w:tabs>
        <w:spacing w:before="223" w:after="0" w:line="374" w:lineRule="exact"/>
        <w:ind w:left="554" w:right="0" w:hanging="420"/>
        <w:jc w:val="both"/>
        <w:rPr>
          <w:b/>
          <w:sz w:val="21"/>
        </w:rPr>
      </w:pPr>
      <w:r>
        <w:rPr>
          <w:b/>
          <w:spacing w:val="-2"/>
          <w:sz w:val="21"/>
        </w:rPr>
        <w:t>著作权合理使用</w:t>
      </w:r>
    </w:p>
    <w:p>
      <w:pPr>
        <w:pStyle w:val="BodyText"/>
        <w:spacing w:before="3" w:line="225" w:lineRule="auto"/>
        <w:ind w:right="213"/>
        <w:jc w:val="both"/>
      </w:pPr>
      <w:r>
        <w:rPr>
          <w:color w:val="FF0000"/>
          <w:spacing w:val="-2"/>
        </w:rPr>
        <w:t>【答案】</w:t>
      </w:r>
      <w:r>
        <w:rPr>
          <w:spacing w:val="-2"/>
        </w:rPr>
        <w:t>在法律规定的情况下</w:t>
      </w:r>
      <w:r>
        <w:rPr>
          <w:rFonts w:ascii="黑体" w:eastAsia="黑体"/>
          <w:spacing w:val="-2"/>
        </w:rPr>
        <w:t>，</w:t>
      </w:r>
      <w:r>
        <w:rPr>
          <w:spacing w:val="-2"/>
        </w:rPr>
        <w:t>著作权人以外的人使用他人作品</w:t>
      </w:r>
      <w:r>
        <w:rPr>
          <w:rFonts w:ascii="黑体" w:eastAsia="黑体"/>
          <w:spacing w:val="-2"/>
        </w:rPr>
        <w:t>，</w:t>
      </w:r>
      <w:r>
        <w:rPr>
          <w:spacing w:val="-2"/>
        </w:rPr>
        <w:t>也就是行使依法本属于著作权人有权行使的权利</w:t>
      </w:r>
      <w:r>
        <w:rPr>
          <w:rFonts w:ascii="黑体" w:eastAsia="黑体"/>
          <w:spacing w:val="-2"/>
        </w:rPr>
        <w:t>,</w:t>
      </w:r>
      <w:r>
        <w:rPr>
          <w:spacing w:val="-2"/>
        </w:rPr>
        <w:t>可以不经著作权人的许可</w:t>
      </w:r>
      <w:r>
        <w:rPr>
          <w:rFonts w:ascii="黑体" w:eastAsia="黑体"/>
          <w:spacing w:val="-2"/>
        </w:rPr>
        <w:t>,</w:t>
      </w:r>
      <w:r>
        <w:rPr>
          <w:spacing w:val="-2"/>
        </w:rPr>
        <w:t>不向其支付报酬</w:t>
      </w:r>
      <w:r>
        <w:rPr>
          <w:rFonts w:ascii="黑体" w:eastAsia="黑体"/>
          <w:spacing w:val="-2"/>
        </w:rPr>
        <w:t>，</w:t>
      </w:r>
      <w:r>
        <w:rPr>
          <w:spacing w:val="-2"/>
        </w:rPr>
        <w:t>但应当指明作者的姓名、作品名</w:t>
      </w:r>
      <w:r>
        <w:rPr>
          <w:rFonts w:ascii="黑体" w:eastAsia="黑体"/>
          <w:spacing w:val="-2"/>
        </w:rPr>
        <w:t>，</w:t>
      </w:r>
      <w:r>
        <w:rPr>
          <w:spacing w:val="-2"/>
        </w:rPr>
        <w:t>并且不得侵犯著作权人的其他权利。</w:t>
      </w:r>
    </w:p>
    <w:p>
      <w:pPr>
        <w:spacing w:before="220" w:line="374" w:lineRule="exact"/>
        <w:ind w:left="134" w:right="0" w:firstLine="0"/>
        <w:jc w:val="left"/>
        <w:rPr>
          <w:b/>
          <w:sz w:val="21"/>
        </w:rPr>
      </w:pPr>
      <w:r>
        <w:rPr>
          <w:b/>
          <w:color w:val="0000FF"/>
          <w:spacing w:val="-2"/>
          <w:sz w:val="21"/>
        </w:rPr>
        <w:t>二、简答题</w:t>
      </w:r>
    </w:p>
    <w:p>
      <w:pPr>
        <w:pStyle w:val="ListParagraph"/>
        <w:numPr>
          <w:ilvl w:val="0"/>
          <w:numId w:val="3"/>
        </w:numPr>
        <w:tabs>
          <w:tab w:val="left" w:pos="554"/>
        </w:tabs>
        <w:spacing w:before="0" w:after="0" w:line="360" w:lineRule="exact"/>
        <w:ind w:left="554" w:right="0" w:hanging="420"/>
        <w:jc w:val="left"/>
        <w:rPr>
          <w:b/>
          <w:sz w:val="21"/>
        </w:rPr>
      </w:pPr>
      <w:r>
        <w:rPr>
          <w:b/>
          <w:spacing w:val="-1"/>
          <w:sz w:val="21"/>
        </w:rPr>
        <w:t>简述著作权与物权的区别。</w:t>
      </w:r>
    </w:p>
    <w:p>
      <w:pPr>
        <w:pStyle w:val="BodyText"/>
        <w:spacing w:line="360" w:lineRule="exact"/>
        <w:ind w:left="554" w:firstLine="0"/>
      </w:pPr>
      <w:r>
        <w:rPr>
          <w:color w:val="FF0000"/>
        </w:rPr>
        <w:t>【答案】</w:t>
      </w:r>
      <w:r>
        <w:t>著作权和物权都属于民事权利中的绝对权</w:t>
      </w:r>
      <w:r>
        <w:rPr>
          <w:rFonts w:ascii="黑体" w:eastAsia="黑体"/>
        </w:rPr>
        <w:t>，</w:t>
      </w:r>
      <w:r>
        <w:rPr>
          <w:spacing w:val="-1"/>
        </w:rPr>
        <w:t>但它们之间仍存在显著区别：</w:t>
      </w:r>
    </w:p>
    <w:p>
      <w:pPr>
        <w:pStyle w:val="ListParagraph"/>
        <w:numPr>
          <w:ilvl w:val="1"/>
          <w:numId w:val="3"/>
        </w:numPr>
        <w:tabs>
          <w:tab w:val="left" w:pos="1080"/>
        </w:tabs>
        <w:spacing w:before="6" w:after="0" w:line="223" w:lineRule="auto"/>
        <w:ind w:left="134" w:right="213" w:firstLine="420"/>
        <w:jc w:val="left"/>
        <w:rPr>
          <w:sz w:val="21"/>
        </w:rPr>
      </w:pPr>
      <w:r>
        <w:rPr>
          <w:spacing w:val="-4"/>
          <w:sz w:val="21"/>
        </w:rPr>
        <w:t>权利的对象不同。物权的对象是动产和不动产等</w:t>
      </w:r>
      <w:r>
        <w:rPr>
          <w:rFonts w:ascii="Times New Roman" w:eastAsia="Times New Roman" w:hAnsi="Times New Roman"/>
          <w:spacing w:val="-4"/>
          <w:sz w:val="21"/>
        </w:rPr>
        <w:t>“</w:t>
      </w:r>
      <w:r>
        <w:rPr>
          <w:spacing w:val="-4"/>
          <w:sz w:val="21"/>
        </w:rPr>
        <w:t>物</w:t>
      </w:r>
      <w:r>
        <w:rPr>
          <w:rFonts w:ascii="Times New Roman" w:eastAsia="Times New Roman" w:hAnsi="Times New Roman"/>
          <w:spacing w:val="-4"/>
          <w:sz w:val="21"/>
        </w:rPr>
        <w:t>”</w:t>
      </w:r>
      <w:r>
        <w:rPr>
          <w:rFonts w:ascii="黑体" w:eastAsia="黑体" w:hAnsi="黑体"/>
          <w:spacing w:val="-4"/>
          <w:sz w:val="21"/>
        </w:rPr>
        <w:t>；</w:t>
      </w:r>
      <w:r>
        <w:rPr>
          <w:spacing w:val="-4"/>
          <w:sz w:val="21"/>
        </w:rPr>
        <w:t>而著作权之对象则是不含物质实体的思想</w:t>
      </w:r>
      <w:r>
        <w:rPr>
          <w:spacing w:val="-2"/>
          <w:sz w:val="21"/>
        </w:rPr>
        <w:t>或感情的表现形式。</w:t>
      </w:r>
    </w:p>
    <w:p>
      <w:pPr>
        <w:pStyle w:val="ListParagraph"/>
        <w:numPr>
          <w:ilvl w:val="1"/>
          <w:numId w:val="3"/>
        </w:numPr>
        <w:tabs>
          <w:tab w:val="left" w:pos="1081"/>
        </w:tabs>
        <w:spacing w:before="1" w:after="0" w:line="223" w:lineRule="auto"/>
        <w:ind w:left="134" w:right="212" w:firstLine="420"/>
        <w:jc w:val="left"/>
        <w:rPr>
          <w:sz w:val="21"/>
        </w:rPr>
      </w:pPr>
      <w:r>
        <w:rPr>
          <w:spacing w:val="-2"/>
          <w:sz w:val="21"/>
        </w:rPr>
        <w:t>著作权的独占性和排他性弱于物权。著作权会受到法律明确规定的限制</w:t>
      </w:r>
      <w:r>
        <w:rPr>
          <w:rFonts w:ascii="黑体" w:eastAsia="黑体" w:hAnsi="黑体"/>
          <w:spacing w:val="-2"/>
          <w:sz w:val="21"/>
        </w:rPr>
        <w:t>，</w:t>
      </w:r>
      <w:r>
        <w:rPr>
          <w:spacing w:val="-2"/>
          <w:sz w:val="21"/>
        </w:rPr>
        <w:t>诸如</w:t>
      </w:r>
      <w:r>
        <w:rPr>
          <w:rFonts w:ascii="Times New Roman" w:eastAsia="Times New Roman" w:hAnsi="Times New Roman"/>
          <w:spacing w:val="-2"/>
          <w:sz w:val="21"/>
        </w:rPr>
        <w:t>“</w:t>
      </w:r>
      <w:r>
        <w:rPr>
          <w:spacing w:val="-2"/>
          <w:sz w:val="21"/>
        </w:rPr>
        <w:t>合理使用</w:t>
      </w:r>
      <w:r>
        <w:rPr>
          <w:rFonts w:ascii="Times New Roman" w:eastAsia="Times New Roman" w:hAnsi="Times New Roman"/>
          <w:spacing w:val="-2"/>
          <w:sz w:val="21"/>
        </w:rPr>
        <w:t>”</w:t>
      </w:r>
      <w:r>
        <w:rPr>
          <w:spacing w:val="-2"/>
          <w:sz w:val="21"/>
        </w:rPr>
        <w:t>、</w:t>
      </w:r>
      <w:r>
        <w:rPr>
          <w:rFonts w:ascii="Times New Roman" w:eastAsia="Times New Roman" w:hAnsi="Times New Roman"/>
          <w:spacing w:val="-2"/>
          <w:sz w:val="21"/>
        </w:rPr>
        <w:t>“</w:t>
      </w:r>
      <w:r>
        <w:rPr>
          <w:spacing w:val="-2"/>
          <w:sz w:val="21"/>
        </w:rPr>
        <w:t>法定许可使用</w:t>
      </w:r>
      <w:r>
        <w:rPr>
          <w:rFonts w:ascii="Times New Roman" w:eastAsia="Times New Roman" w:hAnsi="Times New Roman"/>
          <w:spacing w:val="-2"/>
          <w:sz w:val="21"/>
        </w:rPr>
        <w:t>”</w:t>
      </w:r>
      <w:r>
        <w:rPr>
          <w:spacing w:val="-2"/>
          <w:sz w:val="21"/>
        </w:rPr>
        <w:t>和</w:t>
      </w:r>
      <w:r>
        <w:rPr>
          <w:rFonts w:ascii="Times New Roman" w:eastAsia="Times New Roman" w:hAnsi="Times New Roman"/>
          <w:spacing w:val="-2"/>
          <w:sz w:val="21"/>
        </w:rPr>
        <w:t>“</w:t>
      </w:r>
      <w:r>
        <w:rPr>
          <w:spacing w:val="-2"/>
          <w:sz w:val="21"/>
        </w:rPr>
        <w:t>强制许可使用</w:t>
      </w:r>
      <w:r>
        <w:rPr>
          <w:rFonts w:ascii="Times New Roman" w:eastAsia="Times New Roman" w:hAnsi="Times New Roman"/>
          <w:spacing w:val="-2"/>
          <w:sz w:val="21"/>
        </w:rPr>
        <w:t>”</w:t>
      </w:r>
      <w:r>
        <w:rPr>
          <w:spacing w:val="-2"/>
          <w:sz w:val="21"/>
        </w:rPr>
        <w:t>等制度。而物权则没有这些限制。</w:t>
      </w:r>
    </w:p>
    <w:p>
      <w:pPr>
        <w:pStyle w:val="ListParagraph"/>
        <w:numPr>
          <w:ilvl w:val="1"/>
          <w:numId w:val="3"/>
        </w:numPr>
        <w:tabs>
          <w:tab w:val="left" w:pos="1083"/>
        </w:tabs>
        <w:spacing w:before="0" w:after="0" w:line="223" w:lineRule="auto"/>
        <w:ind w:left="134" w:right="213" w:firstLine="420"/>
        <w:jc w:val="both"/>
        <w:rPr>
          <w:sz w:val="21"/>
        </w:rPr>
      </w:pPr>
      <w:r>
        <w:rPr>
          <w:spacing w:val="-2"/>
          <w:sz w:val="21"/>
        </w:rPr>
        <w:t>由于著作权的对象是思想或情感的表现</w:t>
      </w:r>
      <w:r>
        <w:rPr>
          <w:rFonts w:ascii="黑体" w:eastAsia="黑体" w:hAnsi="黑体"/>
          <w:spacing w:val="-2"/>
          <w:sz w:val="21"/>
        </w:rPr>
        <w:t>，</w:t>
      </w:r>
      <w:r>
        <w:rPr>
          <w:spacing w:val="-2"/>
          <w:sz w:val="21"/>
        </w:rPr>
        <w:t>它不受物质材料的束缚和限制</w:t>
      </w:r>
      <w:r>
        <w:rPr>
          <w:rFonts w:ascii="黑体" w:eastAsia="黑体" w:hAnsi="黑体"/>
          <w:spacing w:val="-2"/>
          <w:sz w:val="21"/>
        </w:rPr>
        <w:t>，</w:t>
      </w:r>
      <w:r>
        <w:rPr>
          <w:spacing w:val="-2"/>
          <w:sz w:val="21"/>
        </w:rPr>
        <w:t>可以不受时空限制地任意再现</w:t>
      </w:r>
      <w:r>
        <w:rPr>
          <w:rFonts w:ascii="黑体" w:eastAsia="黑体" w:hAnsi="黑体"/>
          <w:spacing w:val="-2"/>
          <w:sz w:val="21"/>
        </w:rPr>
        <w:t>，</w:t>
      </w:r>
      <w:r>
        <w:rPr>
          <w:spacing w:val="-2"/>
          <w:sz w:val="21"/>
        </w:rPr>
        <w:t>因此也不能如同物权一般为权利人实际控制占有。正是出于著作权标的理论上的具有无限再现性的特点</w:t>
      </w:r>
      <w:r>
        <w:rPr>
          <w:rFonts w:ascii="黑体" w:eastAsia="黑体" w:hAnsi="黑体"/>
          <w:spacing w:val="-2"/>
          <w:sz w:val="21"/>
        </w:rPr>
        <w:t>，</w:t>
      </w:r>
      <w:r>
        <w:rPr>
          <w:spacing w:val="-2"/>
          <w:sz w:val="21"/>
        </w:rPr>
        <w:t>所以著作权极易受到侵害。而物权则往往可以通过对</w:t>
      </w:r>
      <w:r>
        <w:rPr>
          <w:rFonts w:ascii="Times New Roman" w:eastAsia="Times New Roman" w:hAnsi="Times New Roman"/>
          <w:spacing w:val="-2"/>
          <w:sz w:val="21"/>
        </w:rPr>
        <w:t>“</w:t>
      </w:r>
      <w:r>
        <w:rPr>
          <w:spacing w:val="-2"/>
          <w:sz w:val="21"/>
        </w:rPr>
        <w:t>物</w:t>
      </w:r>
      <w:r>
        <w:rPr>
          <w:rFonts w:ascii="Times New Roman" w:eastAsia="Times New Roman" w:hAnsi="Times New Roman"/>
          <w:spacing w:val="-2"/>
          <w:sz w:val="21"/>
        </w:rPr>
        <w:t>”</w:t>
      </w:r>
      <w:r>
        <w:rPr>
          <w:spacing w:val="-2"/>
          <w:sz w:val="21"/>
        </w:rPr>
        <w:t>的事实占有加以实现。</w:t>
      </w:r>
    </w:p>
    <w:p>
      <w:pPr>
        <w:pStyle w:val="ListParagraph"/>
        <w:numPr>
          <w:ilvl w:val="1"/>
          <w:numId w:val="3"/>
        </w:numPr>
        <w:tabs>
          <w:tab w:val="left" w:pos="1083"/>
        </w:tabs>
        <w:spacing w:before="1" w:after="0" w:line="223" w:lineRule="auto"/>
        <w:ind w:left="134" w:right="213" w:firstLine="420"/>
        <w:jc w:val="left"/>
        <w:rPr>
          <w:sz w:val="21"/>
        </w:rPr>
      </w:pPr>
      <w:r>
        <w:rPr>
          <w:spacing w:val="-2"/>
          <w:sz w:val="21"/>
        </w:rPr>
        <w:t>两者期限不同。著作权在法律上明确规定一定的期限</w:t>
      </w:r>
      <w:r>
        <w:rPr>
          <w:rFonts w:ascii="黑体" w:eastAsia="黑体"/>
          <w:spacing w:val="-2"/>
          <w:sz w:val="21"/>
        </w:rPr>
        <w:t>，</w:t>
      </w:r>
      <w:r>
        <w:rPr>
          <w:spacing w:val="-2"/>
          <w:sz w:val="21"/>
        </w:rPr>
        <w:t>期限届满</w:t>
      </w:r>
      <w:r>
        <w:rPr>
          <w:rFonts w:ascii="黑体" w:eastAsia="黑体"/>
          <w:spacing w:val="-2"/>
          <w:sz w:val="21"/>
        </w:rPr>
        <w:t>，</w:t>
      </w:r>
      <w:r>
        <w:rPr>
          <w:spacing w:val="-2"/>
          <w:sz w:val="21"/>
        </w:rPr>
        <w:t>权利归于消灭。物权则无此法律规定</w:t>
      </w:r>
      <w:r>
        <w:rPr>
          <w:rFonts w:ascii="黑体" w:eastAsia="黑体"/>
          <w:spacing w:val="-2"/>
          <w:sz w:val="21"/>
        </w:rPr>
        <w:t>，</w:t>
      </w:r>
      <w:r>
        <w:rPr>
          <w:spacing w:val="-2"/>
          <w:sz w:val="21"/>
        </w:rPr>
        <w:t>物权的期限决定于物的自然寿命。</w:t>
      </w:r>
    </w:p>
    <w:p>
      <w:pPr>
        <w:spacing w:after="0" w:line="223" w:lineRule="auto"/>
        <w:jc w:val="left"/>
        <w:rPr>
          <w:sz w:val="21"/>
        </w:rPr>
        <w:sectPr>
          <w:headerReference w:type="default" r:id="rId15"/>
          <w:footerReference w:type="default" r:id="rId16"/>
          <w:pgSz w:w="11910" w:h="16840"/>
          <w:pgMar w:top="1460" w:right="920" w:bottom="820" w:left="1000" w:header="567" w:footer="633" w:gutter="0"/>
          <w:pgNumType w:start="8"/>
          <w:cols w:num="1" w:space="720"/>
        </w:sectPr>
      </w:pPr>
    </w:p>
    <w:p>
      <w:pPr>
        <w:pStyle w:val="ListParagraph"/>
        <w:numPr>
          <w:ilvl w:val="0"/>
          <w:numId w:val="3"/>
        </w:numPr>
        <w:tabs>
          <w:tab w:val="left" w:pos="554"/>
        </w:tabs>
        <w:spacing w:before="0" w:after="0" w:line="368" w:lineRule="exact"/>
        <w:ind w:left="554" w:right="0" w:hanging="420"/>
        <w:jc w:val="left"/>
        <w:rPr>
          <w:b/>
          <w:sz w:val="21"/>
        </w:rPr>
      </w:pPr>
      <w:r>
        <w:rPr>
          <w:b/>
          <w:spacing w:val="-1"/>
          <w:sz w:val="21"/>
        </w:rPr>
        <w:t>简述注册商标注销和撤销的主要事由。</w:t>
      </w:r>
    </w:p>
    <w:p>
      <w:pPr>
        <w:pStyle w:val="BodyText"/>
        <w:spacing w:line="360" w:lineRule="exact"/>
        <w:ind w:left="554" w:firstLine="0"/>
      </w:pPr>
      <w:r>
        <w:rPr>
          <w:color w:val="FF0000"/>
        </w:rPr>
        <w:t>【答案】</w:t>
      </w:r>
      <w:r>
        <w:rPr>
          <w:spacing w:val="-1"/>
        </w:rPr>
        <w:t>注销是指注册商标所有人自动放弃注册商标或商标局依法取消注册商标的程序。其事由有：</w:t>
      </w:r>
    </w:p>
    <w:p>
      <w:pPr>
        <w:pStyle w:val="BodyText"/>
        <w:spacing w:line="360" w:lineRule="exact"/>
        <w:ind w:firstLine="0"/>
      </w:pPr>
      <w:r>
        <w:t>（</w:t>
      </w:r>
      <w:r>
        <w:rPr>
          <w:rFonts w:ascii="Times New Roman" w:eastAsia="Times New Roman"/>
        </w:rPr>
        <w:t>1</w:t>
      </w:r>
      <w:r>
        <w:t>）自动申请注销</w:t>
      </w:r>
      <w:r>
        <w:rPr>
          <w:rFonts w:ascii="黑体" w:eastAsia="黑体"/>
        </w:rPr>
        <w:t>；</w:t>
      </w:r>
      <w:r>
        <w:t>（</w:t>
      </w:r>
      <w:r>
        <w:rPr>
          <w:rFonts w:ascii="Times New Roman" w:eastAsia="Times New Roman"/>
        </w:rPr>
        <w:t>2</w:t>
      </w:r>
      <w:r>
        <w:t>）过期注销</w:t>
      </w:r>
      <w:r>
        <w:rPr>
          <w:rFonts w:ascii="黑体" w:eastAsia="黑体"/>
        </w:rPr>
        <w:t>；</w:t>
      </w:r>
      <w:r>
        <w:t>（</w:t>
      </w:r>
      <w:r>
        <w:rPr>
          <w:rFonts w:ascii="Times New Roman" w:eastAsia="Times New Roman"/>
        </w:rPr>
        <w:t>3</w:t>
      </w:r>
      <w:r>
        <w:t>）</w:t>
      </w:r>
      <w:r>
        <w:rPr>
          <w:spacing w:val="-2"/>
        </w:rPr>
        <w:t>无人继承注销。</w:t>
      </w:r>
    </w:p>
    <w:p>
      <w:pPr>
        <w:pStyle w:val="BodyText"/>
        <w:spacing w:before="6" w:line="223" w:lineRule="auto"/>
        <w:ind w:right="213"/>
      </w:pPr>
      <w:r>
        <w:rPr>
          <w:spacing w:val="-2"/>
        </w:rPr>
        <w:t>撤销是指商标主管机关或商标仲裁机关对违反商标法及有关规定的行为予以处罚</w:t>
      </w:r>
      <w:r>
        <w:rPr>
          <w:rFonts w:ascii="黑体" w:eastAsia="黑体"/>
          <w:spacing w:val="-2"/>
        </w:rPr>
        <w:t>，</w:t>
      </w:r>
      <w:r>
        <w:rPr>
          <w:spacing w:val="-2"/>
        </w:rPr>
        <w:t>使原注册商标专用权归于消灭的程序。其事由有：（</w:t>
      </w:r>
      <w:r>
        <w:rPr>
          <w:rFonts w:ascii="Times New Roman" w:eastAsia="Times New Roman"/>
          <w:spacing w:val="-2"/>
        </w:rPr>
        <w:t>1</w:t>
      </w:r>
      <w:r>
        <w:rPr>
          <w:spacing w:val="-2"/>
        </w:rPr>
        <w:t>）违法撤销</w:t>
      </w:r>
      <w:r>
        <w:rPr>
          <w:rFonts w:ascii="黑体" w:eastAsia="黑体"/>
          <w:spacing w:val="-2"/>
        </w:rPr>
        <w:t>；</w:t>
      </w:r>
      <w:r>
        <w:rPr>
          <w:spacing w:val="-2"/>
        </w:rPr>
        <w:t>（</w:t>
      </w:r>
      <w:r>
        <w:rPr>
          <w:rFonts w:ascii="Times New Roman" w:eastAsia="Times New Roman"/>
          <w:spacing w:val="-2"/>
        </w:rPr>
        <w:t>2</w:t>
      </w:r>
      <w:r>
        <w:rPr>
          <w:spacing w:val="-2"/>
        </w:rPr>
        <w:t>）不当注册撤销</w:t>
      </w:r>
      <w:r>
        <w:rPr>
          <w:rFonts w:ascii="黑体" w:eastAsia="黑体"/>
          <w:spacing w:val="-2"/>
        </w:rPr>
        <w:t>；</w:t>
      </w:r>
      <w:r>
        <w:rPr>
          <w:spacing w:val="-2"/>
        </w:rPr>
        <w:t>（</w:t>
      </w:r>
      <w:r>
        <w:rPr>
          <w:rFonts w:ascii="Times New Roman" w:eastAsia="Times New Roman"/>
          <w:spacing w:val="-2"/>
        </w:rPr>
        <w:t>3</w:t>
      </w:r>
      <w:r>
        <w:rPr>
          <w:spacing w:val="-2"/>
        </w:rPr>
        <w:t>）争议撤销。</w:t>
      </w:r>
    </w:p>
    <w:p>
      <w:pPr>
        <w:pStyle w:val="ListParagraph"/>
        <w:numPr>
          <w:ilvl w:val="0"/>
          <w:numId w:val="3"/>
        </w:numPr>
        <w:tabs>
          <w:tab w:val="left" w:pos="554"/>
        </w:tabs>
        <w:spacing w:before="222" w:after="0" w:line="374" w:lineRule="exact"/>
        <w:ind w:left="554" w:right="0" w:hanging="420"/>
        <w:jc w:val="both"/>
        <w:rPr>
          <w:b/>
          <w:sz w:val="21"/>
        </w:rPr>
      </w:pPr>
      <w:r>
        <w:rPr>
          <w:b/>
          <w:spacing w:val="-1"/>
          <w:sz w:val="21"/>
        </w:rPr>
        <w:t>简述著作权许可使用的种类及区别。</w:t>
      </w:r>
    </w:p>
    <w:p>
      <w:pPr>
        <w:pStyle w:val="BodyText"/>
        <w:spacing w:before="6" w:line="223" w:lineRule="auto"/>
        <w:ind w:right="108"/>
        <w:jc w:val="both"/>
      </w:pPr>
      <w:r>
        <w:rPr>
          <w:color w:val="FF0000"/>
          <w:spacing w:val="-2"/>
        </w:rPr>
        <w:t>【答案】</w:t>
      </w:r>
      <w:r>
        <w:rPr>
          <w:spacing w:val="-2"/>
        </w:rPr>
        <w:t>著作权许可使用可以分为专有许可使用和非专有许可使用两类。前者是一种独占和排他的使用权</w:t>
      </w:r>
      <w:r>
        <w:rPr>
          <w:rFonts w:ascii="黑体" w:eastAsia="黑体"/>
          <w:spacing w:val="-2"/>
        </w:rPr>
        <w:t>，</w:t>
      </w:r>
      <w:r>
        <w:rPr>
          <w:spacing w:val="-2"/>
        </w:rPr>
        <w:t>是指著作权人将许可使用的著作权</w:t>
      </w:r>
      <w:r>
        <w:rPr>
          <w:rFonts w:ascii="黑体" w:eastAsia="黑体"/>
          <w:spacing w:val="-2"/>
        </w:rPr>
        <w:t>，</w:t>
      </w:r>
      <w:r>
        <w:rPr>
          <w:spacing w:val="-2"/>
        </w:rPr>
        <w:t>如出版、翻译某一文字、摄制电影等权利</w:t>
      </w:r>
      <w:r>
        <w:rPr>
          <w:rFonts w:ascii="黑体" w:eastAsia="黑体"/>
          <w:spacing w:val="-2"/>
        </w:rPr>
        <w:t>，</w:t>
      </w:r>
      <w:r>
        <w:rPr>
          <w:spacing w:val="-2"/>
        </w:rPr>
        <w:t>授权给被许可人之后</w:t>
      </w:r>
      <w:r>
        <w:rPr>
          <w:rFonts w:ascii="黑体" w:eastAsia="黑体"/>
          <w:spacing w:val="-2"/>
        </w:rPr>
        <w:t>，</w:t>
      </w:r>
      <w:r>
        <w:rPr>
          <w:spacing w:val="-2"/>
        </w:rPr>
        <w:t>在合同的有效期间内</w:t>
      </w:r>
      <w:r>
        <w:rPr>
          <w:rFonts w:ascii="黑体" w:eastAsia="黑体"/>
          <w:spacing w:val="-2"/>
        </w:rPr>
        <w:t>，</w:t>
      </w:r>
      <w:r>
        <w:rPr>
          <w:spacing w:val="-2"/>
        </w:rPr>
        <w:t>既不能再将上述权利授权给第三人使用</w:t>
      </w:r>
      <w:r>
        <w:rPr>
          <w:rFonts w:ascii="黑体" w:eastAsia="黑体"/>
          <w:spacing w:val="-2"/>
        </w:rPr>
        <w:t>，</w:t>
      </w:r>
      <w:r>
        <w:rPr>
          <w:spacing w:val="-2"/>
        </w:rPr>
        <w:t>自己也不能使用。而后者是指著作权</w:t>
      </w:r>
      <w:r>
        <w:t>人将某一项或几项著作权许可他人使用之后</w:t>
      </w:r>
      <w:r>
        <w:rPr>
          <w:rFonts w:ascii="黑体" w:eastAsia="黑体"/>
          <w:spacing w:val="-63"/>
        </w:rPr>
        <w:t>，</w:t>
      </w:r>
      <w:r>
        <w:t>在合同的有效期内</w:t>
      </w:r>
      <w:r>
        <w:rPr>
          <w:rFonts w:ascii="黑体" w:eastAsia="黑体"/>
          <w:spacing w:val="-63"/>
        </w:rPr>
        <w:t>，</w:t>
      </w:r>
      <w:r>
        <w:rPr>
          <w:spacing w:val="-1"/>
        </w:rPr>
        <w:t>还可以将同样的权利再许可第三人使用。</w:t>
      </w:r>
    </w:p>
    <w:p>
      <w:pPr>
        <w:pStyle w:val="BodyText"/>
        <w:spacing w:before="1" w:line="223" w:lineRule="auto"/>
        <w:ind w:right="213"/>
        <w:jc w:val="both"/>
      </w:pPr>
      <w:r>
        <w:rPr>
          <w:spacing w:val="-2"/>
        </w:rPr>
        <w:t>二者的本质区别在于被许可人的使用权性质不同:专有使用权是排他和独占的权利</w:t>
      </w:r>
      <w:r>
        <w:rPr>
          <w:rFonts w:ascii="黑体" w:eastAsia="黑体"/>
          <w:spacing w:val="-74"/>
        </w:rPr>
        <w:t>，</w:t>
      </w:r>
      <w:r>
        <w:rPr>
          <w:spacing w:val="-2"/>
        </w:rPr>
        <w:t>在约定的范围内和有效期内</w:t>
      </w:r>
      <w:r>
        <w:rPr>
          <w:rFonts w:ascii="黑体" w:eastAsia="黑体"/>
          <w:spacing w:val="-2"/>
        </w:rPr>
        <w:t>，</w:t>
      </w:r>
      <w:r>
        <w:rPr>
          <w:spacing w:val="-2"/>
        </w:rPr>
        <w:t>权利人不但不能授权他人以同样方式使用作品</w:t>
      </w:r>
      <w:r>
        <w:rPr>
          <w:rFonts w:ascii="黑体" w:eastAsia="黑体"/>
          <w:spacing w:val="-2"/>
        </w:rPr>
        <w:t>，</w:t>
      </w:r>
      <w:r>
        <w:rPr>
          <w:spacing w:val="-2"/>
        </w:rPr>
        <w:t>自己也不能进行相同使用。正因为这样</w:t>
      </w:r>
      <w:r>
        <w:rPr>
          <w:rFonts w:ascii="黑体" w:eastAsia="黑体"/>
          <w:spacing w:val="-2"/>
        </w:rPr>
        <w:t>，</w:t>
      </w:r>
      <w:r>
        <w:rPr>
          <w:spacing w:val="-2"/>
        </w:rPr>
        <w:t>专有使用权有利于占领市场</w:t>
      </w:r>
      <w:r>
        <w:rPr>
          <w:rFonts w:ascii="黑体" w:eastAsia="黑体"/>
          <w:spacing w:val="-2"/>
        </w:rPr>
        <w:t>，</w:t>
      </w:r>
      <w:r>
        <w:rPr>
          <w:spacing w:val="-2"/>
        </w:rPr>
        <w:t>往往许可使用的费用也高。而非专有使用权则在使用人使用的同时</w:t>
      </w:r>
      <w:r>
        <w:rPr>
          <w:rFonts w:ascii="黑体" w:eastAsia="黑体"/>
          <w:spacing w:val="-2"/>
        </w:rPr>
        <w:t>，</w:t>
      </w:r>
      <w:r>
        <w:rPr>
          <w:spacing w:val="-2"/>
        </w:rPr>
        <w:t>不影响权利人授权他人以同样方式使用。因此</w:t>
      </w:r>
      <w:r>
        <w:rPr>
          <w:rFonts w:ascii="黑体" w:eastAsia="黑体"/>
          <w:spacing w:val="-2"/>
        </w:rPr>
        <w:t>，</w:t>
      </w:r>
      <w:r>
        <w:rPr>
          <w:spacing w:val="-2"/>
        </w:rPr>
        <w:t>非专有使用权的使用费用相对低。</w:t>
      </w:r>
    </w:p>
    <w:p>
      <w:pPr>
        <w:pStyle w:val="ListParagraph"/>
        <w:numPr>
          <w:ilvl w:val="0"/>
          <w:numId w:val="3"/>
        </w:numPr>
        <w:tabs>
          <w:tab w:val="left" w:pos="554"/>
        </w:tabs>
        <w:spacing w:before="223" w:after="0" w:line="381" w:lineRule="exact"/>
        <w:ind w:left="554" w:right="0" w:hanging="420"/>
        <w:jc w:val="left"/>
        <w:rPr>
          <w:b/>
          <w:sz w:val="21"/>
        </w:rPr>
      </w:pPr>
      <w:r>
        <w:rPr>
          <w:b/>
          <w:sz w:val="21"/>
        </w:rPr>
        <w:t>具备何种条件的外国人</w:t>
      </w:r>
      <w:r>
        <w:rPr>
          <w:rFonts w:ascii="Yu Gothic" w:eastAsia="Yu Gothic"/>
          <w:b/>
          <w:sz w:val="21"/>
        </w:rPr>
        <w:t>，</w:t>
      </w:r>
      <w:r>
        <w:rPr>
          <w:b/>
          <w:spacing w:val="-2"/>
          <w:sz w:val="21"/>
        </w:rPr>
        <w:t>可在我国申请专利？</w:t>
      </w:r>
    </w:p>
    <w:p>
      <w:pPr>
        <w:pStyle w:val="BodyText"/>
        <w:spacing w:line="352" w:lineRule="exact"/>
        <w:ind w:left="554" w:firstLine="0"/>
      </w:pPr>
      <w:r>
        <w:rPr>
          <w:color w:val="FF0000"/>
        </w:rPr>
        <w:t>【答案】</w:t>
      </w:r>
      <w:r>
        <w:t>具备以下四个条件之一的外国人</w:t>
      </w:r>
      <w:r>
        <w:rPr>
          <w:rFonts w:ascii="黑体" w:eastAsia="黑体"/>
        </w:rPr>
        <w:t>，</w:t>
      </w:r>
      <w:r>
        <w:rPr>
          <w:spacing w:val="-1"/>
        </w:rPr>
        <w:t>即可在我国申请专利。</w:t>
      </w:r>
    </w:p>
    <w:p>
      <w:pPr>
        <w:pStyle w:val="BodyText"/>
        <w:spacing w:line="360" w:lineRule="exact"/>
        <w:ind w:left="554" w:firstLine="0"/>
      </w:pPr>
      <w:r>
        <w:t>条件之一</w:t>
      </w:r>
      <w:r>
        <w:rPr>
          <w:rFonts w:ascii="黑体" w:eastAsia="黑体"/>
        </w:rPr>
        <w:t>，</w:t>
      </w:r>
      <w:r>
        <w:rPr>
          <w:spacing w:val="-1"/>
        </w:rPr>
        <w:t>该外国人在我国有经常居所或营业所。条件之所或营业所。</w:t>
      </w:r>
    </w:p>
    <w:p>
      <w:pPr>
        <w:pStyle w:val="BodyText"/>
        <w:spacing w:line="360" w:lineRule="exact"/>
        <w:ind w:left="554" w:firstLine="0"/>
      </w:pPr>
      <w:r>
        <w:t>条件之二</w:t>
      </w:r>
      <w:r>
        <w:rPr>
          <w:rFonts w:ascii="黑体" w:eastAsia="黑体"/>
        </w:rPr>
        <w:t>，</w:t>
      </w:r>
      <w:r>
        <w:rPr>
          <w:spacing w:val="-1"/>
        </w:rPr>
        <w:t>该外国人的所属国同中国签订了专利保护的双边条约或共同参加了有关国际公约。</w:t>
      </w:r>
    </w:p>
    <w:p>
      <w:pPr>
        <w:pStyle w:val="BodyText"/>
        <w:spacing w:before="6" w:line="223" w:lineRule="auto"/>
        <w:ind w:right="213"/>
      </w:pPr>
      <w:r>
        <w:rPr>
          <w:spacing w:val="-2"/>
        </w:rPr>
        <w:t>条件之三</w:t>
      </w:r>
      <w:r>
        <w:rPr>
          <w:rFonts w:ascii="黑体" w:eastAsia="黑体"/>
          <w:spacing w:val="-2"/>
        </w:rPr>
        <w:t>，</w:t>
      </w:r>
      <w:r>
        <w:rPr>
          <w:spacing w:val="-2"/>
        </w:rPr>
        <w:t>若该外国国民所属国对中国人的专利申请予以保护</w:t>
      </w:r>
      <w:r>
        <w:rPr>
          <w:rFonts w:ascii="黑体" w:eastAsia="黑体"/>
          <w:spacing w:val="-2"/>
        </w:rPr>
        <w:t>，</w:t>
      </w:r>
      <w:r>
        <w:rPr>
          <w:spacing w:val="-2"/>
        </w:rPr>
        <w:t>则我国也相应地对该外国国民予以保护</w:t>
      </w:r>
      <w:r>
        <w:rPr>
          <w:rFonts w:ascii="黑体" w:eastAsia="黑体"/>
          <w:spacing w:val="-2"/>
        </w:rPr>
        <w:t>，</w:t>
      </w:r>
      <w:r>
        <w:rPr>
          <w:spacing w:val="-2"/>
        </w:rPr>
        <w:t>即按互惠原则办理。</w:t>
      </w:r>
    </w:p>
    <w:p>
      <w:pPr>
        <w:pStyle w:val="BodyText"/>
        <w:spacing w:before="1" w:line="223" w:lineRule="auto"/>
        <w:ind w:right="213"/>
      </w:pPr>
      <w:r>
        <w:rPr>
          <w:spacing w:val="-2"/>
        </w:rPr>
        <w:t>条件之四</w:t>
      </w:r>
      <w:r>
        <w:rPr>
          <w:rFonts w:ascii="黑体" w:eastAsia="黑体" w:hAnsi="黑体"/>
          <w:spacing w:val="-2"/>
        </w:rPr>
        <w:t>，</w:t>
      </w:r>
      <w:r>
        <w:rPr>
          <w:spacing w:val="-2"/>
        </w:rPr>
        <w:t>根据《巴黎公约》</w:t>
      </w:r>
      <w:r>
        <w:rPr>
          <w:rFonts w:ascii="黑体" w:eastAsia="黑体" w:hAnsi="黑体"/>
          <w:spacing w:val="-2"/>
        </w:rPr>
        <w:t>，</w:t>
      </w:r>
      <w:r>
        <w:rPr>
          <w:spacing w:val="-2"/>
        </w:rPr>
        <w:t>对于非《巴黎公约》成员国国民</w:t>
      </w:r>
      <w:r>
        <w:rPr>
          <w:rFonts w:ascii="黑体" w:eastAsia="黑体" w:hAnsi="黑体"/>
          <w:spacing w:val="-2"/>
        </w:rPr>
        <w:t>，</w:t>
      </w:r>
      <w:r>
        <w:rPr>
          <w:spacing w:val="-2"/>
        </w:rPr>
        <w:t>只要在任</w:t>
      </w:r>
      <w:r>
        <w:rPr>
          <w:i/>
          <w:spacing w:val="-2"/>
        </w:rPr>
        <w:t>—</w:t>
      </w:r>
      <w:r>
        <w:rPr>
          <w:spacing w:val="-2"/>
        </w:rPr>
        <w:t>《巴黎公约》成员国领域内设有住所或真实有效的营业所</w:t>
      </w:r>
      <w:r>
        <w:rPr>
          <w:rFonts w:ascii="黑体" w:eastAsia="黑体" w:hAnsi="黑体"/>
          <w:spacing w:val="-2"/>
        </w:rPr>
        <w:t>，</w:t>
      </w:r>
      <w:r>
        <w:rPr>
          <w:spacing w:val="-2"/>
        </w:rPr>
        <w:t>也应当同我国国民一样享有国民待遇。</w:t>
      </w:r>
    </w:p>
    <w:p>
      <w:pPr>
        <w:pStyle w:val="ListParagraph"/>
        <w:numPr>
          <w:ilvl w:val="0"/>
          <w:numId w:val="3"/>
        </w:numPr>
        <w:tabs>
          <w:tab w:val="left" w:pos="554"/>
        </w:tabs>
        <w:spacing w:before="222" w:after="0" w:line="374" w:lineRule="exact"/>
        <w:ind w:left="554" w:right="0" w:hanging="420"/>
        <w:jc w:val="left"/>
        <w:rPr>
          <w:b/>
          <w:sz w:val="21"/>
        </w:rPr>
      </w:pPr>
      <w:r>
        <w:rPr>
          <w:b/>
          <w:spacing w:val="-1"/>
          <w:sz w:val="21"/>
        </w:rPr>
        <w:t>对侵犯著作权的行为有哪些诉前司法救济手段？</w:t>
      </w:r>
    </w:p>
    <w:p>
      <w:pPr>
        <w:pStyle w:val="BodyText"/>
        <w:spacing w:line="360" w:lineRule="exact"/>
        <w:ind w:left="554" w:firstLine="0"/>
      </w:pPr>
      <w:r>
        <w:rPr>
          <w:color w:val="FF0000"/>
        </w:rPr>
        <w:t>【答案】</w:t>
      </w:r>
      <w:r>
        <w:rPr>
          <w:spacing w:val="-1"/>
        </w:rPr>
        <w:t>侵犯著作权行为的诉前司法救济手段包括两点：</w:t>
      </w:r>
    </w:p>
    <w:p>
      <w:pPr>
        <w:pStyle w:val="ListParagraph"/>
        <w:numPr>
          <w:ilvl w:val="1"/>
          <w:numId w:val="3"/>
        </w:numPr>
        <w:tabs>
          <w:tab w:val="left" w:pos="1083"/>
        </w:tabs>
        <w:spacing w:before="6" w:after="0" w:line="223" w:lineRule="auto"/>
        <w:ind w:left="134" w:right="197" w:firstLine="420"/>
        <w:jc w:val="both"/>
        <w:rPr>
          <w:sz w:val="21"/>
          <w:szCs w:val="21"/>
        </w:rPr>
      </w:pPr>
      <w:r>
        <w:rPr>
          <w:spacing w:val="-2"/>
          <w:sz w:val="21"/>
          <w:szCs w:val="21"/>
        </w:rPr>
        <w:t>诉讼前申请停止侵权行为和财产保全</w:t>
      </w:r>
      <w:r>
        <w:rPr>
          <w:rFonts w:ascii="黑体" w:eastAsia="黑体" w:hAnsi="黑体" w:cs="黑体"/>
          <w:spacing w:val="-2"/>
          <w:sz w:val="21"/>
          <w:szCs w:val="21"/>
        </w:rPr>
        <w:t>，</w:t>
      </w:r>
      <w:r>
        <w:rPr>
          <w:spacing w:val="-2"/>
          <w:sz w:val="21"/>
          <w:szCs w:val="21"/>
        </w:rPr>
        <w:t>这一措施是指著作权人或者与著作权有关的权利人有证据证明他人正在实施或者即将实施侵犯其权利的行为</w:t>
      </w:r>
      <w:r>
        <w:rPr>
          <w:rFonts w:ascii="黑体" w:eastAsia="黑体" w:hAnsi="黑体" w:cs="黑体"/>
          <w:spacing w:val="-2"/>
          <w:sz w:val="21"/>
          <w:szCs w:val="21"/>
        </w:rPr>
        <w:t>，</w:t>
      </w:r>
      <w:r>
        <w:rPr>
          <w:spacing w:val="-2"/>
          <w:sz w:val="21"/>
          <w:szCs w:val="21"/>
        </w:rPr>
        <w:t>如不及时制止将会使其合法权益受到难以弥补的损害的</w:t>
      </w:r>
      <w:r>
        <w:rPr>
          <w:rFonts w:ascii="黑体" w:eastAsia="黑体" w:hAnsi="黑体" w:cs="黑体"/>
          <w:spacing w:val="-2"/>
          <w:sz w:val="21"/>
          <w:szCs w:val="21"/>
        </w:rPr>
        <w:t>，</w:t>
      </w:r>
      <w:r>
        <w:rPr>
          <w:spacing w:val="-2"/>
          <w:sz w:val="21"/>
          <w:szCs w:val="21"/>
        </w:rPr>
        <w:t>可以在起诉前向人民法院申请采取责令停止有关行为和财产保全的措施。（豆丁华研ю电</w:t>
      </w:r>
      <w:r>
        <w:rPr>
          <w:rFonts w:ascii="Times New Roman" w:eastAsia="Times New Roman" w:hAnsi="Times New Roman" w:cs="Times New Roman"/>
          <w:spacing w:val="-2"/>
          <w:sz w:val="21"/>
          <w:szCs w:val="21"/>
          <w:rtl/>
        </w:rPr>
        <w:t>۞</w:t>
      </w:r>
      <w:r>
        <w:rPr>
          <w:spacing w:val="-2"/>
          <w:sz w:val="21"/>
          <w:szCs w:val="21"/>
        </w:rPr>
        <w:t>子书）</w:t>
      </w:r>
    </w:p>
    <w:p>
      <w:pPr>
        <w:pStyle w:val="ListParagraph"/>
        <w:numPr>
          <w:ilvl w:val="1"/>
          <w:numId w:val="3"/>
        </w:numPr>
        <w:tabs>
          <w:tab w:val="left" w:pos="1083"/>
        </w:tabs>
        <w:spacing w:before="1" w:after="0" w:line="223" w:lineRule="auto"/>
        <w:ind w:left="134" w:right="213" w:firstLine="420"/>
        <w:jc w:val="both"/>
        <w:rPr>
          <w:sz w:val="21"/>
        </w:rPr>
      </w:pPr>
      <w:r>
        <w:rPr>
          <w:spacing w:val="-2"/>
          <w:sz w:val="21"/>
        </w:rPr>
        <w:t>诉讼前申请证据保全的规定。依据该条规定</w:t>
      </w:r>
      <w:r>
        <w:rPr>
          <w:rFonts w:ascii="黑体" w:eastAsia="黑体"/>
          <w:spacing w:val="-2"/>
          <w:sz w:val="21"/>
        </w:rPr>
        <w:t>，</w:t>
      </w:r>
      <w:r>
        <w:rPr>
          <w:spacing w:val="-2"/>
          <w:sz w:val="21"/>
        </w:rPr>
        <w:t>为制止侵权行为</w:t>
      </w:r>
      <w:r>
        <w:rPr>
          <w:rFonts w:ascii="黑体" w:eastAsia="黑体"/>
          <w:spacing w:val="-2"/>
          <w:sz w:val="21"/>
        </w:rPr>
        <w:t>，</w:t>
      </w:r>
      <w:r>
        <w:rPr>
          <w:spacing w:val="-2"/>
          <w:sz w:val="21"/>
        </w:rPr>
        <w:t>在证据可能灭绝或者以后难以取得的情况下</w:t>
      </w:r>
      <w:r>
        <w:rPr>
          <w:rFonts w:ascii="黑体" w:eastAsia="黑体"/>
          <w:spacing w:val="-2"/>
          <w:sz w:val="21"/>
        </w:rPr>
        <w:t>，</w:t>
      </w:r>
      <w:r>
        <w:rPr>
          <w:spacing w:val="-2"/>
          <w:sz w:val="21"/>
        </w:rPr>
        <w:t>著作权人或者与著作权有关的权利人可以在起诉前向人民法院申请保全证据。人民法院接</w:t>
      </w:r>
      <w:r>
        <w:rPr>
          <w:sz w:val="21"/>
        </w:rPr>
        <w:t>受申请后</w:t>
      </w:r>
      <w:r>
        <w:rPr>
          <w:rFonts w:ascii="黑体" w:eastAsia="黑体"/>
          <w:sz w:val="21"/>
        </w:rPr>
        <w:t>，</w:t>
      </w:r>
      <w:r>
        <w:rPr>
          <w:sz w:val="21"/>
        </w:rPr>
        <w:t xml:space="preserve">必须在 </w:t>
      </w:r>
      <w:r>
        <w:rPr>
          <w:rFonts w:ascii="Times New Roman" w:eastAsia="Times New Roman"/>
          <w:sz w:val="21"/>
        </w:rPr>
        <w:t xml:space="preserve">48 </w:t>
      </w:r>
      <w:r>
        <w:rPr>
          <w:sz w:val="21"/>
        </w:rPr>
        <w:t>小时内作出裁定</w:t>
      </w:r>
      <w:r>
        <w:rPr>
          <w:rFonts w:ascii="黑体" w:eastAsia="黑体"/>
          <w:sz w:val="21"/>
        </w:rPr>
        <w:t>；</w:t>
      </w:r>
      <w:r>
        <w:rPr>
          <w:sz w:val="21"/>
        </w:rPr>
        <w:t>裁定采取保全措施的</w:t>
      </w:r>
      <w:r>
        <w:rPr>
          <w:rFonts w:ascii="黑体" w:eastAsia="黑体"/>
          <w:sz w:val="21"/>
        </w:rPr>
        <w:t>，</w:t>
      </w:r>
      <w:r>
        <w:rPr>
          <w:sz w:val="21"/>
        </w:rPr>
        <w:t>应当立即开始执行</w:t>
      </w:r>
      <w:r>
        <w:rPr>
          <w:rFonts w:ascii="黑体" w:eastAsia="黑体"/>
          <w:sz w:val="21"/>
        </w:rPr>
        <w:t>；</w:t>
      </w:r>
      <w:r>
        <w:rPr>
          <w:sz w:val="21"/>
        </w:rPr>
        <w:t>人民法院可以责令申请人提供担保</w:t>
      </w:r>
      <w:r>
        <w:rPr>
          <w:rFonts w:ascii="黑体" w:eastAsia="黑体"/>
          <w:sz w:val="21"/>
        </w:rPr>
        <w:t>，</w:t>
      </w:r>
      <w:r>
        <w:rPr>
          <w:sz w:val="21"/>
        </w:rPr>
        <w:t>申请人如果不提供担保的</w:t>
      </w:r>
      <w:r>
        <w:rPr>
          <w:rFonts w:ascii="黑体" w:eastAsia="黑体"/>
          <w:sz w:val="21"/>
        </w:rPr>
        <w:t>，</w:t>
      </w:r>
      <w:r>
        <w:rPr>
          <w:sz w:val="21"/>
        </w:rPr>
        <w:t>法院将驳回申</w:t>
      </w:r>
      <w:r>
        <w:rPr>
          <w:rFonts w:ascii="Times New Roman" w:eastAsia="Times New Roman"/>
          <w:sz w:val="21"/>
        </w:rPr>
        <w:t>'</w:t>
      </w:r>
      <w:r>
        <w:rPr>
          <w:sz w:val="21"/>
        </w:rPr>
        <w:t>请</w:t>
      </w:r>
      <w:r>
        <w:rPr>
          <w:rFonts w:ascii="黑体" w:eastAsia="黑体"/>
          <w:sz w:val="21"/>
        </w:rPr>
        <w:t>；</w:t>
      </w:r>
      <w:r>
        <w:rPr>
          <w:spacing w:val="-1"/>
          <w:sz w:val="21"/>
        </w:rPr>
        <w:t xml:space="preserve">申请人在人民法院采取保全措施后 </w:t>
      </w:r>
      <w:r>
        <w:rPr>
          <w:rFonts w:ascii="Times New Roman" w:eastAsia="Times New Roman"/>
          <w:sz w:val="21"/>
        </w:rPr>
        <w:t xml:space="preserve">15 </w:t>
      </w:r>
      <w:r>
        <w:rPr>
          <w:sz w:val="21"/>
        </w:rPr>
        <w:t>日内</w:t>
      </w:r>
      <w:r>
        <w:rPr>
          <w:spacing w:val="-2"/>
          <w:sz w:val="21"/>
        </w:rPr>
        <w:t>不起诉的</w:t>
      </w:r>
      <w:r>
        <w:rPr>
          <w:rFonts w:ascii="黑体" w:eastAsia="黑体"/>
          <w:spacing w:val="-2"/>
          <w:sz w:val="21"/>
        </w:rPr>
        <w:t>，</w:t>
      </w:r>
      <w:r>
        <w:rPr>
          <w:spacing w:val="-2"/>
          <w:sz w:val="21"/>
        </w:rPr>
        <w:t>人民法院应当解除保全措施。</w:t>
      </w:r>
    </w:p>
    <w:p>
      <w:pPr>
        <w:spacing w:before="223" w:line="374" w:lineRule="exact"/>
        <w:ind w:left="134" w:right="0" w:firstLine="0"/>
        <w:jc w:val="left"/>
        <w:rPr>
          <w:b/>
          <w:sz w:val="21"/>
        </w:rPr>
      </w:pPr>
      <w:r>
        <w:rPr>
          <w:b/>
          <w:color w:val="0000FF"/>
          <w:spacing w:val="-2"/>
          <w:sz w:val="21"/>
        </w:rPr>
        <w:t>三、论述题</w:t>
      </w:r>
    </w:p>
    <w:p>
      <w:pPr>
        <w:pStyle w:val="ListParagraph"/>
        <w:numPr>
          <w:ilvl w:val="0"/>
          <w:numId w:val="3"/>
        </w:numPr>
        <w:tabs>
          <w:tab w:val="left" w:pos="554"/>
        </w:tabs>
        <w:spacing w:before="0" w:after="0" w:line="360" w:lineRule="exact"/>
        <w:ind w:left="554" w:right="0" w:hanging="420"/>
        <w:jc w:val="left"/>
        <w:rPr>
          <w:b/>
          <w:sz w:val="21"/>
        </w:rPr>
      </w:pPr>
      <w:r>
        <w:rPr>
          <w:b/>
          <w:spacing w:val="-1"/>
          <w:sz w:val="21"/>
        </w:rPr>
        <w:t>注册商标转让有哪些法律限制？</w:t>
      </w:r>
    </w:p>
    <w:p>
      <w:pPr>
        <w:pStyle w:val="BodyText"/>
        <w:spacing w:before="6" w:line="223" w:lineRule="auto"/>
        <w:ind w:right="213"/>
      </w:pPr>
      <w:r>
        <w:rPr>
          <w:color w:val="FF0000"/>
          <w:spacing w:val="-2"/>
        </w:rPr>
        <w:t>【答案】</w:t>
      </w:r>
      <w:r>
        <w:rPr>
          <w:spacing w:val="-2"/>
        </w:rPr>
        <w:t>注册商标的转让又称商标权的转让</w:t>
      </w:r>
      <w:r>
        <w:rPr>
          <w:rFonts w:ascii="黑体" w:eastAsia="黑体"/>
          <w:spacing w:val="-2"/>
        </w:rPr>
        <w:t>，</w:t>
      </w:r>
      <w:r>
        <w:rPr>
          <w:spacing w:val="-2"/>
        </w:rPr>
        <w:t>是指注册商标所有人依法将其注册商标转让给他人所有的一种法律行为。注册商标的转让是商标权主体的变更</w:t>
      </w:r>
      <w:r>
        <w:rPr>
          <w:rFonts w:ascii="黑体" w:eastAsia="黑体"/>
          <w:spacing w:val="-2"/>
        </w:rPr>
        <w:t>，</w:t>
      </w:r>
      <w:r>
        <w:rPr>
          <w:spacing w:val="-2"/>
        </w:rPr>
        <w:t>在商标权转让后</w:t>
      </w:r>
      <w:r>
        <w:rPr>
          <w:rFonts w:ascii="黑体" w:eastAsia="黑体"/>
          <w:spacing w:val="-2"/>
        </w:rPr>
        <w:t>，</w:t>
      </w:r>
      <w:r>
        <w:rPr>
          <w:spacing w:val="-3"/>
        </w:rPr>
        <w:t>原商标注册人即丧失了对该商</w:t>
      </w:r>
    </w:p>
    <w:p>
      <w:pPr>
        <w:spacing w:after="0" w:line="223" w:lineRule="auto"/>
        <w:sectPr>
          <w:headerReference w:type="default" r:id="rId17"/>
          <w:footerReference w:type="default" r:id="rId18"/>
          <w:pgSz w:w="11910" w:h="16840"/>
          <w:pgMar w:top="1460" w:right="920" w:bottom="820" w:left="1000" w:header="567" w:footer="633" w:gutter="0"/>
          <w:pgNumType w:start="9"/>
          <w:cols w:num="1" w:space="720"/>
        </w:sectPr>
      </w:pPr>
    </w:p>
    <w:p>
      <w:pPr>
        <w:pStyle w:val="BodyText"/>
        <w:spacing w:before="11" w:line="225" w:lineRule="auto"/>
        <w:ind w:right="213" w:firstLine="0"/>
      </w:pPr>
      <w:r>
        <w:rPr>
          <w:spacing w:val="-2"/>
        </w:rPr>
        <w:t>标的所有权。注册商标的转让</w:t>
      </w:r>
      <w:r>
        <w:rPr>
          <w:rFonts w:ascii="黑体" w:eastAsia="黑体"/>
          <w:spacing w:val="-2"/>
        </w:rPr>
        <w:t>，</w:t>
      </w:r>
      <w:r>
        <w:rPr>
          <w:spacing w:val="-2"/>
        </w:rPr>
        <w:t>是一种双方的法律行为</w:t>
      </w:r>
      <w:r>
        <w:rPr>
          <w:rFonts w:ascii="黑体" w:eastAsia="黑体"/>
          <w:spacing w:val="-2"/>
        </w:rPr>
        <w:t>，</w:t>
      </w:r>
      <w:r>
        <w:rPr>
          <w:spacing w:val="-2"/>
        </w:rPr>
        <w:t>必须由转让人和受让人意思表示一致</w:t>
      </w:r>
      <w:r>
        <w:rPr>
          <w:rFonts w:ascii="黑体" w:eastAsia="黑体"/>
          <w:spacing w:val="-2"/>
        </w:rPr>
        <w:t>，</w:t>
      </w:r>
      <w:r>
        <w:rPr>
          <w:spacing w:val="-2"/>
        </w:rPr>
        <w:t>并依法办理转让注册商标的手续</w:t>
      </w:r>
      <w:r>
        <w:rPr>
          <w:rFonts w:ascii="黑体" w:eastAsia="黑体"/>
          <w:spacing w:val="-2"/>
        </w:rPr>
        <w:t>，</w:t>
      </w:r>
      <w:r>
        <w:rPr>
          <w:spacing w:val="-2"/>
        </w:rPr>
        <w:t>才能发生法律效力。（豆丁华研</w:t>
      </w:r>
      <w:r>
        <w:rPr>
          <w:rFonts w:ascii="Malgun Gothic" w:eastAsia="Malgun Gothic"/>
          <w:spacing w:val="-2"/>
        </w:rPr>
        <w:t>ㅠ</w:t>
      </w:r>
      <w:r>
        <w:rPr>
          <w:spacing w:val="-2"/>
        </w:rPr>
        <w:t>电子书）</w:t>
      </w:r>
    </w:p>
    <w:p>
      <w:pPr>
        <w:pStyle w:val="BodyText"/>
        <w:spacing w:line="223" w:lineRule="auto"/>
        <w:ind w:right="108"/>
      </w:pPr>
      <w:r>
        <w:rPr>
          <w:spacing w:val="1"/>
        </w:rPr>
        <w:t>从我国《商标法》的规定看</w:t>
      </w:r>
      <w:r>
        <w:rPr>
          <w:rFonts w:ascii="黑体" w:eastAsia="黑体" w:hAnsi="黑体"/>
          <w:spacing w:val="2"/>
        </w:rPr>
        <w:t>，</w:t>
      </w:r>
      <w:r>
        <w:rPr>
          <w:spacing w:val="1"/>
        </w:rPr>
        <w:t>我国注册商标的转让受到以下法律限制：</w:t>
      </w:r>
      <w:r>
        <w:rPr>
          <w:spacing w:val="2"/>
        </w:rPr>
        <w:t>（</w:t>
      </w:r>
      <w:r>
        <w:rPr>
          <w:rFonts w:ascii="Times New Roman" w:eastAsia="Times New Roman" w:hAnsi="Times New Roman"/>
        </w:rPr>
        <w:t>1</w:t>
      </w:r>
      <w:r>
        <w:rPr>
          <w:spacing w:val="1"/>
        </w:rPr>
        <w:t>）</w:t>
      </w:r>
      <w:r>
        <w:t>转让以公众不致发生误</w:t>
      </w:r>
      <w:r>
        <w:rPr>
          <w:spacing w:val="-8"/>
        </w:rPr>
        <w:t xml:space="preserve">认为条件。我国《商标法实施条例》第 </w:t>
      </w:r>
      <w:r>
        <w:rPr>
          <w:rFonts w:ascii="Times New Roman" w:eastAsia="Times New Roman" w:hAnsi="Times New Roman"/>
        </w:rPr>
        <w:t xml:space="preserve">25 </w:t>
      </w:r>
      <w:r>
        <w:rPr>
          <w:spacing w:val="-4"/>
        </w:rPr>
        <w:t xml:space="preserve">条第 </w:t>
      </w:r>
      <w:r>
        <w:rPr>
          <w:rFonts w:ascii="Times New Roman" w:eastAsia="Times New Roman" w:hAnsi="Times New Roman"/>
        </w:rPr>
        <w:t xml:space="preserve">3 </w:t>
      </w:r>
      <w:r>
        <w:t>款规定</w:t>
      </w:r>
      <w:r>
        <w:rPr>
          <w:w w:val="103"/>
        </w:rPr>
        <w:t>:</w:t>
      </w:r>
      <w:r>
        <w:rPr>
          <w:rFonts w:ascii="Times New Roman" w:eastAsia="Times New Roman" w:hAnsi="Times New Roman"/>
        </w:rPr>
        <w:t>“</w:t>
      </w:r>
      <w:r>
        <w:rPr>
          <w:spacing w:val="-2"/>
        </w:rPr>
        <w:t>对可能产生误认、混淆或者其他不良影响的转让注册商标申请</w:t>
      </w:r>
      <w:r>
        <w:rPr>
          <w:rFonts w:ascii="黑体" w:eastAsia="黑体" w:hAnsi="黑体"/>
          <w:spacing w:val="-29"/>
        </w:rPr>
        <w:t>，</w:t>
      </w:r>
      <w:r>
        <w:t>商标局不予核准</w:t>
      </w:r>
      <w:r>
        <w:rPr>
          <w:rFonts w:ascii="黑体" w:eastAsia="黑体" w:hAnsi="黑体"/>
          <w:spacing w:val="-29"/>
        </w:rPr>
        <w:t>，</w:t>
      </w:r>
      <w:r>
        <w:t>书面通知申请人并说明理由</w:t>
      </w:r>
      <w:r>
        <w:rPr>
          <w:rFonts w:ascii="Times New Roman" w:eastAsia="Times New Roman" w:hAnsi="Times New Roman"/>
        </w:rPr>
        <w:t>”</w:t>
      </w:r>
      <w:r>
        <w:rPr>
          <w:spacing w:val="-29"/>
        </w:rPr>
        <w:t>。</w:t>
      </w:r>
      <w:r>
        <w:t>（</w:t>
      </w:r>
      <w:r>
        <w:rPr>
          <w:rFonts w:ascii="Times New Roman" w:eastAsia="Times New Roman" w:hAnsi="Times New Roman"/>
        </w:rPr>
        <w:t>2</w:t>
      </w:r>
      <w:r>
        <w:rPr>
          <w:spacing w:val="-29"/>
        </w:rPr>
        <w:t>）</w:t>
      </w:r>
      <w:r>
        <w:t>注册商标的转让属于要式法律行为</w:t>
      </w:r>
      <w:r>
        <w:rPr>
          <w:rFonts w:ascii="黑体" w:eastAsia="黑体" w:hAnsi="黑体"/>
          <w:spacing w:val="-18"/>
        </w:rPr>
        <w:t>，</w:t>
      </w:r>
      <w:r>
        <w:t>商标所有人不得自行转让注册商标</w:t>
      </w:r>
      <w:r>
        <w:rPr>
          <w:rFonts w:ascii="黑体" w:eastAsia="黑体" w:hAnsi="黑体"/>
          <w:spacing w:val="-11"/>
        </w:rPr>
        <w:t>，</w:t>
      </w:r>
      <w:r>
        <w:t>必须由转让人和受让人共同向商标局提出申请</w:t>
      </w:r>
      <w:r>
        <w:rPr>
          <w:rFonts w:ascii="黑体" w:eastAsia="黑体" w:hAnsi="黑体"/>
          <w:spacing w:val="-11"/>
        </w:rPr>
        <w:t>，</w:t>
      </w:r>
      <w:r>
        <w:t>商标局收到转让注册商标申请后进行审查</w:t>
      </w:r>
      <w:r>
        <w:rPr>
          <w:rFonts w:ascii="黑体" w:eastAsia="黑体" w:hAnsi="黑体"/>
          <w:spacing w:val="-6"/>
        </w:rPr>
        <w:t>，</w:t>
      </w:r>
      <w:r>
        <w:t>经审查后认为符合要求</w:t>
      </w:r>
      <w:r>
        <w:rPr>
          <w:rFonts w:ascii="黑体" w:eastAsia="黑体" w:hAnsi="黑体"/>
          <w:spacing w:val="-6"/>
        </w:rPr>
        <w:t>，</w:t>
      </w:r>
      <w:r>
        <w:t>即核准并予以公告</w:t>
      </w:r>
      <w:r>
        <w:rPr>
          <w:rFonts w:ascii="黑体" w:eastAsia="黑体" w:hAnsi="黑体"/>
          <w:spacing w:val="-6"/>
        </w:rPr>
        <w:t>，</w:t>
      </w:r>
      <w:r>
        <w:rPr>
          <w:spacing w:val="-1"/>
        </w:rPr>
        <w:t>对可能产生误认、混淆或者其他不良影响的转让注册商标的申请</w:t>
      </w:r>
      <w:r>
        <w:rPr>
          <w:rFonts w:ascii="黑体" w:eastAsia="黑体" w:hAnsi="黑体"/>
          <w:spacing w:val="-7"/>
        </w:rPr>
        <w:t>，</w:t>
      </w:r>
      <w:r>
        <w:t>商标局不予核准</w:t>
      </w:r>
      <w:r>
        <w:rPr>
          <w:rFonts w:ascii="黑体" w:eastAsia="黑体" w:hAnsi="黑体"/>
          <w:spacing w:val="-8"/>
        </w:rPr>
        <w:t>，</w:t>
      </w:r>
      <w:r>
        <w:rPr>
          <w:spacing w:val="-1"/>
        </w:rPr>
        <w:t>书面通知申请人并说明理由。受让人从公告之日起享有商</w:t>
      </w:r>
      <w:r>
        <w:rPr>
          <w:spacing w:val="1"/>
        </w:rPr>
        <w:t>标专用权。（</w:t>
      </w:r>
      <w:r>
        <w:rPr>
          <w:rFonts w:ascii="Times New Roman" w:eastAsia="Times New Roman" w:hAnsi="Times New Roman"/>
        </w:rPr>
        <w:t>3</w:t>
      </w:r>
      <w:r>
        <w:rPr>
          <w:spacing w:val="1"/>
        </w:rPr>
        <w:t>）属于类似商品的商标</w:t>
      </w:r>
      <w:r>
        <w:rPr>
          <w:rFonts w:ascii="黑体" w:eastAsia="黑体" w:hAnsi="黑体"/>
          <w:spacing w:val="1"/>
        </w:rPr>
        <w:t>，</w:t>
      </w:r>
      <w:r>
        <w:t>不得单独转让。即在同一种或者类似商品上注册的相同或者近似</w:t>
      </w:r>
      <w:r>
        <w:rPr>
          <w:spacing w:val="1"/>
        </w:rPr>
        <w:t>的商标必须同时全部转让</w:t>
      </w:r>
      <w:r>
        <w:rPr>
          <w:rFonts w:ascii="黑体" w:eastAsia="黑体" w:hAnsi="黑体"/>
          <w:spacing w:val="1"/>
        </w:rPr>
        <w:t>，</w:t>
      </w:r>
      <w:r>
        <w:rPr>
          <w:spacing w:val="-1"/>
        </w:rPr>
        <w:t xml:space="preserve">不得部分转让。我国《商标法实施条例》第 </w:t>
      </w:r>
      <w:r>
        <w:rPr>
          <w:rFonts w:ascii="Times New Roman" w:eastAsia="Times New Roman" w:hAnsi="Times New Roman"/>
        </w:rPr>
        <w:t xml:space="preserve">25 </w:t>
      </w:r>
      <w:r>
        <w:rPr>
          <w:spacing w:val="-2"/>
        </w:rPr>
        <w:t xml:space="preserve">条第 </w:t>
      </w:r>
      <w:r>
        <w:rPr>
          <w:rFonts w:ascii="Times New Roman" w:eastAsia="Times New Roman" w:hAnsi="Times New Roman"/>
        </w:rPr>
        <w:t xml:space="preserve">2 </w:t>
      </w:r>
      <w:r>
        <w:t>款明确规定：转让注册商标的</w:t>
      </w:r>
      <w:r>
        <w:rPr>
          <w:rFonts w:ascii="黑体" w:eastAsia="黑体" w:hAnsi="黑体"/>
          <w:spacing w:val="-42"/>
        </w:rPr>
        <w:t>，</w:t>
      </w:r>
      <w:r>
        <w:t>商标注册人对其在同一种或者类似商品上注册的相同或者近似的商标</w:t>
      </w:r>
      <w:r>
        <w:rPr>
          <w:rFonts w:ascii="黑体" w:eastAsia="黑体" w:hAnsi="黑体"/>
          <w:spacing w:val="-42"/>
        </w:rPr>
        <w:t>，</w:t>
      </w:r>
      <w:r>
        <w:rPr>
          <w:spacing w:val="-6"/>
        </w:rPr>
        <w:t>必须一并转让。这是因为</w:t>
      </w:r>
      <w:r>
        <w:rPr>
          <w:rFonts w:ascii="黑体" w:eastAsia="黑体" w:hAnsi="黑体"/>
          <w:spacing w:val="-19"/>
        </w:rPr>
        <w:t>，</w:t>
      </w:r>
      <w:r>
        <w:t>如果允许类似商品商标分割移转</w:t>
      </w:r>
      <w:r>
        <w:rPr>
          <w:rFonts w:ascii="黑体" w:eastAsia="黑体" w:hAnsi="黑体"/>
          <w:spacing w:val="-21"/>
        </w:rPr>
        <w:t>，</w:t>
      </w:r>
      <w:r>
        <w:t>就会造成一个商标在类似商品上有两个或两个以上商标注册人同时使用的情况</w:t>
      </w:r>
      <w:r>
        <w:rPr>
          <w:rFonts w:ascii="黑体" w:eastAsia="黑体" w:hAnsi="黑体"/>
          <w:spacing w:val="-5"/>
        </w:rPr>
        <w:t>，</w:t>
      </w:r>
      <w:r>
        <w:rPr>
          <w:spacing w:val="-1"/>
        </w:rPr>
        <w:t>这是商标法所禁止的。</w:t>
      </w:r>
      <w:r>
        <w:t>（</w:t>
      </w:r>
      <w:r>
        <w:rPr>
          <w:rFonts w:ascii="Times New Roman" w:eastAsia="Times New Roman" w:hAnsi="Times New Roman"/>
        </w:rPr>
        <w:t>4</w:t>
      </w:r>
      <w:r>
        <w:rPr>
          <w:spacing w:val="-5"/>
        </w:rPr>
        <w:t>）</w:t>
      </w:r>
      <w:r>
        <w:t>属于共同所有的注册商标</w:t>
      </w:r>
      <w:r>
        <w:rPr>
          <w:rFonts w:ascii="黑体" w:eastAsia="黑体" w:hAnsi="黑体"/>
          <w:spacing w:val="-5"/>
        </w:rPr>
        <w:t>，</w:t>
      </w:r>
      <w:r>
        <w:t>未经其他共有人的同意</w:t>
      </w:r>
      <w:r>
        <w:rPr>
          <w:rFonts w:ascii="黑体" w:eastAsia="黑体" w:hAnsi="黑体"/>
          <w:spacing w:val="-5"/>
        </w:rPr>
        <w:t>，</w:t>
      </w:r>
      <w:r>
        <w:rPr>
          <w:spacing w:val="-3"/>
        </w:rPr>
        <w:t>不得自行转让。</w:t>
      </w:r>
      <w:r>
        <w:t>共有人转让属于自己那一部分份额时</w:t>
      </w:r>
      <w:r>
        <w:rPr>
          <w:rFonts w:ascii="黑体" w:eastAsia="黑体" w:hAnsi="黑体"/>
        </w:rPr>
        <w:t>，</w:t>
      </w:r>
      <w:r>
        <w:t>必须取得其他共有人的同意</w:t>
      </w:r>
      <w:r>
        <w:rPr>
          <w:rFonts w:ascii="黑体" w:eastAsia="黑体" w:hAnsi="黑体"/>
        </w:rPr>
        <w:t>，</w:t>
      </w:r>
      <w:r>
        <w:t>而且其他共有人有优先受让的权利。</w:t>
      </w:r>
    </w:p>
    <w:p>
      <w:pPr>
        <w:pStyle w:val="ListParagraph"/>
        <w:numPr>
          <w:ilvl w:val="0"/>
          <w:numId w:val="2"/>
        </w:numPr>
        <w:tabs>
          <w:tab w:val="left" w:pos="1083"/>
        </w:tabs>
        <w:spacing w:before="2" w:after="0" w:line="223" w:lineRule="auto"/>
        <w:ind w:left="134" w:right="108" w:firstLine="420"/>
        <w:jc w:val="left"/>
        <w:rPr>
          <w:sz w:val="21"/>
        </w:rPr>
      </w:pPr>
      <w:r>
        <w:rPr>
          <w:spacing w:val="1"/>
          <w:sz w:val="21"/>
        </w:rPr>
        <w:t>转让已经许可他人使用的注册商标</w:t>
      </w:r>
      <w:r>
        <w:rPr>
          <w:rFonts w:ascii="黑体" w:eastAsia="黑体"/>
          <w:spacing w:val="1"/>
          <w:sz w:val="21"/>
        </w:rPr>
        <w:t>，</w:t>
      </w:r>
      <w:r>
        <w:rPr>
          <w:spacing w:val="1"/>
          <w:sz w:val="21"/>
        </w:rPr>
        <w:t>应征得被许可人的同意。注册人在征得被许可人同意后</w:t>
      </w:r>
      <w:r>
        <w:rPr>
          <w:rFonts w:ascii="黑体" w:eastAsia="黑体"/>
          <w:sz w:val="21"/>
        </w:rPr>
        <w:t>，</w:t>
      </w:r>
      <w:r>
        <w:rPr>
          <w:spacing w:val="-1"/>
          <w:sz w:val="21"/>
        </w:rPr>
        <w:t>其原使用许可合同宣布无效。如果受让人和原被许可人同意继续由被许可人使用该注册商标的</w:t>
      </w:r>
      <w:r>
        <w:rPr>
          <w:rFonts w:ascii="黑体" w:eastAsia="黑体"/>
          <w:spacing w:val="-11"/>
          <w:sz w:val="21"/>
        </w:rPr>
        <w:t>，</w:t>
      </w:r>
      <w:r>
        <w:rPr>
          <w:sz w:val="21"/>
        </w:rPr>
        <w:t>可在申请</w:t>
      </w:r>
      <w:r>
        <w:rPr>
          <w:spacing w:val="1"/>
          <w:sz w:val="21"/>
        </w:rPr>
        <w:t>转让注册核准后另订商标使用许可合同。（</w:t>
      </w:r>
      <w:r>
        <w:rPr>
          <w:rFonts w:ascii="Times New Roman" w:eastAsia="Times New Roman"/>
          <w:sz w:val="21"/>
        </w:rPr>
        <w:t>6</w:t>
      </w:r>
      <w:r>
        <w:rPr>
          <w:spacing w:val="1"/>
          <w:sz w:val="21"/>
        </w:rPr>
        <w:t>）受让人必须保证商品的质量。使用转让商标</w:t>
      </w:r>
      <w:r>
        <w:rPr>
          <w:rFonts w:ascii="黑体" w:eastAsia="黑体"/>
          <w:spacing w:val="1"/>
          <w:sz w:val="21"/>
        </w:rPr>
        <w:t>，</w:t>
      </w:r>
      <w:r>
        <w:rPr>
          <w:sz w:val="21"/>
        </w:rPr>
        <w:t>其商品粗制滥造</w:t>
      </w:r>
      <w:r>
        <w:rPr>
          <w:rFonts w:ascii="黑体" w:eastAsia="黑体"/>
          <w:spacing w:val="-4"/>
          <w:sz w:val="21"/>
        </w:rPr>
        <w:t>，</w:t>
      </w:r>
      <w:r>
        <w:rPr>
          <w:sz w:val="21"/>
        </w:rPr>
        <w:t>以次充好</w:t>
      </w:r>
      <w:r>
        <w:rPr>
          <w:rFonts w:ascii="黑体" w:eastAsia="黑体"/>
          <w:spacing w:val="-4"/>
          <w:sz w:val="21"/>
        </w:rPr>
        <w:t>，</w:t>
      </w:r>
      <w:r>
        <w:rPr>
          <w:sz w:val="21"/>
        </w:rPr>
        <w:t>欺骗消费者的</w:t>
      </w:r>
      <w:r>
        <w:rPr>
          <w:rFonts w:ascii="黑体" w:eastAsia="黑体"/>
          <w:spacing w:val="-4"/>
          <w:sz w:val="21"/>
        </w:rPr>
        <w:t>，</w:t>
      </w:r>
      <w:r>
        <w:rPr>
          <w:spacing w:val="-1"/>
          <w:sz w:val="21"/>
        </w:rPr>
        <w:t>其转让注册就会导致被撤销。</w:t>
      </w:r>
      <w:r>
        <w:rPr>
          <w:sz w:val="21"/>
        </w:rPr>
        <w:t>（</w:t>
      </w:r>
      <w:r>
        <w:rPr>
          <w:rFonts w:ascii="Times New Roman" w:eastAsia="Times New Roman"/>
          <w:sz w:val="21"/>
        </w:rPr>
        <w:t>7</w:t>
      </w:r>
      <w:r>
        <w:rPr>
          <w:spacing w:val="-4"/>
          <w:sz w:val="21"/>
        </w:rPr>
        <w:t>）</w:t>
      </w:r>
      <w:r>
        <w:rPr>
          <w:spacing w:val="-1"/>
          <w:sz w:val="21"/>
        </w:rPr>
        <w:t>转让人用药品、烟草制品注册商标</w:t>
      </w:r>
      <w:r>
        <w:rPr>
          <w:rFonts w:ascii="黑体" w:eastAsia="黑体"/>
          <w:spacing w:val="-16"/>
          <w:sz w:val="21"/>
        </w:rPr>
        <w:t>，</w:t>
      </w:r>
      <w:r>
        <w:rPr>
          <w:sz w:val="21"/>
        </w:rPr>
        <w:t>受让人还必须提供主管机关出具的许可生产的证明。</w:t>
      </w:r>
    </w:p>
    <w:p>
      <w:pPr>
        <w:spacing w:before="229" w:line="374" w:lineRule="exact"/>
        <w:ind w:left="134" w:right="0" w:firstLine="0"/>
        <w:jc w:val="left"/>
        <w:rPr>
          <w:b/>
          <w:sz w:val="21"/>
        </w:rPr>
      </w:pPr>
      <w:r>
        <w:rPr>
          <w:b/>
          <w:color w:val="0000FF"/>
          <w:spacing w:val="-2"/>
          <w:sz w:val="21"/>
        </w:rPr>
        <w:t>四、案例分析题</w:t>
      </w:r>
    </w:p>
    <w:p>
      <w:pPr>
        <w:pStyle w:val="ListParagraph"/>
        <w:numPr>
          <w:ilvl w:val="0"/>
          <w:numId w:val="3"/>
        </w:numPr>
        <w:tabs>
          <w:tab w:val="left" w:pos="555"/>
        </w:tabs>
        <w:spacing w:before="0" w:after="0" w:line="360" w:lineRule="exact"/>
        <w:ind w:left="555" w:right="0" w:hanging="421"/>
        <w:jc w:val="left"/>
        <w:rPr>
          <w:b/>
          <w:sz w:val="21"/>
        </w:rPr>
      </w:pPr>
      <w:r>
        <w:rPr>
          <w:b/>
          <w:spacing w:val="-2"/>
          <w:sz w:val="21"/>
        </w:rPr>
        <w:t>案例分析题</w:t>
      </w:r>
    </w:p>
    <w:p>
      <w:pPr>
        <w:pStyle w:val="BodyText"/>
        <w:spacing w:before="6" w:line="223" w:lineRule="auto"/>
        <w:ind w:right="213"/>
        <w:jc w:val="both"/>
      </w:pPr>
      <w:r>
        <w:rPr>
          <w:spacing w:val="-2"/>
        </w:rPr>
        <w:t xml:space="preserve">广西桂林包装机械厂在商品分类第 </w:t>
      </w:r>
      <w:r>
        <w:rPr>
          <w:rFonts w:ascii="Times New Roman" w:eastAsia="Times New Roman" w:hAnsi="Times New Roman"/>
          <w:spacing w:val="-2"/>
        </w:rPr>
        <w:t xml:space="preserve">6 </w:t>
      </w:r>
      <w:r>
        <w:rPr>
          <w:spacing w:val="-2"/>
        </w:rPr>
        <w:t>类包装机上申请注册</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商标</w:t>
      </w:r>
      <w:r>
        <w:rPr>
          <w:rFonts w:ascii="黑体" w:eastAsia="黑体" w:hAnsi="黑体"/>
          <w:spacing w:val="-2"/>
        </w:rPr>
        <w:t>，</w:t>
      </w:r>
      <w:r>
        <w:rPr>
          <w:spacing w:val="-2"/>
        </w:rPr>
        <w:t>商标局以</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二字为国家名称为由驳回其申请。桂林包装机械厂不服</w:t>
      </w:r>
      <w:r>
        <w:rPr>
          <w:rFonts w:ascii="黑体" w:eastAsia="黑体" w:hAnsi="黑体"/>
          <w:spacing w:val="-2"/>
        </w:rPr>
        <w:t>，</w:t>
      </w:r>
      <w:r>
        <w:rPr>
          <w:spacing w:val="-2"/>
        </w:rPr>
        <w:t>申请复审。复审理由主要有：第一</w:t>
      </w:r>
      <w:r>
        <w:rPr>
          <w:rFonts w:ascii="黑体" w:eastAsia="黑体" w:hAnsi="黑体"/>
          <w:spacing w:val="-2"/>
        </w:rPr>
        <w:t>，</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二字不应认为是国名</w:t>
      </w:r>
      <w:r>
        <w:rPr>
          <w:rFonts w:ascii="黑体" w:eastAsia="黑体" w:hAnsi="黑体"/>
          <w:spacing w:val="-2"/>
        </w:rPr>
        <w:t>，</w:t>
      </w:r>
      <w:r>
        <w:rPr>
          <w:spacing w:val="-2"/>
        </w:rPr>
        <w:t>国内有很多产品也在使用</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商标</w:t>
      </w:r>
      <w:r>
        <w:rPr>
          <w:rFonts w:ascii="黑体" w:eastAsia="黑体" w:hAnsi="黑体"/>
          <w:spacing w:val="-2"/>
        </w:rPr>
        <w:t>；</w:t>
      </w:r>
      <w:r>
        <w:rPr>
          <w:spacing w:val="-2"/>
        </w:rPr>
        <w:t>第二</w:t>
      </w:r>
      <w:r>
        <w:rPr>
          <w:rFonts w:ascii="黑体" w:eastAsia="黑体" w:hAnsi="黑体"/>
          <w:spacing w:val="-2"/>
        </w:rPr>
        <w:t>，</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二字不论是汉语拼音或外文缩写都不是国名的含义</w:t>
      </w:r>
      <w:r>
        <w:rPr>
          <w:rFonts w:ascii="黑体" w:eastAsia="黑体" w:hAnsi="黑体"/>
          <w:spacing w:val="-2"/>
        </w:rPr>
        <w:t>；</w:t>
      </w:r>
      <w:r>
        <w:rPr>
          <w:spacing w:val="-2"/>
        </w:rPr>
        <w:t>第三</w:t>
      </w:r>
      <w:r>
        <w:rPr>
          <w:rFonts w:ascii="黑体" w:eastAsia="黑体" w:hAnsi="黑体"/>
          <w:spacing w:val="-2"/>
        </w:rPr>
        <w:t>，</w:t>
      </w:r>
      <w:r>
        <w:rPr>
          <w:spacing w:val="-2"/>
        </w:rPr>
        <w:t>我国包装机械从无到有</w:t>
      </w:r>
      <w:r>
        <w:rPr>
          <w:rFonts w:ascii="黑体" w:eastAsia="黑体" w:hAnsi="黑体"/>
          <w:spacing w:val="-2"/>
        </w:rPr>
        <w:t>，</w:t>
      </w:r>
      <w:r>
        <w:rPr>
          <w:spacing w:val="-2"/>
        </w:rPr>
        <w:t>从进口到出口</w:t>
      </w:r>
      <w:r>
        <w:rPr>
          <w:rFonts w:ascii="黑体" w:eastAsia="黑体" w:hAnsi="黑体"/>
          <w:spacing w:val="-2"/>
        </w:rPr>
        <w:t>，</w:t>
      </w:r>
      <w:r>
        <w:rPr>
          <w:spacing w:val="-2"/>
        </w:rPr>
        <w:t>使用</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二字更能体现国产感。</w:t>
      </w:r>
    </w:p>
    <w:p>
      <w:pPr>
        <w:pStyle w:val="BodyText"/>
        <w:spacing w:line="355" w:lineRule="exact"/>
        <w:ind w:left="554" w:firstLine="0"/>
      </w:pPr>
      <w:r>
        <w:t>问题：广西桂林包装机械厂的</w:t>
      </w:r>
      <w:r>
        <w:rPr>
          <w:rFonts w:ascii="宋体" w:eastAsia="宋体" w:hAnsi="宋体" w:hint="eastAsia"/>
          <w:i/>
        </w:rPr>
        <w:t>“</w:t>
      </w:r>
      <w:r>
        <w:t>中华</w:t>
      </w:r>
      <w:r>
        <w:rPr>
          <w:rFonts w:ascii="宋体" w:eastAsia="宋体" w:hAnsi="宋体" w:hint="eastAsia"/>
          <w:i/>
        </w:rPr>
        <w:t>”</w:t>
      </w:r>
      <w:r>
        <w:rPr>
          <w:spacing w:val="-2"/>
        </w:rPr>
        <w:t>商标能否获得注册？</w:t>
      </w:r>
    </w:p>
    <w:p>
      <w:pPr>
        <w:pStyle w:val="BodyText"/>
        <w:spacing w:before="6" w:line="223" w:lineRule="auto"/>
        <w:ind w:right="213"/>
        <w:jc w:val="both"/>
      </w:pPr>
      <w:r>
        <w:rPr>
          <w:color w:val="FF0000"/>
        </w:rPr>
        <w:t>【答案】</w:t>
      </w:r>
      <w:r>
        <w:t xml:space="preserve">根据我国《商标法》第 </w:t>
      </w:r>
      <w:r>
        <w:rPr>
          <w:rFonts w:ascii="Times New Roman" w:eastAsia="Times New Roman" w:hAnsi="Times New Roman"/>
        </w:rPr>
        <w:t xml:space="preserve">10 </w:t>
      </w:r>
      <w:r>
        <w:t>条的规定</w:t>
      </w:r>
      <w:r>
        <w:rPr>
          <w:rFonts w:ascii="黑体" w:eastAsia="黑体" w:hAnsi="黑体"/>
        </w:rPr>
        <w:t>，</w:t>
      </w:r>
      <w:r>
        <w:t>同中华人民共和国的国名名称相同或近似的标志不得</w:t>
      </w:r>
      <w:r>
        <w:rPr>
          <w:spacing w:val="-2"/>
        </w:rPr>
        <w:t>作为商标注册、使用。根据我国出版的词典对</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一词的解释</w:t>
      </w:r>
      <w:r>
        <w:rPr>
          <w:rFonts w:ascii="黑体" w:eastAsia="黑体" w:hAnsi="黑体"/>
          <w:spacing w:val="-2"/>
        </w:rPr>
        <w:t>，</w:t>
      </w:r>
      <w:r>
        <w:rPr>
          <w:spacing w:val="-2"/>
        </w:rPr>
        <w:t>均引申为</w:t>
      </w:r>
      <w:r>
        <w:rPr>
          <w:rFonts w:ascii="宋体" w:eastAsia="宋体" w:hAnsi="宋体" w:hint="eastAsia"/>
          <w:i/>
          <w:spacing w:val="-2"/>
        </w:rPr>
        <w:t>“</w:t>
      </w:r>
      <w:r>
        <w:rPr>
          <w:spacing w:val="-2"/>
        </w:rPr>
        <w:t>中国</w:t>
      </w:r>
      <w:r>
        <w:rPr>
          <w:rFonts w:ascii="宋体" w:eastAsia="宋体" w:hAnsi="宋体" w:hint="eastAsia"/>
          <w:i/>
          <w:spacing w:val="-2"/>
        </w:rPr>
        <w:t>”</w:t>
      </w:r>
      <w:r>
        <w:rPr>
          <w:spacing w:val="-2"/>
        </w:rPr>
        <w:t>。因此</w:t>
      </w:r>
      <w:r>
        <w:rPr>
          <w:rFonts w:ascii="黑体" w:eastAsia="黑体" w:hAnsi="黑体"/>
          <w:spacing w:val="-2"/>
        </w:rPr>
        <w:t>，</w:t>
      </w:r>
      <w:r>
        <w:rPr>
          <w:spacing w:val="-2"/>
        </w:rPr>
        <w:t>广西桂林包装机械厂申请注册</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商标</w:t>
      </w:r>
      <w:r>
        <w:rPr>
          <w:rFonts w:ascii="黑体" w:eastAsia="黑体" w:hAnsi="黑体"/>
          <w:spacing w:val="-2"/>
        </w:rPr>
        <w:t>，</w:t>
      </w:r>
      <w:r>
        <w:rPr>
          <w:spacing w:val="-2"/>
        </w:rPr>
        <w:t>违反了《商标法》关于国家名称不得作为商标注册使用的规定</w:t>
      </w:r>
      <w:r>
        <w:rPr>
          <w:rFonts w:ascii="黑体" w:eastAsia="黑体" w:hAnsi="黑体"/>
          <w:spacing w:val="-2"/>
        </w:rPr>
        <w:t>，</w:t>
      </w:r>
      <w:r>
        <w:rPr>
          <w:spacing w:val="-2"/>
        </w:rPr>
        <w:t>不能予以注册。至于有些产品使用</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商标的现象</w:t>
      </w:r>
      <w:r>
        <w:rPr>
          <w:rFonts w:ascii="黑体" w:eastAsia="黑体" w:hAnsi="黑体"/>
          <w:spacing w:val="-2"/>
        </w:rPr>
        <w:t>，</w:t>
      </w:r>
      <w:r>
        <w:rPr>
          <w:spacing w:val="-2"/>
        </w:rPr>
        <w:t>如</w:t>
      </w:r>
      <w:r>
        <w:rPr>
          <w:rFonts w:ascii="宋体" w:eastAsia="宋体" w:hAnsi="宋体" w:hint="eastAsia"/>
          <w:i/>
          <w:spacing w:val="-2"/>
        </w:rPr>
        <w:t>“</w:t>
      </w:r>
      <w:r>
        <w:rPr>
          <w:spacing w:val="-2"/>
        </w:rPr>
        <w:t>中华</w:t>
      </w:r>
      <w:r>
        <w:rPr>
          <w:rFonts w:ascii="宋体" w:eastAsia="宋体" w:hAnsi="宋体" w:hint="eastAsia"/>
          <w:i/>
          <w:spacing w:val="-2"/>
        </w:rPr>
        <w:t>”</w:t>
      </w:r>
      <w:r>
        <w:rPr>
          <w:spacing w:val="-2"/>
        </w:rPr>
        <w:t>牌牙膏</w:t>
      </w:r>
      <w:r>
        <w:rPr>
          <w:rFonts w:ascii="黑体" w:eastAsia="黑体" w:hAnsi="黑体"/>
          <w:spacing w:val="-2"/>
        </w:rPr>
        <w:t>，</w:t>
      </w:r>
      <w:r>
        <w:rPr>
          <w:spacing w:val="-2"/>
        </w:rPr>
        <w:t>是历史造成的</w:t>
      </w:r>
      <w:r>
        <w:rPr>
          <w:rFonts w:ascii="黑体" w:eastAsia="黑体" w:hAnsi="黑体"/>
          <w:spacing w:val="-2"/>
        </w:rPr>
        <w:t>，</w:t>
      </w:r>
      <w:r>
        <w:rPr>
          <w:spacing w:val="-2"/>
        </w:rPr>
        <w:t>该商标经过长期使用</w:t>
      </w:r>
      <w:r>
        <w:rPr>
          <w:rFonts w:ascii="黑体" w:eastAsia="黑体" w:hAnsi="黑体"/>
          <w:spacing w:val="-56"/>
        </w:rPr>
        <w:t>，</w:t>
      </w:r>
      <w:r>
        <w:rPr>
          <w:spacing w:val="-2"/>
        </w:rPr>
        <w:t>已经具有显著识别性</w:t>
      </w:r>
      <w:r>
        <w:rPr>
          <w:rFonts w:ascii="黑体" w:eastAsia="黑体" w:hAnsi="黑体"/>
          <w:spacing w:val="-56"/>
        </w:rPr>
        <w:t>，</w:t>
      </w:r>
      <w:r>
        <w:rPr>
          <w:spacing w:val="-56"/>
        </w:rPr>
        <w:t>该</w:t>
      </w:r>
      <w:r>
        <w:rPr>
          <w:rFonts w:ascii="宋体" w:eastAsia="宋体" w:hAnsi="宋体" w:hint="eastAsia"/>
          <w:i/>
          <w:spacing w:val="-2"/>
        </w:rPr>
        <w:t>“</w:t>
      </w:r>
      <w:r>
        <w:rPr>
          <w:spacing w:val="-2"/>
        </w:rPr>
        <w:t>中华</w:t>
      </w:r>
      <w:r>
        <w:rPr>
          <w:rFonts w:ascii="宋体" w:eastAsia="宋体" w:hAnsi="宋体" w:hint="eastAsia"/>
          <w:i/>
          <w:spacing w:val="-56"/>
        </w:rPr>
        <w:t>”</w:t>
      </w:r>
      <w:r>
        <w:rPr>
          <w:spacing w:val="-11"/>
        </w:rPr>
        <w:t>牌牙膏的“中华</w:t>
      </w:r>
      <w:r>
        <w:rPr>
          <w:rFonts w:ascii="宋体" w:eastAsia="宋体" w:hAnsi="宋体" w:hint="eastAsia"/>
          <w:i/>
          <w:spacing w:val="-56"/>
        </w:rPr>
        <w:t>”</w:t>
      </w:r>
      <w:r>
        <w:rPr>
          <w:spacing w:val="-2"/>
        </w:rPr>
        <w:t>商标字样只会使人想到该特定的商标</w:t>
      </w:r>
      <w:r>
        <w:rPr>
          <w:rFonts w:ascii="黑体" w:eastAsia="黑体" w:hAnsi="黑体"/>
          <w:spacing w:val="-56"/>
        </w:rPr>
        <w:t>，</w:t>
      </w:r>
      <w:r>
        <w:rPr>
          <w:spacing w:val="-20"/>
        </w:rPr>
        <w:t>不会与</w:t>
      </w:r>
      <w:r>
        <w:rPr>
          <w:rFonts w:ascii="宋体" w:eastAsia="宋体" w:hAnsi="宋体" w:hint="eastAsia"/>
          <w:i/>
          <w:spacing w:val="-2"/>
        </w:rPr>
        <w:t>“</w:t>
      </w:r>
      <w:r>
        <w:rPr>
          <w:spacing w:val="-2"/>
        </w:rPr>
        <w:t>中华人民共和国</w:t>
      </w:r>
      <w:r>
        <w:rPr>
          <w:rFonts w:ascii="宋体" w:eastAsia="宋体" w:hAnsi="宋体" w:hint="eastAsia"/>
          <w:i/>
          <w:spacing w:val="-2"/>
        </w:rPr>
        <w:t>”</w:t>
      </w:r>
      <w:r>
        <w:rPr>
          <w:spacing w:val="-2"/>
        </w:rPr>
        <w:t>的国名相联系。因此</w:t>
      </w:r>
      <w:r>
        <w:rPr>
          <w:rFonts w:ascii="黑体" w:eastAsia="黑体" w:hAnsi="黑体"/>
          <w:spacing w:val="-2"/>
        </w:rPr>
        <w:t>，</w:t>
      </w:r>
      <w:r>
        <w:rPr>
          <w:spacing w:val="-2"/>
        </w:rPr>
        <w:t>这些在《商标法》颁布前注册的商标继续有效</w:t>
      </w:r>
      <w:r>
        <w:rPr>
          <w:rFonts w:ascii="黑体" w:eastAsia="黑体" w:hAnsi="黑体"/>
          <w:spacing w:val="-2"/>
        </w:rPr>
        <w:t>，</w:t>
      </w:r>
      <w:r>
        <w:rPr>
          <w:spacing w:val="-2"/>
        </w:rPr>
        <w:t>但其后此类商标则不准使用</w:t>
      </w:r>
      <w:r>
        <w:rPr>
          <w:rFonts w:ascii="黑体" w:eastAsia="黑体" w:hAnsi="黑体"/>
          <w:spacing w:val="-2"/>
        </w:rPr>
        <w:t>，</w:t>
      </w:r>
      <w:r>
        <w:rPr>
          <w:spacing w:val="-2"/>
        </w:rPr>
        <w:t>更不予以注册。</w:t>
      </w:r>
    </w:p>
    <w:p>
      <w:pPr>
        <w:pStyle w:val="ListParagraph"/>
        <w:numPr>
          <w:ilvl w:val="0"/>
          <w:numId w:val="3"/>
        </w:numPr>
        <w:tabs>
          <w:tab w:val="left" w:pos="555"/>
        </w:tabs>
        <w:spacing w:before="223" w:after="0" w:line="374" w:lineRule="exact"/>
        <w:ind w:left="555" w:right="0" w:hanging="421"/>
        <w:jc w:val="left"/>
        <w:rPr>
          <w:b/>
          <w:sz w:val="21"/>
        </w:rPr>
      </w:pPr>
      <w:r>
        <w:rPr>
          <w:b/>
          <w:spacing w:val="-2"/>
          <w:sz w:val="21"/>
        </w:rPr>
        <w:t>案例分析题</w:t>
      </w:r>
    </w:p>
    <w:p>
      <w:pPr>
        <w:pStyle w:val="BodyText"/>
        <w:spacing w:before="6" w:line="223" w:lineRule="auto"/>
        <w:ind w:right="213"/>
        <w:jc w:val="both"/>
      </w:pPr>
      <w:r>
        <w:rPr>
          <w:rFonts w:ascii="Times New Roman" w:eastAsia="Times New Roman"/>
        </w:rPr>
        <w:t>1995</w:t>
      </w:r>
      <w:r>
        <w:rPr>
          <w:rFonts w:ascii="Times New Roman" w:eastAsia="Times New Roman"/>
          <w:spacing w:val="-2"/>
        </w:rPr>
        <w:t xml:space="preserve"> </w:t>
      </w:r>
      <w:r>
        <w:rPr>
          <w:spacing w:val="-6"/>
        </w:rPr>
        <w:t xml:space="preserve">年 </w:t>
      </w:r>
      <w:r>
        <w:rPr>
          <w:rFonts w:ascii="Times New Roman" w:eastAsia="Times New Roman"/>
        </w:rPr>
        <w:t>10</w:t>
      </w:r>
      <w:r>
        <w:rPr>
          <w:rFonts w:ascii="Times New Roman" w:eastAsia="Times New Roman"/>
          <w:spacing w:val="-2"/>
        </w:rPr>
        <w:t xml:space="preserve"> </w:t>
      </w:r>
      <w:r>
        <w:rPr>
          <w:spacing w:val="-6"/>
        </w:rPr>
        <w:t xml:space="preserve">月 </w:t>
      </w:r>
      <w:r>
        <w:rPr>
          <w:rFonts w:ascii="Times New Roman" w:eastAsia="Times New Roman"/>
        </w:rPr>
        <w:t>6</w:t>
      </w:r>
      <w:r>
        <w:rPr>
          <w:rFonts w:ascii="Times New Roman" w:eastAsia="Times New Roman"/>
          <w:spacing w:val="-2"/>
        </w:rPr>
        <w:t xml:space="preserve"> </w:t>
      </w:r>
      <w:r>
        <w:t>日</w:t>
      </w:r>
      <w:r>
        <w:rPr>
          <w:rFonts w:ascii="黑体" w:eastAsia="黑体"/>
        </w:rPr>
        <w:t>，</w:t>
      </w:r>
      <w:r>
        <w:t>龙口银海公司与中国科学院感光研究所签订技术转让合同</w:t>
      </w:r>
      <w:r>
        <w:rPr>
          <w:rFonts w:ascii="黑体" w:eastAsia="黑体"/>
        </w:rPr>
        <w:t>，</w:t>
      </w:r>
      <w:r>
        <w:t>约定由中科院感光研</w:t>
      </w:r>
      <w:r>
        <w:rPr>
          <w:spacing w:val="-2"/>
        </w:rPr>
        <w:t>究所向银海公司转让机动车辆车厢板反光涂料生产工艺技术。合同签订后</w:t>
      </w:r>
      <w:r>
        <w:rPr>
          <w:rFonts w:ascii="黑体" w:eastAsia="黑体"/>
          <w:spacing w:val="-2"/>
        </w:rPr>
        <w:t>，</w:t>
      </w:r>
      <w:r>
        <w:rPr>
          <w:spacing w:val="-2"/>
        </w:rPr>
        <w:t>中科院感光研究所将技术资料交付银海公司</w:t>
      </w:r>
      <w:r>
        <w:rPr>
          <w:rFonts w:ascii="黑体" w:eastAsia="黑体"/>
          <w:spacing w:val="-2"/>
        </w:rPr>
        <w:t>，</w:t>
      </w:r>
      <w:r>
        <w:rPr>
          <w:spacing w:val="-2"/>
        </w:rPr>
        <w:t>并派技术人员到银海公司进行技术培训和指导。银海公司开始用该技术生产反光涂料</w:t>
      </w:r>
      <w:r>
        <w:rPr>
          <w:rFonts w:ascii="黑体" w:eastAsia="黑体"/>
          <w:spacing w:val="-2"/>
        </w:rPr>
        <w:t>，</w:t>
      </w:r>
      <w:r>
        <w:rPr>
          <w:spacing w:val="-2"/>
        </w:rPr>
        <w:t>并制定了保密措施。</w:t>
      </w:r>
      <w:r>
        <w:rPr>
          <w:rFonts w:ascii="Times New Roman" w:eastAsia="Times New Roman"/>
          <w:spacing w:val="-2"/>
        </w:rPr>
        <w:t>1996</w:t>
      </w:r>
      <w:r>
        <w:rPr>
          <w:rFonts w:ascii="Times New Roman" w:eastAsia="Times New Roman"/>
          <w:spacing w:val="6"/>
        </w:rPr>
        <w:t xml:space="preserve"> </w:t>
      </w:r>
      <w:r>
        <w:rPr>
          <w:spacing w:val="-3"/>
        </w:rPr>
        <w:t xml:space="preserve">年 </w:t>
      </w:r>
      <w:r>
        <w:rPr>
          <w:rFonts w:ascii="Times New Roman" w:eastAsia="Times New Roman"/>
          <w:spacing w:val="-2"/>
        </w:rPr>
        <w:t>8</w:t>
      </w:r>
      <w:r>
        <w:rPr>
          <w:rFonts w:ascii="Times New Roman" w:eastAsia="Times New Roman"/>
          <w:spacing w:val="7"/>
        </w:rPr>
        <w:t xml:space="preserve"> </w:t>
      </w:r>
      <w:r>
        <w:rPr>
          <w:spacing w:val="-2"/>
        </w:rPr>
        <w:t>月银海公司向山东省科学技术情报研究所进行查新咨询</w:t>
      </w:r>
      <w:r>
        <w:rPr>
          <w:rFonts w:ascii="黑体" w:eastAsia="黑体"/>
          <w:spacing w:val="-2"/>
        </w:rPr>
        <w:t>，</w:t>
      </w:r>
      <w:r>
        <w:rPr>
          <w:spacing w:val="-3"/>
        </w:rPr>
        <w:t>检索结论为国内未见</w:t>
      </w:r>
    </w:p>
    <w:p>
      <w:pPr>
        <w:spacing w:after="0" w:line="223" w:lineRule="auto"/>
        <w:jc w:val="both"/>
        <w:sectPr>
          <w:headerReference w:type="default" r:id="rId19"/>
          <w:footerReference w:type="default" r:id="rId20"/>
          <w:pgSz w:w="11910" w:h="16840"/>
          <w:pgMar w:top="1460" w:right="920" w:bottom="820" w:left="1000" w:header="567" w:footer="633" w:gutter="0"/>
          <w:pgNumType w:start="10"/>
          <w:cols w:num="1" w:space="720"/>
        </w:sectPr>
      </w:pPr>
    </w:p>
    <w:p>
      <w:pPr>
        <w:pStyle w:val="BodyText"/>
        <w:spacing w:before="14" w:line="223" w:lineRule="auto"/>
        <w:ind w:right="213" w:firstLine="0"/>
        <w:jc w:val="both"/>
      </w:pPr>
      <w:r>
        <w:rPr>
          <w:spacing w:val="-2"/>
        </w:rPr>
        <w:t>基料中含银粉</w:t>
      </w:r>
      <w:r>
        <w:rPr>
          <w:rFonts w:ascii="黑体" w:eastAsia="黑体"/>
          <w:spacing w:val="-2"/>
        </w:rPr>
        <w:t>，</w:t>
      </w:r>
      <w:r>
        <w:rPr>
          <w:spacing w:val="-2"/>
        </w:rPr>
        <w:t>且采用矿物质提炼的玻璃微珠生产回归反光涂料的报道。</w:t>
      </w:r>
      <w:r>
        <w:rPr>
          <w:rFonts w:ascii="Times New Roman" w:eastAsia="Times New Roman"/>
          <w:spacing w:val="-2"/>
        </w:rPr>
        <w:t>1996</w:t>
      </w:r>
      <w:r>
        <w:rPr>
          <w:rFonts w:ascii="Times New Roman" w:eastAsia="Times New Roman"/>
          <w:spacing w:val="-6"/>
        </w:rPr>
        <w:t xml:space="preserve"> </w:t>
      </w:r>
      <w:r>
        <w:rPr>
          <w:spacing w:val="-8"/>
        </w:rPr>
        <w:t xml:space="preserve">年 </w:t>
      </w:r>
      <w:r>
        <w:rPr>
          <w:rFonts w:ascii="Times New Roman" w:eastAsia="Times New Roman"/>
          <w:spacing w:val="-2"/>
        </w:rPr>
        <w:t>9</w:t>
      </w:r>
      <w:r>
        <w:rPr>
          <w:rFonts w:ascii="Times New Roman" w:eastAsia="Times New Roman"/>
          <w:spacing w:val="-4"/>
        </w:rPr>
        <w:t xml:space="preserve"> </w:t>
      </w:r>
      <w:r>
        <w:rPr>
          <w:spacing w:val="-2"/>
        </w:rPr>
        <w:t>月银海公司通过山东省科学技术委员会技术鉴定</w:t>
      </w:r>
      <w:r>
        <w:rPr>
          <w:rFonts w:ascii="黑体" w:eastAsia="黑体"/>
          <w:spacing w:val="-2"/>
        </w:rPr>
        <w:t>，</w:t>
      </w:r>
      <w:r>
        <w:rPr>
          <w:spacing w:val="-2"/>
        </w:rPr>
        <w:t>并制定了企业标准。</w:t>
      </w:r>
      <w:r>
        <w:rPr>
          <w:rFonts w:ascii="Times New Roman" w:eastAsia="Times New Roman"/>
          <w:spacing w:val="-2"/>
        </w:rPr>
        <w:t>1996</w:t>
      </w:r>
      <w:r>
        <w:rPr>
          <w:rFonts w:ascii="Times New Roman" w:eastAsia="Times New Roman"/>
          <w:spacing w:val="-6"/>
        </w:rPr>
        <w:t xml:space="preserve"> </w:t>
      </w:r>
      <w:r>
        <w:rPr>
          <w:spacing w:val="-8"/>
        </w:rPr>
        <w:t xml:space="preserve">年 </w:t>
      </w:r>
      <w:r>
        <w:rPr>
          <w:rFonts w:ascii="Times New Roman" w:eastAsia="Times New Roman"/>
          <w:spacing w:val="-2"/>
        </w:rPr>
        <w:t>3</w:t>
      </w:r>
      <w:r>
        <w:rPr>
          <w:rFonts w:ascii="Times New Roman" w:eastAsia="Times New Roman"/>
          <w:spacing w:val="-4"/>
        </w:rPr>
        <w:t xml:space="preserve"> </w:t>
      </w:r>
      <w:r>
        <w:rPr>
          <w:spacing w:val="-2"/>
        </w:rPr>
        <w:t>月银海公司与龙口上海春源化妆品厂一分厂签订</w:t>
      </w:r>
      <w:r>
        <w:t>合同</w:t>
      </w:r>
      <w:r>
        <w:rPr>
          <w:rFonts w:ascii="黑体" w:eastAsia="黑体"/>
        </w:rPr>
        <w:t>，</w:t>
      </w:r>
      <w:r>
        <w:t>委托该厂将反光涂料进行罐装及包装</w:t>
      </w:r>
      <w:r>
        <w:rPr>
          <w:rFonts w:ascii="黑体" w:eastAsia="黑体"/>
        </w:rPr>
        <w:t>，</w:t>
      </w:r>
      <w:r>
        <w:rPr>
          <w:rFonts w:ascii="Times New Roman" w:eastAsia="Times New Roman"/>
        </w:rPr>
        <w:t xml:space="preserve">1997 </w:t>
      </w:r>
      <w:r>
        <w:t xml:space="preserve">年 </w:t>
      </w:r>
      <w:r>
        <w:rPr>
          <w:rFonts w:ascii="Times New Roman" w:eastAsia="Times New Roman"/>
        </w:rPr>
        <w:t xml:space="preserve">1 </w:t>
      </w:r>
      <w:r>
        <w:t xml:space="preserve">月 </w:t>
      </w:r>
      <w:r>
        <w:rPr>
          <w:rFonts w:ascii="Times New Roman" w:eastAsia="Times New Roman"/>
        </w:rPr>
        <w:t xml:space="preserve">22 </w:t>
      </w:r>
      <w:r>
        <w:t>日双方解除合同。</w:t>
      </w:r>
    </w:p>
    <w:p>
      <w:pPr>
        <w:pStyle w:val="BodyText"/>
        <w:spacing w:line="223" w:lineRule="auto"/>
        <w:ind w:right="213"/>
        <w:jc w:val="both"/>
      </w:pPr>
      <w:r>
        <w:rPr>
          <w:rFonts w:ascii="Times New Roman" w:eastAsia="Times New Roman"/>
          <w:spacing w:val="-2"/>
        </w:rPr>
        <w:t>1996</w:t>
      </w:r>
      <w:r>
        <w:rPr>
          <w:rFonts w:ascii="Times New Roman" w:eastAsia="Times New Roman"/>
          <w:spacing w:val="-3"/>
        </w:rPr>
        <w:t xml:space="preserve"> </w:t>
      </w:r>
      <w:r>
        <w:rPr>
          <w:spacing w:val="-8"/>
        </w:rPr>
        <w:t xml:space="preserve">年 </w:t>
      </w:r>
      <w:r>
        <w:rPr>
          <w:rFonts w:ascii="Times New Roman" w:eastAsia="Times New Roman"/>
          <w:spacing w:val="-2"/>
        </w:rPr>
        <w:t>10</w:t>
      </w:r>
      <w:r>
        <w:rPr>
          <w:rFonts w:ascii="Times New Roman" w:eastAsia="Times New Roman"/>
          <w:spacing w:val="-3"/>
        </w:rPr>
        <w:t xml:space="preserve"> </w:t>
      </w:r>
      <w:r>
        <w:rPr>
          <w:spacing w:val="-8"/>
        </w:rPr>
        <w:t xml:space="preserve">月 </w:t>
      </w:r>
      <w:r>
        <w:rPr>
          <w:rFonts w:ascii="Times New Roman" w:eastAsia="Times New Roman"/>
          <w:spacing w:val="-2"/>
        </w:rPr>
        <w:t>25</w:t>
      </w:r>
      <w:r>
        <w:rPr>
          <w:rFonts w:ascii="Times New Roman" w:eastAsia="Times New Roman"/>
          <w:spacing w:val="-3"/>
        </w:rPr>
        <w:t xml:space="preserve"> </w:t>
      </w:r>
      <w:r>
        <w:rPr>
          <w:spacing w:val="-2"/>
        </w:rPr>
        <w:t>日</w:t>
      </w:r>
      <w:r>
        <w:rPr>
          <w:rFonts w:ascii="黑体" w:eastAsia="黑体"/>
          <w:spacing w:val="-2"/>
        </w:rPr>
        <w:t>，</w:t>
      </w:r>
      <w:r>
        <w:rPr>
          <w:spacing w:val="-3"/>
        </w:rPr>
        <w:t xml:space="preserve">上海春源化妆品厂一分厂的负责人等 </w:t>
      </w:r>
      <w:r>
        <w:rPr>
          <w:rFonts w:ascii="Times New Roman" w:eastAsia="Times New Roman"/>
          <w:spacing w:val="-2"/>
        </w:rPr>
        <w:t>3</w:t>
      </w:r>
      <w:r>
        <w:rPr>
          <w:rFonts w:ascii="Times New Roman" w:eastAsia="Times New Roman"/>
          <w:spacing w:val="-3"/>
        </w:rPr>
        <w:t xml:space="preserve"> </w:t>
      </w:r>
      <w:r>
        <w:rPr>
          <w:spacing w:val="-2"/>
        </w:rPr>
        <w:t>人合伙成立了龙口市明珠反光材料厂（以下简称明珠厂）</w:t>
      </w:r>
      <w:r>
        <w:rPr>
          <w:rFonts w:ascii="黑体" w:eastAsia="黑体"/>
          <w:spacing w:val="-2"/>
        </w:rPr>
        <w:t>，</w:t>
      </w:r>
      <w:r>
        <w:rPr>
          <w:spacing w:val="-2"/>
        </w:rPr>
        <w:t>并使用了与银海公司相同的技术生产反光涂料。王某、张某原为银海公司职工</w:t>
      </w:r>
      <w:r>
        <w:rPr>
          <w:rFonts w:ascii="黑体" w:eastAsia="黑体"/>
          <w:spacing w:val="-2"/>
        </w:rPr>
        <w:t>，</w:t>
      </w:r>
      <w:r>
        <w:rPr>
          <w:spacing w:val="-2"/>
        </w:rPr>
        <w:t>掌握反</w:t>
      </w:r>
      <w:r>
        <w:t>光涂料生产技术</w:t>
      </w:r>
      <w:r>
        <w:rPr>
          <w:rFonts w:ascii="黑体" w:eastAsia="黑体"/>
        </w:rPr>
        <w:t>，</w:t>
      </w:r>
      <w:r>
        <w:rPr>
          <w:spacing w:val="-4"/>
        </w:rPr>
        <w:t xml:space="preserve">分别于 </w:t>
      </w:r>
      <w:r>
        <w:rPr>
          <w:rFonts w:ascii="Times New Roman" w:eastAsia="Times New Roman"/>
        </w:rPr>
        <w:t>1997</w:t>
      </w:r>
      <w:r>
        <w:rPr>
          <w:rFonts w:ascii="Times New Roman" w:eastAsia="Times New Roman"/>
          <w:spacing w:val="-5"/>
        </w:rPr>
        <w:t xml:space="preserve"> </w:t>
      </w:r>
      <w:r>
        <w:rPr>
          <w:spacing w:val="-8"/>
        </w:rPr>
        <w:t xml:space="preserve">年 </w:t>
      </w:r>
      <w:r>
        <w:rPr>
          <w:rFonts w:ascii="Times New Roman" w:eastAsia="Times New Roman"/>
        </w:rPr>
        <w:t>1</w:t>
      </w:r>
      <w:r>
        <w:rPr>
          <w:rFonts w:ascii="Times New Roman" w:eastAsia="Times New Roman"/>
          <w:spacing w:val="-5"/>
        </w:rPr>
        <w:t xml:space="preserve"> </w:t>
      </w:r>
      <w:r>
        <w:rPr>
          <w:spacing w:val="-8"/>
        </w:rPr>
        <w:t xml:space="preserve">月 </w:t>
      </w:r>
      <w:r>
        <w:rPr>
          <w:rFonts w:ascii="Times New Roman" w:eastAsia="Times New Roman"/>
        </w:rPr>
        <w:t>3</w:t>
      </w:r>
      <w:r>
        <w:rPr>
          <w:rFonts w:ascii="Times New Roman" w:eastAsia="Times New Roman"/>
          <w:spacing w:val="-5"/>
        </w:rPr>
        <w:t xml:space="preserve"> </w:t>
      </w:r>
      <w:r>
        <w:t>日、</w:t>
      </w:r>
      <w:r>
        <w:rPr>
          <w:rFonts w:ascii="Times New Roman" w:eastAsia="Times New Roman"/>
        </w:rPr>
        <w:t>1996</w:t>
      </w:r>
      <w:r>
        <w:rPr>
          <w:rFonts w:ascii="Times New Roman" w:eastAsia="Times New Roman"/>
          <w:spacing w:val="-5"/>
        </w:rPr>
        <w:t xml:space="preserve"> </w:t>
      </w:r>
      <w:r>
        <w:rPr>
          <w:spacing w:val="-8"/>
        </w:rPr>
        <w:t xml:space="preserve">年 </w:t>
      </w:r>
      <w:r>
        <w:rPr>
          <w:rFonts w:ascii="Times New Roman" w:eastAsia="Times New Roman"/>
        </w:rPr>
        <w:t>11</w:t>
      </w:r>
      <w:r>
        <w:rPr>
          <w:rFonts w:ascii="Times New Roman" w:eastAsia="Times New Roman"/>
          <w:spacing w:val="-5"/>
        </w:rPr>
        <w:t xml:space="preserve"> </w:t>
      </w:r>
      <w:r>
        <w:rPr>
          <w:spacing w:val="-8"/>
        </w:rPr>
        <w:t xml:space="preserve">月 </w:t>
      </w:r>
      <w:r>
        <w:rPr>
          <w:rFonts w:ascii="Times New Roman" w:eastAsia="Times New Roman"/>
        </w:rPr>
        <w:t>28</w:t>
      </w:r>
      <w:r>
        <w:rPr>
          <w:rFonts w:ascii="Times New Roman" w:eastAsia="Times New Roman"/>
          <w:spacing w:val="-5"/>
        </w:rPr>
        <w:t xml:space="preserve"> </w:t>
      </w:r>
      <w:r>
        <w:t>日离开银海公司。</w:t>
      </w:r>
      <w:r>
        <w:rPr>
          <w:rFonts w:ascii="Times New Roman" w:eastAsia="Times New Roman"/>
        </w:rPr>
        <w:t>1997</w:t>
      </w:r>
      <w:r>
        <w:rPr>
          <w:rFonts w:ascii="Times New Roman" w:eastAsia="Times New Roman"/>
          <w:spacing w:val="-5"/>
        </w:rPr>
        <w:t xml:space="preserve"> </w:t>
      </w:r>
      <w:r>
        <w:t>年</w:t>
      </w:r>
      <w:r>
        <w:rPr>
          <w:rFonts w:ascii="黑体" w:eastAsia="黑体"/>
        </w:rPr>
        <w:t>，</w:t>
      </w:r>
      <w:r>
        <w:t>王某和张某曾为</w:t>
      </w:r>
      <w:r>
        <w:rPr>
          <w:spacing w:val="-2"/>
        </w:rPr>
        <w:t>明珠厂销售反光涂料。</w:t>
      </w:r>
      <w:r>
        <w:rPr>
          <w:rFonts w:ascii="Times New Roman" w:eastAsia="Times New Roman"/>
          <w:spacing w:val="-2"/>
        </w:rPr>
        <w:t>1998</w:t>
      </w:r>
      <w:r>
        <w:rPr>
          <w:rFonts w:ascii="Times New Roman" w:eastAsia="Times New Roman"/>
          <w:spacing w:val="-12"/>
        </w:rPr>
        <w:t xml:space="preserve"> </w:t>
      </w:r>
      <w:r>
        <w:rPr>
          <w:spacing w:val="-2"/>
        </w:rPr>
        <w:t>年</w:t>
      </w:r>
      <w:r>
        <w:rPr>
          <w:rFonts w:ascii="黑体" w:eastAsia="黑体"/>
          <w:spacing w:val="-2"/>
        </w:rPr>
        <w:t>，</w:t>
      </w:r>
      <w:r>
        <w:rPr>
          <w:spacing w:val="-2"/>
        </w:rPr>
        <w:t>银海公司以明珠广和玉某、张某为被告向法院提起诉讼</w:t>
      </w:r>
      <w:r>
        <w:rPr>
          <w:rFonts w:ascii="黑体" w:eastAsia="黑体"/>
          <w:spacing w:val="-2"/>
        </w:rPr>
        <w:t>，</w:t>
      </w:r>
      <w:r>
        <w:rPr>
          <w:spacing w:val="-2"/>
        </w:rPr>
        <w:t>称明珠厂利诱王某、张某跳槽</w:t>
      </w:r>
      <w:r>
        <w:rPr>
          <w:rFonts w:ascii="黑体" w:eastAsia="黑体"/>
          <w:spacing w:val="-2"/>
        </w:rPr>
        <w:t>，</w:t>
      </w:r>
      <w:r>
        <w:rPr>
          <w:spacing w:val="-2"/>
        </w:rPr>
        <w:t>取得并使用了其反光涂料生产技术</w:t>
      </w:r>
      <w:r>
        <w:rPr>
          <w:rFonts w:ascii="黑体" w:eastAsia="黑体"/>
          <w:spacing w:val="-2"/>
        </w:rPr>
        <w:t>，</w:t>
      </w:r>
      <w:r>
        <w:rPr>
          <w:spacing w:val="-2"/>
        </w:rPr>
        <w:t>侵犯了其商业秘密</w:t>
      </w:r>
      <w:r>
        <w:rPr>
          <w:rFonts w:ascii="黑体" w:eastAsia="黑体"/>
          <w:spacing w:val="-2"/>
        </w:rPr>
        <w:t>，</w:t>
      </w:r>
      <w:r>
        <w:rPr>
          <w:spacing w:val="-2"/>
        </w:rPr>
        <w:t xml:space="preserve">要求 </w:t>
      </w:r>
      <w:r>
        <w:rPr>
          <w:rFonts w:ascii="Times New Roman" w:eastAsia="Times New Roman"/>
          <w:spacing w:val="-2"/>
        </w:rPr>
        <w:t xml:space="preserve">3 </w:t>
      </w:r>
      <w:r>
        <w:rPr>
          <w:spacing w:val="-2"/>
        </w:rPr>
        <w:t>被告停止使用其技术</w:t>
      </w:r>
      <w:r>
        <w:rPr>
          <w:rFonts w:ascii="黑体" w:eastAsia="黑体"/>
          <w:spacing w:val="-2"/>
        </w:rPr>
        <w:t>，</w:t>
      </w:r>
      <w:r>
        <w:rPr>
          <w:spacing w:val="-2"/>
        </w:rPr>
        <w:t>并赔偿经济损失。诉讼期间</w:t>
      </w:r>
      <w:r>
        <w:rPr>
          <w:rFonts w:ascii="黑体" w:eastAsia="黑体"/>
          <w:spacing w:val="-2"/>
        </w:rPr>
        <w:t>，</w:t>
      </w:r>
      <w:r>
        <w:rPr>
          <w:spacing w:val="-2"/>
        </w:rPr>
        <w:t>明珠厂提供了公安部交通安全产品质量监督检测中心出具的试验报告</w:t>
      </w:r>
      <w:r>
        <w:rPr>
          <w:rFonts w:ascii="黑体" w:eastAsia="黑体"/>
          <w:spacing w:val="-2"/>
        </w:rPr>
        <w:t>，</w:t>
      </w:r>
      <w:r>
        <w:rPr>
          <w:spacing w:val="-2"/>
        </w:rPr>
        <w:t>鉴定材</w:t>
      </w:r>
      <w:r>
        <w:t>料为反光涂料</w:t>
      </w:r>
      <w:r>
        <w:rPr>
          <w:rFonts w:ascii="黑体" w:eastAsia="黑体"/>
        </w:rPr>
        <w:t>，</w:t>
      </w:r>
      <w:r>
        <w:t>生产单位为明珠厂</w:t>
      </w:r>
      <w:r>
        <w:rPr>
          <w:rFonts w:ascii="黑体" w:eastAsia="黑体"/>
        </w:rPr>
        <w:t>，</w:t>
      </w:r>
      <w:r>
        <w:rPr>
          <w:spacing w:val="-3"/>
        </w:rPr>
        <w:t xml:space="preserve">送检日期为 </w:t>
      </w:r>
      <w:r>
        <w:rPr>
          <w:rFonts w:ascii="Times New Roman" w:eastAsia="Times New Roman"/>
        </w:rPr>
        <w:t>1996</w:t>
      </w:r>
      <w:r>
        <w:rPr>
          <w:rFonts w:ascii="Times New Roman" w:eastAsia="Times New Roman"/>
          <w:spacing w:val="-5"/>
        </w:rPr>
        <w:t xml:space="preserve"> </w:t>
      </w:r>
      <w:r>
        <w:rPr>
          <w:spacing w:val="-8"/>
        </w:rPr>
        <w:t xml:space="preserve">年 </w:t>
      </w:r>
      <w:r>
        <w:rPr>
          <w:rFonts w:ascii="Times New Roman" w:eastAsia="Times New Roman"/>
        </w:rPr>
        <w:t>12</w:t>
      </w:r>
      <w:r>
        <w:rPr>
          <w:rFonts w:ascii="Times New Roman" w:eastAsia="Times New Roman"/>
          <w:spacing w:val="-5"/>
        </w:rPr>
        <w:t xml:space="preserve"> </w:t>
      </w:r>
      <w:r>
        <w:rPr>
          <w:spacing w:val="-8"/>
        </w:rPr>
        <w:t xml:space="preserve">月 </w:t>
      </w:r>
      <w:r>
        <w:rPr>
          <w:rFonts w:ascii="Times New Roman" w:eastAsia="Times New Roman"/>
        </w:rPr>
        <w:t>10</w:t>
      </w:r>
      <w:r>
        <w:rPr>
          <w:rFonts w:ascii="Times New Roman" w:eastAsia="Times New Roman"/>
          <w:spacing w:val="-5"/>
        </w:rPr>
        <w:t xml:space="preserve"> </w:t>
      </w:r>
      <w:r>
        <w:t>日</w:t>
      </w:r>
      <w:r>
        <w:rPr>
          <w:rFonts w:ascii="黑体" w:eastAsia="黑体"/>
        </w:rPr>
        <w:t>，</w:t>
      </w:r>
      <w:r>
        <w:rPr>
          <w:spacing w:val="-3"/>
        </w:rPr>
        <w:t xml:space="preserve">以证明其在 </w:t>
      </w:r>
      <w:r>
        <w:rPr>
          <w:rFonts w:ascii="Times New Roman" w:eastAsia="Times New Roman"/>
        </w:rPr>
        <w:t>1996</w:t>
      </w:r>
      <w:r>
        <w:rPr>
          <w:rFonts w:ascii="Times New Roman" w:eastAsia="Times New Roman"/>
          <w:spacing w:val="-5"/>
        </w:rPr>
        <w:t xml:space="preserve"> </w:t>
      </w:r>
      <w:r>
        <w:rPr>
          <w:spacing w:val="-8"/>
        </w:rPr>
        <w:t xml:space="preserve">年 </w:t>
      </w:r>
      <w:r>
        <w:rPr>
          <w:rFonts w:ascii="Times New Roman" w:eastAsia="Times New Roman"/>
        </w:rPr>
        <w:t>12</w:t>
      </w:r>
      <w:r>
        <w:rPr>
          <w:rFonts w:ascii="Times New Roman" w:eastAsia="Times New Roman"/>
          <w:spacing w:val="-5"/>
        </w:rPr>
        <w:t xml:space="preserve"> </w:t>
      </w:r>
      <w:r>
        <w:rPr>
          <w:spacing w:val="-8"/>
        </w:rPr>
        <w:t xml:space="preserve">月 </w:t>
      </w:r>
      <w:r>
        <w:rPr>
          <w:rFonts w:ascii="Times New Roman" w:eastAsia="Times New Roman"/>
        </w:rPr>
        <w:t>10</w:t>
      </w:r>
      <w:r>
        <w:rPr>
          <w:rFonts w:ascii="Times New Roman" w:eastAsia="Times New Roman"/>
          <w:spacing w:val="-5"/>
        </w:rPr>
        <w:t xml:space="preserve"> </w:t>
      </w:r>
      <w:r>
        <w:t>日前就</w:t>
      </w:r>
      <w:r>
        <w:rPr>
          <w:spacing w:val="-2"/>
        </w:rPr>
        <w:t>掌握反光涂料的生产技术。银海公司称明珠厂送检的样品并不是明珠厂生产的</w:t>
      </w:r>
      <w:r>
        <w:rPr>
          <w:rFonts w:ascii="黑体" w:eastAsia="黑体"/>
          <w:spacing w:val="-2"/>
        </w:rPr>
        <w:t>，</w:t>
      </w:r>
      <w:r>
        <w:rPr>
          <w:spacing w:val="-2"/>
        </w:rPr>
        <w:t>而是银海公司的</w:t>
      </w:r>
      <w:r>
        <w:rPr>
          <w:rFonts w:ascii="黑体" w:eastAsia="黑体"/>
          <w:spacing w:val="-2"/>
        </w:rPr>
        <w:t>，</w:t>
      </w:r>
      <w:r>
        <w:rPr>
          <w:spacing w:val="-2"/>
        </w:rPr>
        <w:t>但没有提供证据。</w:t>
      </w:r>
    </w:p>
    <w:p>
      <w:pPr>
        <w:pStyle w:val="BodyText"/>
        <w:spacing w:line="356" w:lineRule="exact"/>
        <w:ind w:left="554" w:firstLine="0"/>
      </w:pPr>
      <w:r>
        <w:t>请依据《反不正当竞争法》的相关知识分析该案例</w:t>
      </w:r>
      <w:r>
        <w:rPr>
          <w:rFonts w:ascii="黑体" w:eastAsia="黑体"/>
        </w:rPr>
        <w:t>，</w:t>
      </w:r>
      <w:r>
        <w:rPr>
          <w:spacing w:val="-2"/>
        </w:rPr>
        <w:t>并回答下列问题：</w:t>
      </w:r>
    </w:p>
    <w:p>
      <w:pPr>
        <w:pStyle w:val="ListParagraph"/>
        <w:numPr>
          <w:ilvl w:val="1"/>
          <w:numId w:val="3"/>
        </w:numPr>
        <w:tabs>
          <w:tab w:val="left" w:pos="1080"/>
        </w:tabs>
        <w:spacing w:before="0" w:after="0" w:line="360" w:lineRule="exact"/>
        <w:ind w:left="1080" w:right="0" w:hanging="526"/>
        <w:jc w:val="left"/>
        <w:rPr>
          <w:sz w:val="21"/>
        </w:rPr>
      </w:pPr>
      <w:r>
        <w:rPr>
          <w:spacing w:val="-1"/>
          <w:sz w:val="21"/>
        </w:rPr>
        <w:t>明珠厂、王某、张某的行为是否侵犯了银海公司的商业秘密？</w:t>
      </w:r>
    </w:p>
    <w:p>
      <w:pPr>
        <w:pStyle w:val="ListParagraph"/>
        <w:numPr>
          <w:ilvl w:val="1"/>
          <w:numId w:val="3"/>
        </w:numPr>
        <w:tabs>
          <w:tab w:val="left" w:pos="1080"/>
        </w:tabs>
        <w:spacing w:before="0" w:after="0" w:line="360" w:lineRule="exact"/>
        <w:ind w:left="1080" w:right="0" w:hanging="526"/>
        <w:jc w:val="left"/>
        <w:rPr>
          <w:sz w:val="21"/>
        </w:rPr>
      </w:pPr>
      <w:r>
        <w:rPr>
          <w:spacing w:val="-1"/>
          <w:sz w:val="21"/>
        </w:rPr>
        <w:t>该案举证责任是如何分配的？</w:t>
      </w:r>
    </w:p>
    <w:p>
      <w:pPr>
        <w:pStyle w:val="BodyText"/>
        <w:spacing w:before="6" w:line="223" w:lineRule="auto"/>
        <w:ind w:right="213"/>
      </w:pPr>
      <w:r>
        <w:rPr>
          <w:color w:val="FF0000"/>
          <w:spacing w:val="-2"/>
        </w:rPr>
        <w:t>【答案】</w:t>
      </w:r>
      <w:r>
        <w:rPr>
          <w:spacing w:val="-2"/>
        </w:rPr>
        <w:t>（</w:t>
      </w:r>
      <w:r>
        <w:rPr>
          <w:rFonts w:ascii="Times New Roman" w:eastAsia="Times New Roman"/>
          <w:spacing w:val="-2"/>
        </w:rPr>
        <w:t>1</w:t>
      </w:r>
      <w:r>
        <w:rPr>
          <w:spacing w:val="-2"/>
        </w:rPr>
        <w:t xml:space="preserve">）我国对商业秘密保护的规定见于我国《反不正当竞争法》第 </w:t>
      </w:r>
      <w:r>
        <w:rPr>
          <w:rFonts w:ascii="Times New Roman" w:eastAsia="Times New Roman"/>
          <w:spacing w:val="-2"/>
        </w:rPr>
        <w:t xml:space="preserve">10 </w:t>
      </w:r>
      <w:r>
        <w:rPr>
          <w:spacing w:val="-2"/>
        </w:rPr>
        <w:t>条</w:t>
      </w:r>
      <w:r>
        <w:rPr>
          <w:rFonts w:ascii="黑体" w:eastAsia="黑体"/>
          <w:spacing w:val="-2"/>
        </w:rPr>
        <w:t>，</w:t>
      </w:r>
      <w:r>
        <w:rPr>
          <w:spacing w:val="-2"/>
        </w:rPr>
        <w:t>经营者不得采用下列手段侵犯商业秘密：</w:t>
      </w:r>
    </w:p>
    <w:p>
      <w:pPr>
        <w:pStyle w:val="BodyText"/>
        <w:spacing w:line="355" w:lineRule="exact"/>
        <w:ind w:left="554" w:firstLine="0"/>
        <w:rPr>
          <w:rFonts w:ascii="黑体" w:eastAsia="黑体" w:hAnsi="黑体"/>
        </w:rPr>
      </w:pPr>
      <w:r>
        <w:rPr>
          <w:rFonts w:ascii="宋体" w:eastAsia="宋体" w:hAnsi="宋体"/>
        </w:rPr>
        <w:t>①</w:t>
      </w:r>
      <w:r>
        <w:t>以盗窃、利诱、胁迫或者其他不正当手段获取权利人的商业秘密</w:t>
      </w:r>
      <w:r>
        <w:rPr>
          <w:rFonts w:ascii="黑体" w:eastAsia="黑体" w:hAnsi="黑体"/>
          <w:spacing w:val="-10"/>
        </w:rPr>
        <w:t>；</w:t>
      </w:r>
    </w:p>
    <w:p>
      <w:pPr>
        <w:pStyle w:val="BodyText"/>
        <w:spacing w:line="360" w:lineRule="exact"/>
        <w:ind w:left="554" w:firstLine="0"/>
        <w:rPr>
          <w:rFonts w:ascii="黑体" w:eastAsia="黑体" w:hAnsi="黑体"/>
        </w:rPr>
      </w:pPr>
      <w:r>
        <w:rPr>
          <w:rFonts w:ascii="宋体" w:eastAsia="宋体" w:hAnsi="宋体"/>
        </w:rPr>
        <w:t>②</w:t>
      </w:r>
      <w:r>
        <w:t>披露、使用或者允许他人使用以前项手段获取的权利人的商业秘密</w:t>
      </w:r>
      <w:r>
        <w:rPr>
          <w:rFonts w:ascii="黑体" w:eastAsia="黑体" w:hAnsi="黑体"/>
          <w:spacing w:val="-10"/>
        </w:rPr>
        <w:t>；</w:t>
      </w:r>
    </w:p>
    <w:p>
      <w:pPr>
        <w:pStyle w:val="BodyText"/>
        <w:spacing w:before="6" w:line="223" w:lineRule="auto"/>
        <w:ind w:right="108"/>
      </w:pPr>
      <w:r>
        <w:rPr>
          <w:rFonts w:ascii="宋体" w:eastAsia="宋体" w:hAnsi="宋体"/>
          <w:spacing w:val="-2"/>
        </w:rPr>
        <w:t>③</w:t>
      </w:r>
      <w:r>
        <w:rPr>
          <w:spacing w:val="-2"/>
        </w:rPr>
        <w:t>违反约定或者违反权利人有关保守商业秘密的要求</w:t>
      </w:r>
      <w:r>
        <w:rPr>
          <w:rFonts w:ascii="黑体" w:eastAsia="黑体" w:hAnsi="黑体"/>
          <w:spacing w:val="-2"/>
        </w:rPr>
        <w:t>，</w:t>
      </w:r>
      <w:r>
        <w:rPr>
          <w:spacing w:val="-2"/>
        </w:rPr>
        <w:t>披露、使用或者允许他人使用其所掌握的商业</w:t>
      </w:r>
      <w:r>
        <w:rPr>
          <w:spacing w:val="-4"/>
        </w:rPr>
        <w:t>秘密。第三人明知或者应知前款所列违法行为</w:t>
      </w:r>
      <w:r>
        <w:rPr>
          <w:rFonts w:ascii="黑体" w:eastAsia="黑体" w:hAnsi="黑体"/>
          <w:spacing w:val="-4"/>
        </w:rPr>
        <w:t>，</w:t>
      </w:r>
      <w:r>
        <w:rPr>
          <w:spacing w:val="-4"/>
        </w:rPr>
        <w:t>获取、使用或者披露他人的商业秘密</w:t>
      </w:r>
      <w:r>
        <w:rPr>
          <w:rFonts w:ascii="黑体" w:eastAsia="黑体" w:hAnsi="黑体"/>
          <w:spacing w:val="-4"/>
        </w:rPr>
        <w:t>，</w:t>
      </w:r>
      <w:r>
        <w:rPr>
          <w:spacing w:val="-4"/>
        </w:rPr>
        <w:t>视为侵犯商业秘密。</w:t>
      </w:r>
      <w:r>
        <w:rPr>
          <w:spacing w:val="-2"/>
        </w:rPr>
        <w:t>本条所称的商业秘密</w:t>
      </w:r>
      <w:r>
        <w:rPr>
          <w:rFonts w:ascii="黑体" w:eastAsia="黑体" w:hAnsi="黑体"/>
          <w:spacing w:val="-2"/>
        </w:rPr>
        <w:t>，</w:t>
      </w:r>
      <w:r>
        <w:rPr>
          <w:spacing w:val="-2"/>
        </w:rPr>
        <w:t>是指不为公众所知悉、能为权利人带来经济利益、具有实用性并经权利人采取保密</w:t>
      </w:r>
      <w:r>
        <w:rPr>
          <w:spacing w:val="-4"/>
        </w:rPr>
        <w:t>措施的技术信息和经营信息。本案中</w:t>
      </w:r>
      <w:r>
        <w:rPr>
          <w:rFonts w:ascii="黑体" w:eastAsia="黑体" w:hAnsi="黑体"/>
          <w:spacing w:val="-4"/>
        </w:rPr>
        <w:t>，</w:t>
      </w:r>
      <w:r>
        <w:rPr>
          <w:spacing w:val="-4"/>
        </w:rPr>
        <w:t>原告银海公司证明了其掌握商业秘密的职工王某、张某到了明珠厂</w:t>
      </w:r>
      <w:r>
        <w:rPr>
          <w:rFonts w:ascii="黑体" w:eastAsia="黑体" w:hAnsi="黑体"/>
          <w:spacing w:val="-4"/>
        </w:rPr>
        <w:t>，</w:t>
      </w:r>
      <w:r>
        <w:t xml:space="preserve">但到明珠厂的时间是在 </w:t>
      </w:r>
      <w:r>
        <w:rPr>
          <w:rFonts w:ascii="Times New Roman" w:eastAsia="Times New Roman" w:hAnsi="Times New Roman"/>
        </w:rPr>
        <w:t xml:space="preserve">1997 </w:t>
      </w:r>
      <w:r>
        <w:t xml:space="preserve">年以后。而明珠厂生产出反光涂料的时间是在 </w:t>
      </w:r>
      <w:r>
        <w:rPr>
          <w:rFonts w:ascii="Times New Roman" w:eastAsia="Times New Roman" w:hAnsi="Times New Roman"/>
        </w:rPr>
        <w:t xml:space="preserve">1996 </w:t>
      </w:r>
      <w:r>
        <w:t xml:space="preserve">年 </w:t>
      </w:r>
      <w:r>
        <w:rPr>
          <w:rFonts w:ascii="Times New Roman" w:eastAsia="Times New Roman" w:hAnsi="Times New Roman"/>
        </w:rPr>
        <w:t xml:space="preserve">12 </w:t>
      </w:r>
      <w:r>
        <w:t>月</w:t>
      </w:r>
      <w:r>
        <w:rPr>
          <w:rFonts w:ascii="黑体" w:eastAsia="黑体" w:hAnsi="黑体"/>
        </w:rPr>
        <w:t>，</w:t>
      </w:r>
      <w:r>
        <w:t>而当时王某尚</w:t>
      </w:r>
      <w:r>
        <w:rPr>
          <w:spacing w:val="-2"/>
        </w:rPr>
        <w:t>在银海公司</w:t>
      </w:r>
      <w:r>
        <w:rPr>
          <w:rFonts w:ascii="黑体" w:eastAsia="黑体" w:hAnsi="黑体"/>
          <w:spacing w:val="-2"/>
        </w:rPr>
        <w:t>，</w:t>
      </w:r>
      <w:r>
        <w:rPr>
          <w:spacing w:val="-2"/>
        </w:rPr>
        <w:t>张某虽离开了银海公司</w:t>
      </w:r>
      <w:r>
        <w:rPr>
          <w:rFonts w:ascii="黑体" w:eastAsia="黑体" w:hAnsi="黑体"/>
          <w:spacing w:val="-2"/>
        </w:rPr>
        <w:t>，</w:t>
      </w:r>
      <w:r>
        <w:rPr>
          <w:spacing w:val="-2"/>
        </w:rPr>
        <w:t>但没有证据证明到了明珠厂。明珠厂合伙人曾在上海春源化妆品厂一分厂工作</w:t>
      </w:r>
      <w:r>
        <w:rPr>
          <w:rFonts w:ascii="黑体" w:eastAsia="黑体" w:hAnsi="黑体"/>
          <w:spacing w:val="-2"/>
        </w:rPr>
        <w:t>，</w:t>
      </w:r>
      <w:r>
        <w:rPr>
          <w:spacing w:val="-2"/>
        </w:rPr>
        <w:t>而上海春源化妆品厂一分厂曾为银海公司进行反光涂料的罐装</w:t>
      </w:r>
      <w:r>
        <w:rPr>
          <w:rFonts w:ascii="黑体" w:eastAsia="黑体" w:hAnsi="黑体"/>
          <w:spacing w:val="-2"/>
        </w:rPr>
        <w:t>；</w:t>
      </w:r>
      <w:r>
        <w:rPr>
          <w:spacing w:val="-2"/>
        </w:rPr>
        <w:t>反光涂料的生产技术比较简单</w:t>
      </w:r>
      <w:r>
        <w:rPr>
          <w:rFonts w:ascii="黑体" w:eastAsia="黑体" w:hAnsi="黑体"/>
          <w:spacing w:val="-2"/>
        </w:rPr>
        <w:t>，</w:t>
      </w:r>
      <w:r>
        <w:rPr>
          <w:spacing w:val="-2"/>
        </w:rPr>
        <w:t>只是三种原料的混合</w:t>
      </w:r>
      <w:r>
        <w:rPr>
          <w:rFonts w:ascii="黑体" w:eastAsia="黑体" w:hAnsi="黑体"/>
          <w:spacing w:val="-2"/>
        </w:rPr>
        <w:t>；</w:t>
      </w:r>
      <w:r>
        <w:rPr>
          <w:spacing w:val="-2"/>
        </w:rPr>
        <w:t>王某、张某到明珠厂后从事的是销售工作而不是技术工作。我们虽然可以适当降低权利人的证明标准</w:t>
      </w:r>
      <w:r>
        <w:rPr>
          <w:rFonts w:ascii="黑体" w:eastAsia="黑体" w:hAnsi="黑体"/>
          <w:spacing w:val="-2"/>
        </w:rPr>
        <w:t>，</w:t>
      </w:r>
      <w:r>
        <w:rPr>
          <w:spacing w:val="-2"/>
        </w:rPr>
        <w:t>但其举证必须达到足以让法官相信的程度才可以作出认定。显然</w:t>
      </w:r>
      <w:r>
        <w:rPr>
          <w:rFonts w:ascii="黑体" w:eastAsia="黑体" w:hAnsi="黑体"/>
          <w:spacing w:val="-2"/>
        </w:rPr>
        <w:t>，</w:t>
      </w:r>
      <w:r>
        <w:rPr>
          <w:spacing w:val="-2"/>
        </w:rPr>
        <w:t>从银海公司的举证情况并结合本案的其他情况看</w:t>
      </w:r>
      <w:r>
        <w:rPr>
          <w:rFonts w:ascii="黑体" w:eastAsia="黑体" w:hAnsi="黑体"/>
          <w:spacing w:val="-2"/>
        </w:rPr>
        <w:t>，</w:t>
      </w:r>
      <w:r>
        <w:rPr>
          <w:spacing w:val="-2"/>
        </w:rPr>
        <w:t>不能让人确信明珠厂通过利诱王某、张某获得反光涂料的生产技术。所以</w:t>
      </w:r>
      <w:r>
        <w:rPr>
          <w:rFonts w:ascii="黑体" w:eastAsia="黑体" w:hAnsi="黑体"/>
          <w:spacing w:val="-2"/>
        </w:rPr>
        <w:t>，</w:t>
      </w:r>
      <w:r>
        <w:rPr>
          <w:spacing w:val="-2"/>
        </w:rPr>
        <w:t>明珠厂、王某、张某的行为不构成侵犯银海公司的商业秘密的行为。</w:t>
      </w:r>
    </w:p>
    <w:p>
      <w:pPr>
        <w:pStyle w:val="BodyText"/>
        <w:spacing w:before="3" w:line="223" w:lineRule="auto"/>
        <w:ind w:right="108"/>
      </w:pPr>
      <w:r>
        <w:t>（</w:t>
      </w:r>
      <w:r>
        <w:rPr>
          <w:rFonts w:ascii="Times New Roman" w:eastAsia="Times New Roman"/>
        </w:rPr>
        <w:t>2</w:t>
      </w:r>
      <w:r>
        <w:t xml:space="preserve">）我国对商业秘密保护的规定见于我国《反不正当竞争法》第 </w:t>
      </w:r>
      <w:r>
        <w:rPr>
          <w:rFonts w:ascii="Times New Roman" w:eastAsia="Times New Roman"/>
        </w:rPr>
        <w:t xml:space="preserve">10 </w:t>
      </w:r>
      <w:r>
        <w:t>条的规定。该条规定了四种类型</w:t>
      </w:r>
      <w:r>
        <w:rPr>
          <w:spacing w:val="-2"/>
        </w:rPr>
        <w:t>的侵害商业秘密的行为</w:t>
      </w:r>
      <w:r>
        <w:rPr>
          <w:rFonts w:ascii="黑体" w:eastAsia="黑体"/>
          <w:spacing w:val="-2"/>
        </w:rPr>
        <w:t>，</w:t>
      </w:r>
      <w:r>
        <w:rPr>
          <w:spacing w:val="-2"/>
        </w:rPr>
        <w:t>其中第三种是违约行为</w:t>
      </w:r>
      <w:r>
        <w:rPr>
          <w:rFonts w:ascii="黑体" w:eastAsia="黑体"/>
          <w:spacing w:val="-2"/>
        </w:rPr>
        <w:t>，</w:t>
      </w:r>
      <w:r>
        <w:rPr>
          <w:spacing w:val="-2"/>
        </w:rPr>
        <w:t>其他都是侵权行为</w:t>
      </w:r>
      <w:r>
        <w:rPr>
          <w:rFonts w:ascii="黑体" w:eastAsia="黑体"/>
          <w:spacing w:val="-2"/>
        </w:rPr>
        <w:t>，</w:t>
      </w:r>
      <w:r>
        <w:rPr>
          <w:spacing w:val="-2"/>
        </w:rPr>
        <w:t>而第三种又存在违约责任和侵权责</w:t>
      </w:r>
      <w:r>
        <w:rPr>
          <w:spacing w:val="-4"/>
        </w:rPr>
        <w:t>任的竞合</w:t>
      </w:r>
      <w:r>
        <w:rPr>
          <w:rFonts w:ascii="黑体" w:eastAsia="黑体"/>
          <w:spacing w:val="-4"/>
        </w:rPr>
        <w:t>，</w:t>
      </w:r>
      <w:r>
        <w:rPr>
          <w:spacing w:val="-4"/>
        </w:rPr>
        <w:t>当事人可以以侵权为由进行诉讼。因此</w:t>
      </w:r>
      <w:r>
        <w:rPr>
          <w:rFonts w:ascii="黑体" w:eastAsia="黑体"/>
          <w:spacing w:val="-4"/>
        </w:rPr>
        <w:t>，</w:t>
      </w:r>
      <w:r>
        <w:rPr>
          <w:spacing w:val="-4"/>
        </w:rPr>
        <w:t>在侵害商业秘密案件中</w:t>
      </w:r>
      <w:r>
        <w:rPr>
          <w:rFonts w:ascii="黑体" w:eastAsia="黑体"/>
          <w:spacing w:val="-4"/>
        </w:rPr>
        <w:t>，</w:t>
      </w:r>
      <w:r>
        <w:rPr>
          <w:spacing w:val="-4"/>
        </w:rPr>
        <w:t>大部分是以侵权为由提起的。</w:t>
      </w:r>
      <w:r>
        <w:rPr>
          <w:spacing w:val="-2"/>
        </w:rPr>
        <w:t>应按当事人起诉的案由</w:t>
      </w:r>
      <w:r>
        <w:rPr>
          <w:rFonts w:ascii="黑体" w:eastAsia="黑体"/>
          <w:spacing w:val="-2"/>
        </w:rPr>
        <w:t>，</w:t>
      </w:r>
      <w:r>
        <w:rPr>
          <w:spacing w:val="-2"/>
        </w:rPr>
        <w:t>按法律的规定确定商业秘密诉讼中证明责任的分配。本案只探讨商业秘密侵权纠</w:t>
      </w:r>
      <w:r>
        <w:t xml:space="preserve">纷中证明责任的分配。《反不正当竞争法》第 </w:t>
      </w:r>
      <w:r>
        <w:rPr>
          <w:rFonts w:ascii="Times New Roman" w:eastAsia="Times New Roman"/>
        </w:rPr>
        <w:t xml:space="preserve">10 </w:t>
      </w:r>
      <w:r>
        <w:t>条规定中并没有证明责任分配的规定</w:t>
      </w:r>
      <w:r>
        <w:rPr>
          <w:rFonts w:ascii="黑体" w:eastAsia="黑体"/>
        </w:rPr>
        <w:t>，</w:t>
      </w:r>
      <w:r>
        <w:t>其他法律和司法</w:t>
      </w:r>
      <w:r>
        <w:rPr>
          <w:spacing w:val="-2"/>
        </w:rPr>
        <w:t>解释中也不存在商业秘密侵权纠纷中证明责任分配的规定。我们应当按照一般侵权纠纷案件中证明责任的规则分配证明责任。也就是说</w:t>
      </w:r>
      <w:r>
        <w:rPr>
          <w:rFonts w:ascii="黑体" w:eastAsia="黑体"/>
          <w:spacing w:val="-2"/>
        </w:rPr>
        <w:t>，</w:t>
      </w:r>
      <w:r>
        <w:rPr>
          <w:spacing w:val="-2"/>
        </w:rPr>
        <w:t>由原告负责证明被告应承担侵权责任的要件</w:t>
      </w:r>
      <w:r>
        <w:rPr>
          <w:rFonts w:ascii="黑体" w:eastAsia="黑体"/>
          <w:spacing w:val="-2"/>
        </w:rPr>
        <w:t>，</w:t>
      </w:r>
      <w:r>
        <w:rPr>
          <w:spacing w:val="-2"/>
        </w:rPr>
        <w:t>被告否定其侵权责任时</w:t>
      </w:r>
      <w:r>
        <w:rPr>
          <w:rFonts w:ascii="黑体" w:eastAsia="黑体"/>
          <w:spacing w:val="-2"/>
        </w:rPr>
        <w:t>，</w:t>
      </w:r>
      <w:r>
        <w:rPr>
          <w:spacing w:val="-2"/>
        </w:rPr>
        <w:t>由被告负证明责任。具体来说</w:t>
      </w:r>
      <w:r>
        <w:rPr>
          <w:rFonts w:ascii="黑体" w:eastAsia="黑体"/>
          <w:spacing w:val="-2"/>
        </w:rPr>
        <w:t>，</w:t>
      </w:r>
      <w:r>
        <w:rPr>
          <w:spacing w:val="-2"/>
        </w:rPr>
        <w:t>原告应负责证明以下事实：原告具有商业秘密</w:t>
      </w:r>
      <w:r>
        <w:rPr>
          <w:rFonts w:ascii="黑体" w:eastAsia="黑体"/>
          <w:spacing w:val="-2"/>
        </w:rPr>
        <w:t>；</w:t>
      </w:r>
      <w:r>
        <w:rPr>
          <w:spacing w:val="-2"/>
        </w:rPr>
        <w:t>被告实施了《反不正当幕争法》规定的侵害其商业秘密的行为</w:t>
      </w:r>
      <w:r>
        <w:rPr>
          <w:rFonts w:ascii="黑体" w:eastAsia="黑体"/>
          <w:spacing w:val="-2"/>
        </w:rPr>
        <w:t>；</w:t>
      </w:r>
      <w:r>
        <w:rPr>
          <w:spacing w:val="-2"/>
        </w:rPr>
        <w:t>被告具有过错</w:t>
      </w:r>
      <w:r>
        <w:rPr>
          <w:rFonts w:ascii="黑体" w:eastAsia="黑体"/>
          <w:spacing w:val="-2"/>
        </w:rPr>
        <w:t>；</w:t>
      </w:r>
      <w:r>
        <w:rPr>
          <w:spacing w:val="-2"/>
        </w:rPr>
        <w:t>被告的行为给原告造成了损害</w:t>
      </w:r>
      <w:r>
        <w:rPr>
          <w:rFonts w:ascii="黑体" w:eastAsia="黑体"/>
          <w:spacing w:val="-2"/>
        </w:rPr>
        <w:t>；</w:t>
      </w:r>
      <w:r>
        <w:rPr>
          <w:spacing w:val="-2"/>
        </w:rPr>
        <w:t>被告侵害商业秘密的</w:t>
      </w:r>
    </w:p>
    <w:p>
      <w:pPr>
        <w:spacing w:after="0" w:line="223" w:lineRule="auto"/>
        <w:sectPr>
          <w:headerReference w:type="default" r:id="rId21"/>
          <w:footerReference w:type="default" r:id="rId22"/>
          <w:pgSz w:w="11910" w:h="16840"/>
          <w:pgMar w:top="1460" w:right="920" w:bottom="820" w:left="1000" w:header="567" w:footer="633" w:gutter="0"/>
          <w:pgNumType w:start="11"/>
          <w:cols w:num="1" w:space="720"/>
        </w:sectPr>
      </w:pPr>
    </w:p>
    <w:p>
      <w:pPr>
        <w:pStyle w:val="BodyText"/>
        <w:spacing w:before="14" w:line="223" w:lineRule="auto"/>
        <w:ind w:right="192" w:firstLine="0"/>
        <w:jc w:val="both"/>
      </w:pPr>
      <w:r>
        <w:rPr>
          <w:spacing w:val="-2"/>
        </w:rPr>
        <w:t>行为与原告的损害具有因果关系。其中最主要的方面是证明被告实施了侵害商业秘密的行为。而到本案来讲</w:t>
      </w:r>
      <w:r>
        <w:rPr>
          <w:rFonts w:ascii="黑体" w:eastAsia="黑体"/>
          <w:spacing w:val="-2"/>
        </w:rPr>
        <w:t>，</w:t>
      </w:r>
      <w:r>
        <w:rPr>
          <w:spacing w:val="-2"/>
        </w:rPr>
        <w:t>原告应承担证明责任。一般情况下</w:t>
      </w:r>
      <w:r>
        <w:rPr>
          <w:rFonts w:ascii="黑体" w:eastAsia="黑体"/>
          <w:spacing w:val="-2"/>
        </w:rPr>
        <w:t>，</w:t>
      </w:r>
      <w:r>
        <w:rPr>
          <w:spacing w:val="-2"/>
        </w:rPr>
        <w:t>原告可以证明其掌握商业秘密的职工跳槽到了被告单位</w:t>
      </w:r>
      <w:r>
        <w:rPr>
          <w:rFonts w:ascii="黑体" w:eastAsia="黑体"/>
          <w:spacing w:val="-2"/>
        </w:rPr>
        <w:t>，</w:t>
      </w:r>
      <w:r>
        <w:rPr>
          <w:spacing w:val="-2"/>
        </w:rPr>
        <w:t>从此以后</w:t>
      </w:r>
      <w:r>
        <w:rPr>
          <w:rFonts w:ascii="黑体" w:eastAsia="黑体"/>
          <w:spacing w:val="-2"/>
        </w:rPr>
        <w:t>，</w:t>
      </w:r>
      <w:r>
        <w:rPr>
          <w:spacing w:val="-2"/>
        </w:rPr>
        <w:t>被告单位的生产和经营活动已经或者极似使用了原告的商业秘密。根据一般的经验</w:t>
      </w:r>
      <w:r>
        <w:rPr>
          <w:rFonts w:ascii="黑体" w:eastAsia="黑体"/>
          <w:spacing w:val="-2"/>
        </w:rPr>
        <w:t>，</w:t>
      </w:r>
      <w:r>
        <w:rPr>
          <w:spacing w:val="-2"/>
        </w:rPr>
        <w:t>在这种情况下</w:t>
      </w:r>
      <w:r>
        <w:rPr>
          <w:rFonts w:ascii="黑体" w:eastAsia="黑体"/>
          <w:spacing w:val="-2"/>
        </w:rPr>
        <w:t>，</w:t>
      </w:r>
      <w:r>
        <w:rPr>
          <w:spacing w:val="-2"/>
        </w:rPr>
        <w:t>被告单位使用了跳槽职工带去的商业秘密的可能性很大</w:t>
      </w:r>
      <w:r>
        <w:rPr>
          <w:rFonts w:ascii="黑体" w:eastAsia="黑体"/>
          <w:spacing w:val="-2"/>
        </w:rPr>
        <w:t>，</w:t>
      </w:r>
      <w:r>
        <w:rPr>
          <w:spacing w:val="-2"/>
        </w:rPr>
        <w:t>故一般可以认定被告单位取得和使用了原告的商业秘密</w:t>
      </w:r>
      <w:r>
        <w:rPr>
          <w:rFonts w:ascii="黑体" w:eastAsia="黑体"/>
          <w:spacing w:val="-2"/>
        </w:rPr>
        <w:t>，</w:t>
      </w:r>
      <w:r>
        <w:rPr>
          <w:spacing w:val="-2"/>
        </w:rPr>
        <w:t>也就是说</w:t>
      </w:r>
      <w:r>
        <w:rPr>
          <w:rFonts w:ascii="黑体" w:eastAsia="黑体"/>
          <w:spacing w:val="-2"/>
        </w:rPr>
        <w:t>，</w:t>
      </w:r>
      <w:r>
        <w:rPr>
          <w:spacing w:val="-2"/>
        </w:rPr>
        <w:t>这时原告的证明标准适当降低了。</w:t>
      </w:r>
    </w:p>
    <w:p>
      <w:pPr>
        <w:spacing w:after="0" w:line="223"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https://d.book118.com/468112014032006027</w:t>
        </w:r>
      </w:hyperlink>
    </w:p>
    <w:p>
      <w:pPr>
        <w:spacing w:after="0" w:line="223" w:lineRule="auto"/>
        <w:jc w:val="both"/>
      </w:pPr>
    </w:p>
    <w:sectPr>
      <w:headerReference w:type="default" r:id="rId24"/>
      <w:footerReference w:type="default" r:id="rId25"/>
      <w:pgSz w:w="11910" w:h="16840"/>
      <w:pgMar w:top="1460" w:right="920" w:bottom="820" w:left="1000" w:header="567" w:footer="633" w:gutter="0"/>
      <w:pgNumType w:start="1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Yu Gothic">
    <w:panose1 w:val="020B0400000000000000"/>
    <w:charset w:val="80"/>
    <w:family w:val="swiss"/>
    <w:pitch w:val="default"/>
    <w:sig w:usb0="E00002FF" w:usb1="2AC7FDFF" w:usb2="00000016" w:usb3="00000000" w:csb0="2002009F" w:csb1="00000000"/>
  </w:font>
  <w:font w:name="Malgun Gothic">
    <w:panose1 w:val="020B0503020000020004"/>
    <w:charset w:val="81"/>
    <w:family w:val="swiss"/>
    <w:pitch w:val="default"/>
    <w:sig w:usb0="9000002F" w:usb1="29D77CFB" w:usb2="00000012" w:usb3="00000000" w:csb0="0008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50" type="#_x0000_t202" style="width:83pt;height:13.9pt;margin-top:799.25pt;margin-left:256.15pt;mso-height-relative:page;mso-position-horizontal-relative:page;mso-position-vertical-relative:page;mso-width-relative:page;position:absolute;z-index:-251658240"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52" type="#_x0000_t202" style="width:83pt;height:13.9pt;margin-top:799.25pt;margin-left:256.15pt;mso-height-relative:page;mso-position-horizontal-relative:page;mso-position-vertical-relative:page;mso-width-relative:page;position:absolute;z-index:-251657216"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4</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54" type="#_x0000_t202" style="width:83pt;height:13.9pt;margin-top:799.25pt;margin-left:256.15pt;mso-height-relative:page;mso-position-horizontal-relative:page;mso-position-vertical-relative:page;mso-width-relative:page;position:absolute;z-index:-251656192"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56" type="#_x0000_t202" style="width:83pt;height:13.9pt;margin-top:799.25pt;margin-left:256.15pt;mso-height-relative:page;mso-position-horizontal-relative:page;mso-position-vertical-relative:page;mso-width-relative:page;position:absolute;z-index:-251655168"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6</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58" type="#_x0000_t202" style="width:83pt;height:13.9pt;margin-top:799.25pt;margin-left:256.15pt;mso-height-relative:page;mso-position-horizontal-relative:page;mso-position-vertical-relative:page;mso-width-relative:page;position:absolute;z-index:-251654144"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7</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60" type="#_x0000_t202" style="width:83pt;height:13.9pt;margin-top:799.25pt;margin-left:256.15pt;mso-height-relative:page;mso-position-horizontal-relative:page;mso-position-vertical-relative:page;mso-width-relative:page;position:absolute;z-index:-251653120"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8</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62" type="#_x0000_t202" style="width:83pt;height:13.9pt;margin-top:799.25pt;margin-left:256.15pt;mso-height-relative:page;mso-position-horizontal-relative:page;mso-position-vertical-relative:page;mso-width-relative:page;position:absolute;z-index:-251652096"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9</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64" type="#_x0000_t202" style="width:83pt;height:13.9pt;margin-top:799.25pt;margin-left:256.15pt;mso-height-relative:page;mso-position-horizontal-relative:page;mso-position-vertical-relative:page;mso-width-relative:page;position:absolute;z-index:-251651072"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66" type="#_x0000_t202" style="width:83pt;height:13.9pt;margin-top:799.25pt;margin-left:256.15pt;mso-height-relative:page;mso-position-horizontal-relative:page;mso-position-vertical-relative:page;mso-width-relative:page;position:absolute;z-index:-251650048"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11</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shapetype id="_x0000_t202" coordsize="21600,21600" o:spt="202" path="m,l,21600r21600,l21600,xe">
          <v:stroke joinstyle="miter"/>
          <v:path gradientshapeok="t" o:connecttype="rect"/>
        </v:shapetype>
        <v:shape id="docshape2" o:spid="_x0000_s2068" type="#_x0000_t202" style="width:83pt;height:13.9pt;margin-top:799.25pt;margin-left:256.15pt;mso-height-relative:page;mso-position-horizontal-relative:page;mso-position-vertical-relative:page;mso-width-relative:page;position:absolute;z-index:-251649024" coordsize="21600,21600" filled="f" stroked="f">
          <v:stroke joinstyle="miter"/>
          <v:textbox inset="0,0,0,0">
            <w:txbxContent>
              <w:p>
                <w:pPr>
                  <w:spacing w:before="0" w:line="278" w:lineRule="exact"/>
                  <w:ind w:left="20" w:right="0" w:firstLine="0"/>
                  <w:jc w:val="left"/>
                  <w:rPr>
                    <w:sz w:val="18"/>
                  </w:rPr>
                </w:pPr>
                <w:r>
                  <w:rPr>
                    <w:spacing w:val="18"/>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12</w:t>
                </w:r>
                <w:r>
                  <w:rPr>
                    <w:rFonts w:ascii="Times New Roman" w:eastAsia="Times New Roman"/>
                    <w:sz w:val="18"/>
                  </w:rPr>
                  <w:fldChar w:fldCharType="end"/>
                </w:r>
                <w:r>
                  <w:rPr>
                    <w:rFonts w:ascii="Times New Roman" w:eastAsia="Times New Roman"/>
                    <w:spacing w:val="45"/>
                    <w:sz w:val="18"/>
                  </w:rPr>
                  <w:t xml:space="preserve"> </w:t>
                </w:r>
                <w:r>
                  <w:rPr>
                    <w:sz w:val="18"/>
                  </w:rPr>
                  <w:t>页</w:t>
                </w:r>
                <w:r>
                  <w:rPr>
                    <w:rFonts w:ascii="黑体" w:eastAsia="黑体"/>
                    <w:sz w:val="18"/>
                  </w:rPr>
                  <w:t>，</w:t>
                </w:r>
                <w:r>
                  <w:rPr>
                    <w:spacing w:val="18"/>
                    <w:sz w:val="18"/>
                  </w:rPr>
                  <w:t xml:space="preserve">共 </w:t>
                </w:r>
                <w:r>
                  <w:rPr>
                    <w:rFonts w:ascii="Times New Roman" w:eastAsia="Times New Roman"/>
                    <w:sz w:val="18"/>
                  </w:rPr>
                  <w:t>25</w:t>
                </w:r>
                <w:r>
                  <w:rPr>
                    <w:rFonts w:ascii="Times New Roman" w:eastAsia="Times New Roman"/>
                    <w:spacing w:val="45"/>
                    <w:sz w:val="18"/>
                  </w:rPr>
                  <w:t xml:space="preserve"> </w:t>
                </w:r>
                <w:r>
                  <w:rPr>
                    <w:spacing w:val="-10"/>
                    <w:sz w:val="18"/>
                  </w:rPr>
                  <w:t>页</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49" style="mso-height-relative:page;mso-position-horizontal-relative:page;mso-position-vertical-relative:page;mso-width-relative:page;position:absolute;z-index:-251658240" from="55.25pt,73.05pt" to="540.05pt,73.05pt" coordsize="21600,21600" stroked="t" strokecolor="black"/>
      </w:pict>
    </w:r>
    <w:bookmarkStart w:id="0" w:name="_GoBack"/>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51" style="mso-height-relative:page;mso-position-horizontal-relative:page;mso-position-vertical-relative:page;mso-width-relative:page;position:absolute;z-index:-251657216" from="55.25pt,73.05pt" to="540.05pt,73.05pt" coordsize="21600,21600" stroked="t" strokecolor="black"/>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53" style="mso-height-relative:page;mso-position-horizontal-relative:page;mso-position-vertical-relative:page;mso-width-relative:page;position:absolute;z-index:-251656192" from="55.25pt,73.05pt" to="540.05pt,73.05pt" coordsize="21600,21600" stroked="t" strokecolor="black"/>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55" style="mso-height-relative:page;mso-position-horizontal-relative:page;mso-position-vertical-relative:page;mso-width-relative:page;position:absolute;z-index:-251655168" from="55.25pt,73.05pt" to="540.05pt,73.05pt" coordsize="21600,21600" stroked="t" strokecolor="black"/>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57" style="mso-height-relative:page;mso-position-horizontal-relative:page;mso-position-vertical-relative:page;mso-width-relative:page;position:absolute;z-index:-251654144" from="55.25pt,73.05pt" to="540.05pt,73.05pt" coordsize="21600,21600" stroked="t" strokecolor="black"/>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59" style="mso-height-relative:page;mso-position-horizontal-relative:page;mso-position-vertical-relative:page;mso-width-relative:page;position:absolute;z-index:-251653120" from="55.25pt,73.05pt" to="540.05pt,73.05pt" coordsize="21600,21600" stroked="t" strokecolor="black"/>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61" style="mso-height-relative:page;mso-position-horizontal-relative:page;mso-position-vertical-relative:page;mso-width-relative:page;position:absolute;z-index:-251652096" from="55.25pt,73.05pt" to="540.05pt,73.05pt" coordsize="21600,21600" stroked="t" strokecolor="black"/>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63" style="mso-height-relative:page;mso-position-horizontal-relative:page;mso-position-vertical-relative:page;mso-width-relative:page;position:absolute;z-index:-251651072" from="55.25pt,73.05pt" to="540.05pt,73.05pt" coordsize="21600,21600" stroked="t" strokecolor="black"/>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65" style="mso-height-relative:page;mso-position-horizontal-relative:page;mso-position-vertical-relative:page;mso-width-relative:page;position:absolute;z-index:-251650048" from="55.25pt,73.05pt" to="540.05pt,73.05pt" coordsize="21600,21600" stroked="t" strokecolor="black"/>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firstLine="0"/>
      <w:rPr>
        <w:sz w:val="20"/>
      </w:rPr>
    </w:pPr>
    <w:r>
      <w:pict>
        <v:line id="_x0000_s2049" o:spid="_x0000_s2067" style="mso-height-relative:page;mso-position-horizontal-relative:page;mso-position-vertical-relative:page;mso-width-relative:page;position:absolute;z-index:-251649024" from="55.25pt,73.05pt" to="540.05pt,73.05pt" coordsize="21600,21600" stroked="t" strokecolor="black"/>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5E306ED"/>
    <w:multiLevelType w:val="multilevel"/>
    <w:tmpl w:val="B5E306ED"/>
    <w:lvl w:ilvl="0">
      <w:start w:val="2"/>
      <w:numFmt w:val="decimal"/>
      <w:lvlText w:val="（%1）"/>
      <w:lvlJc w:val="left"/>
      <w:pPr>
        <w:ind w:left="1080" w:hanging="526"/>
        <w:jc w:val="left"/>
      </w:pPr>
      <w:rPr>
        <w:rFonts w:ascii="微软雅黑" w:eastAsia="微软雅黑" w:hAnsi="微软雅黑" w:cs="微软雅黑" w:hint="default"/>
        <w:b w:val="0"/>
        <w:bCs w:val="0"/>
        <w:i w:val="0"/>
        <w:iCs w:val="0"/>
        <w:w w:val="100"/>
        <w:sz w:val="19"/>
        <w:szCs w:val="19"/>
        <w:lang w:val="en-US" w:eastAsia="zh-CN" w:bidi="ar-SA"/>
      </w:rPr>
    </w:lvl>
    <w:lvl w:ilvl="1">
      <w:start w:val="0"/>
      <w:numFmt w:val="bullet"/>
      <w:lvlText w:val="•"/>
      <w:lvlJc w:val="left"/>
      <w:pPr>
        <w:ind w:left="1970" w:hanging="526"/>
      </w:pPr>
      <w:rPr>
        <w:rFonts w:hint="default"/>
        <w:lang w:val="en-US" w:eastAsia="zh-CN" w:bidi="ar-SA"/>
      </w:rPr>
    </w:lvl>
    <w:lvl w:ilvl="2">
      <w:start w:val="0"/>
      <w:numFmt w:val="bullet"/>
      <w:lvlText w:val="•"/>
      <w:lvlJc w:val="left"/>
      <w:pPr>
        <w:ind w:left="2861" w:hanging="526"/>
      </w:pPr>
      <w:rPr>
        <w:rFonts w:hint="default"/>
        <w:lang w:val="en-US" w:eastAsia="zh-CN" w:bidi="ar-SA"/>
      </w:rPr>
    </w:lvl>
    <w:lvl w:ilvl="3">
      <w:start w:val="0"/>
      <w:numFmt w:val="bullet"/>
      <w:lvlText w:val="•"/>
      <w:lvlJc w:val="left"/>
      <w:pPr>
        <w:ind w:left="3752" w:hanging="526"/>
      </w:pPr>
      <w:rPr>
        <w:rFonts w:hint="default"/>
        <w:lang w:val="en-US" w:eastAsia="zh-CN" w:bidi="ar-SA"/>
      </w:rPr>
    </w:lvl>
    <w:lvl w:ilvl="4">
      <w:start w:val="0"/>
      <w:numFmt w:val="bullet"/>
      <w:lvlText w:val="•"/>
      <w:lvlJc w:val="left"/>
      <w:pPr>
        <w:ind w:left="4642" w:hanging="526"/>
      </w:pPr>
      <w:rPr>
        <w:rFonts w:hint="default"/>
        <w:lang w:val="en-US" w:eastAsia="zh-CN" w:bidi="ar-SA"/>
      </w:rPr>
    </w:lvl>
    <w:lvl w:ilvl="5">
      <w:start w:val="0"/>
      <w:numFmt w:val="bullet"/>
      <w:lvlText w:val="•"/>
      <w:lvlJc w:val="left"/>
      <w:pPr>
        <w:ind w:left="5533" w:hanging="526"/>
      </w:pPr>
      <w:rPr>
        <w:rFonts w:hint="default"/>
        <w:lang w:val="en-US" w:eastAsia="zh-CN" w:bidi="ar-SA"/>
      </w:rPr>
    </w:lvl>
    <w:lvl w:ilvl="6">
      <w:start w:val="0"/>
      <w:numFmt w:val="bullet"/>
      <w:lvlText w:val="•"/>
      <w:lvlJc w:val="left"/>
      <w:pPr>
        <w:ind w:left="6424" w:hanging="526"/>
      </w:pPr>
      <w:rPr>
        <w:rFonts w:hint="default"/>
        <w:lang w:val="en-US" w:eastAsia="zh-CN" w:bidi="ar-SA"/>
      </w:rPr>
    </w:lvl>
    <w:lvl w:ilvl="7">
      <w:start w:val="0"/>
      <w:numFmt w:val="bullet"/>
      <w:lvlText w:val="•"/>
      <w:lvlJc w:val="left"/>
      <w:pPr>
        <w:ind w:left="7314" w:hanging="526"/>
      </w:pPr>
      <w:rPr>
        <w:rFonts w:hint="default"/>
        <w:lang w:val="en-US" w:eastAsia="zh-CN" w:bidi="ar-SA"/>
      </w:rPr>
    </w:lvl>
    <w:lvl w:ilvl="8">
      <w:start w:val="0"/>
      <w:numFmt w:val="bullet"/>
      <w:lvlText w:val="•"/>
      <w:lvlJc w:val="left"/>
      <w:pPr>
        <w:ind w:left="8205" w:hanging="526"/>
      </w:pPr>
      <w:rPr>
        <w:rFonts w:hint="default"/>
        <w:lang w:val="en-US" w:eastAsia="zh-CN" w:bidi="ar-SA"/>
      </w:rPr>
    </w:lvl>
  </w:abstractNum>
  <w:abstractNum w:abstractNumId="1">
    <w:nsid w:val="BF205925"/>
    <w:multiLevelType w:val="multilevel"/>
    <w:tmpl w:val="BF205925"/>
    <w:lvl w:ilvl="0">
      <w:start w:val="1"/>
      <w:numFmt w:val="decimal"/>
      <w:lvlText w:val="%1."/>
      <w:lvlJc w:val="left"/>
      <w:pPr>
        <w:ind w:left="55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080" w:hanging="526"/>
        <w:jc w:val="left"/>
      </w:pPr>
      <w:rPr>
        <w:rFonts w:ascii="微软雅黑" w:eastAsia="微软雅黑" w:hAnsi="微软雅黑" w:cs="微软雅黑" w:hint="default"/>
        <w:b w:val="0"/>
        <w:bCs w:val="0"/>
        <w:i w:val="0"/>
        <w:iCs w:val="0"/>
        <w:w w:val="100"/>
        <w:sz w:val="19"/>
        <w:szCs w:val="19"/>
        <w:lang w:val="en-US" w:eastAsia="zh-CN" w:bidi="ar-SA"/>
      </w:rPr>
    </w:lvl>
    <w:lvl w:ilvl="2">
      <w:start w:val="0"/>
      <w:numFmt w:val="bullet"/>
      <w:lvlText w:val="•"/>
      <w:lvlJc w:val="left"/>
      <w:pPr>
        <w:ind w:left="2069" w:hanging="526"/>
      </w:pPr>
      <w:rPr>
        <w:rFonts w:hint="default"/>
        <w:lang w:val="en-US" w:eastAsia="zh-CN" w:bidi="ar-SA"/>
      </w:rPr>
    </w:lvl>
    <w:lvl w:ilvl="3">
      <w:start w:val="0"/>
      <w:numFmt w:val="bullet"/>
      <w:lvlText w:val="•"/>
      <w:lvlJc w:val="left"/>
      <w:pPr>
        <w:ind w:left="3059" w:hanging="526"/>
      </w:pPr>
      <w:rPr>
        <w:rFonts w:hint="default"/>
        <w:lang w:val="en-US" w:eastAsia="zh-CN" w:bidi="ar-SA"/>
      </w:rPr>
    </w:lvl>
    <w:lvl w:ilvl="4">
      <w:start w:val="0"/>
      <w:numFmt w:val="bullet"/>
      <w:lvlText w:val="•"/>
      <w:lvlJc w:val="left"/>
      <w:pPr>
        <w:ind w:left="4049" w:hanging="526"/>
      </w:pPr>
      <w:rPr>
        <w:rFonts w:hint="default"/>
        <w:lang w:val="en-US" w:eastAsia="zh-CN" w:bidi="ar-SA"/>
      </w:rPr>
    </w:lvl>
    <w:lvl w:ilvl="5">
      <w:start w:val="0"/>
      <w:numFmt w:val="bullet"/>
      <w:lvlText w:val="•"/>
      <w:lvlJc w:val="left"/>
      <w:pPr>
        <w:ind w:left="5038" w:hanging="526"/>
      </w:pPr>
      <w:rPr>
        <w:rFonts w:hint="default"/>
        <w:lang w:val="en-US" w:eastAsia="zh-CN" w:bidi="ar-SA"/>
      </w:rPr>
    </w:lvl>
    <w:lvl w:ilvl="6">
      <w:start w:val="0"/>
      <w:numFmt w:val="bullet"/>
      <w:lvlText w:val="•"/>
      <w:lvlJc w:val="left"/>
      <w:pPr>
        <w:ind w:left="6028" w:hanging="526"/>
      </w:pPr>
      <w:rPr>
        <w:rFonts w:hint="default"/>
        <w:lang w:val="en-US" w:eastAsia="zh-CN" w:bidi="ar-SA"/>
      </w:rPr>
    </w:lvl>
    <w:lvl w:ilvl="7">
      <w:start w:val="0"/>
      <w:numFmt w:val="bullet"/>
      <w:lvlText w:val="•"/>
      <w:lvlJc w:val="left"/>
      <w:pPr>
        <w:ind w:left="7018" w:hanging="526"/>
      </w:pPr>
      <w:rPr>
        <w:rFonts w:hint="default"/>
        <w:lang w:val="en-US" w:eastAsia="zh-CN" w:bidi="ar-SA"/>
      </w:rPr>
    </w:lvl>
    <w:lvl w:ilvl="8">
      <w:start w:val="0"/>
      <w:numFmt w:val="bullet"/>
      <w:lvlText w:val="•"/>
      <w:lvlJc w:val="left"/>
      <w:pPr>
        <w:ind w:left="8007" w:hanging="526"/>
      </w:pPr>
      <w:rPr>
        <w:rFonts w:hint="default"/>
        <w:lang w:val="en-US" w:eastAsia="zh-CN" w:bidi="ar-SA"/>
      </w:rPr>
    </w:lvl>
  </w:abstractNum>
  <w:abstractNum w:abstractNumId="2">
    <w:nsid w:val="CF092B84"/>
    <w:multiLevelType w:val="multilevel"/>
    <w:tmpl w:val="CF092B84"/>
    <w:lvl w:ilvl="0">
      <w:start w:val="2"/>
      <w:numFmt w:val="decimal"/>
      <w:lvlText w:val="（%1）"/>
      <w:lvlJc w:val="left"/>
      <w:pPr>
        <w:ind w:left="134" w:hanging="529"/>
        <w:jc w:val="left"/>
      </w:pPr>
      <w:rPr>
        <w:rFonts w:ascii="微软雅黑" w:eastAsia="微软雅黑" w:hAnsi="微软雅黑" w:cs="微软雅黑" w:hint="default"/>
        <w:b w:val="0"/>
        <w:bCs w:val="0"/>
        <w:i w:val="0"/>
        <w:iCs w:val="0"/>
        <w:spacing w:val="0"/>
        <w:w w:val="100"/>
        <w:sz w:val="19"/>
        <w:szCs w:val="19"/>
        <w:lang w:val="en-US" w:eastAsia="zh-CN" w:bidi="ar-SA"/>
      </w:rPr>
    </w:lvl>
    <w:lvl w:ilvl="1">
      <w:start w:val="0"/>
      <w:numFmt w:val="bullet"/>
      <w:lvlText w:val="•"/>
      <w:lvlJc w:val="left"/>
      <w:pPr>
        <w:ind w:left="1124" w:hanging="529"/>
      </w:pPr>
      <w:rPr>
        <w:rFonts w:hint="default"/>
        <w:lang w:val="en-US" w:eastAsia="zh-CN" w:bidi="ar-SA"/>
      </w:rPr>
    </w:lvl>
    <w:lvl w:ilvl="2">
      <w:start w:val="0"/>
      <w:numFmt w:val="bullet"/>
      <w:lvlText w:val="•"/>
      <w:lvlJc w:val="left"/>
      <w:pPr>
        <w:ind w:left="2109" w:hanging="529"/>
      </w:pPr>
      <w:rPr>
        <w:rFonts w:hint="default"/>
        <w:lang w:val="en-US" w:eastAsia="zh-CN" w:bidi="ar-SA"/>
      </w:rPr>
    </w:lvl>
    <w:lvl w:ilvl="3">
      <w:start w:val="0"/>
      <w:numFmt w:val="bullet"/>
      <w:lvlText w:val="•"/>
      <w:lvlJc w:val="left"/>
      <w:pPr>
        <w:ind w:left="3094" w:hanging="529"/>
      </w:pPr>
      <w:rPr>
        <w:rFonts w:hint="default"/>
        <w:lang w:val="en-US" w:eastAsia="zh-CN" w:bidi="ar-SA"/>
      </w:rPr>
    </w:lvl>
    <w:lvl w:ilvl="4">
      <w:start w:val="0"/>
      <w:numFmt w:val="bullet"/>
      <w:lvlText w:val="•"/>
      <w:lvlJc w:val="left"/>
      <w:pPr>
        <w:ind w:left="4078" w:hanging="529"/>
      </w:pPr>
      <w:rPr>
        <w:rFonts w:hint="default"/>
        <w:lang w:val="en-US" w:eastAsia="zh-CN" w:bidi="ar-SA"/>
      </w:rPr>
    </w:lvl>
    <w:lvl w:ilvl="5">
      <w:start w:val="0"/>
      <w:numFmt w:val="bullet"/>
      <w:lvlText w:val="•"/>
      <w:lvlJc w:val="left"/>
      <w:pPr>
        <w:ind w:left="5063" w:hanging="529"/>
      </w:pPr>
      <w:rPr>
        <w:rFonts w:hint="default"/>
        <w:lang w:val="en-US" w:eastAsia="zh-CN" w:bidi="ar-SA"/>
      </w:rPr>
    </w:lvl>
    <w:lvl w:ilvl="6">
      <w:start w:val="0"/>
      <w:numFmt w:val="bullet"/>
      <w:lvlText w:val="•"/>
      <w:lvlJc w:val="left"/>
      <w:pPr>
        <w:ind w:left="6048" w:hanging="529"/>
      </w:pPr>
      <w:rPr>
        <w:rFonts w:hint="default"/>
        <w:lang w:val="en-US" w:eastAsia="zh-CN" w:bidi="ar-SA"/>
      </w:rPr>
    </w:lvl>
    <w:lvl w:ilvl="7">
      <w:start w:val="0"/>
      <w:numFmt w:val="bullet"/>
      <w:lvlText w:val="•"/>
      <w:lvlJc w:val="left"/>
      <w:pPr>
        <w:ind w:left="7032" w:hanging="529"/>
      </w:pPr>
      <w:rPr>
        <w:rFonts w:hint="default"/>
        <w:lang w:val="en-US" w:eastAsia="zh-CN" w:bidi="ar-SA"/>
      </w:rPr>
    </w:lvl>
    <w:lvl w:ilvl="8">
      <w:start w:val="0"/>
      <w:numFmt w:val="bullet"/>
      <w:lvlText w:val="•"/>
      <w:lvlJc w:val="left"/>
      <w:pPr>
        <w:ind w:left="8017" w:hanging="529"/>
      </w:pPr>
      <w:rPr>
        <w:rFonts w:hint="default"/>
        <w:lang w:val="en-US" w:eastAsia="zh-CN" w:bidi="ar-SA"/>
      </w:rPr>
    </w:lvl>
  </w:abstractNum>
  <w:abstractNum w:abstractNumId="3">
    <w:nsid w:val="0053208E"/>
    <w:multiLevelType w:val="multilevel"/>
    <w:tmpl w:val="0053208E"/>
    <w:lvl w:ilvl="0">
      <w:start w:val="1"/>
      <w:numFmt w:val="decimal"/>
      <w:lvlText w:val="%1."/>
      <w:lvlJc w:val="left"/>
      <w:pPr>
        <w:ind w:left="55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080" w:hanging="526"/>
        <w:jc w:val="left"/>
      </w:pPr>
      <w:rPr>
        <w:rFonts w:ascii="微软雅黑" w:eastAsia="微软雅黑" w:hAnsi="微软雅黑" w:cs="微软雅黑" w:hint="default"/>
        <w:b w:val="0"/>
        <w:bCs w:val="0"/>
        <w:i w:val="0"/>
        <w:iCs w:val="0"/>
        <w:w w:val="100"/>
        <w:sz w:val="19"/>
        <w:szCs w:val="19"/>
        <w:lang w:val="en-US" w:eastAsia="zh-CN" w:bidi="ar-SA"/>
      </w:rPr>
    </w:lvl>
    <w:lvl w:ilvl="2">
      <w:start w:val="0"/>
      <w:numFmt w:val="bullet"/>
      <w:lvlText w:val="•"/>
      <w:lvlJc w:val="left"/>
      <w:pPr>
        <w:ind w:left="2069" w:hanging="526"/>
      </w:pPr>
      <w:rPr>
        <w:rFonts w:hint="default"/>
        <w:lang w:val="en-US" w:eastAsia="zh-CN" w:bidi="ar-SA"/>
      </w:rPr>
    </w:lvl>
    <w:lvl w:ilvl="3">
      <w:start w:val="0"/>
      <w:numFmt w:val="bullet"/>
      <w:lvlText w:val="•"/>
      <w:lvlJc w:val="left"/>
      <w:pPr>
        <w:ind w:left="3059" w:hanging="526"/>
      </w:pPr>
      <w:rPr>
        <w:rFonts w:hint="default"/>
        <w:lang w:val="en-US" w:eastAsia="zh-CN" w:bidi="ar-SA"/>
      </w:rPr>
    </w:lvl>
    <w:lvl w:ilvl="4">
      <w:start w:val="0"/>
      <w:numFmt w:val="bullet"/>
      <w:lvlText w:val="•"/>
      <w:lvlJc w:val="left"/>
      <w:pPr>
        <w:ind w:left="4049" w:hanging="526"/>
      </w:pPr>
      <w:rPr>
        <w:rFonts w:hint="default"/>
        <w:lang w:val="en-US" w:eastAsia="zh-CN" w:bidi="ar-SA"/>
      </w:rPr>
    </w:lvl>
    <w:lvl w:ilvl="5">
      <w:start w:val="0"/>
      <w:numFmt w:val="bullet"/>
      <w:lvlText w:val="•"/>
      <w:lvlJc w:val="left"/>
      <w:pPr>
        <w:ind w:left="5038" w:hanging="526"/>
      </w:pPr>
      <w:rPr>
        <w:rFonts w:hint="default"/>
        <w:lang w:val="en-US" w:eastAsia="zh-CN" w:bidi="ar-SA"/>
      </w:rPr>
    </w:lvl>
    <w:lvl w:ilvl="6">
      <w:start w:val="0"/>
      <w:numFmt w:val="bullet"/>
      <w:lvlText w:val="•"/>
      <w:lvlJc w:val="left"/>
      <w:pPr>
        <w:ind w:left="6028" w:hanging="526"/>
      </w:pPr>
      <w:rPr>
        <w:rFonts w:hint="default"/>
        <w:lang w:val="en-US" w:eastAsia="zh-CN" w:bidi="ar-SA"/>
      </w:rPr>
    </w:lvl>
    <w:lvl w:ilvl="7">
      <w:start w:val="0"/>
      <w:numFmt w:val="bullet"/>
      <w:lvlText w:val="•"/>
      <w:lvlJc w:val="left"/>
      <w:pPr>
        <w:ind w:left="7018" w:hanging="526"/>
      </w:pPr>
      <w:rPr>
        <w:rFonts w:hint="default"/>
        <w:lang w:val="en-US" w:eastAsia="zh-CN" w:bidi="ar-SA"/>
      </w:rPr>
    </w:lvl>
    <w:lvl w:ilvl="8">
      <w:start w:val="0"/>
      <w:numFmt w:val="bullet"/>
      <w:lvlText w:val="•"/>
      <w:lvlJc w:val="left"/>
      <w:pPr>
        <w:ind w:left="8007" w:hanging="526"/>
      </w:pPr>
      <w:rPr>
        <w:rFonts w:hint="default"/>
        <w:lang w:val="en-US" w:eastAsia="zh-CN" w:bidi="ar-SA"/>
      </w:rPr>
    </w:lvl>
  </w:abstractNum>
  <w:abstractNum w:abstractNumId="4">
    <w:nsid w:val="0248C179"/>
    <w:multiLevelType w:val="multilevel"/>
    <w:tmpl w:val="0248C179"/>
    <w:lvl w:ilvl="0">
      <w:start w:val="1"/>
      <w:numFmt w:val="decimal"/>
      <w:lvlText w:val="%1."/>
      <w:lvlJc w:val="left"/>
      <w:pPr>
        <w:ind w:left="55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080" w:hanging="526"/>
        <w:jc w:val="left"/>
      </w:pPr>
      <w:rPr>
        <w:rFonts w:ascii="微软雅黑" w:eastAsia="微软雅黑" w:hAnsi="微软雅黑" w:cs="微软雅黑" w:hint="default"/>
        <w:b w:val="0"/>
        <w:bCs w:val="0"/>
        <w:i w:val="0"/>
        <w:iCs w:val="0"/>
        <w:w w:val="100"/>
        <w:sz w:val="19"/>
        <w:szCs w:val="19"/>
        <w:lang w:val="en-US" w:eastAsia="zh-CN" w:bidi="ar-SA"/>
      </w:rPr>
    </w:lvl>
    <w:lvl w:ilvl="2">
      <w:start w:val="0"/>
      <w:numFmt w:val="bullet"/>
      <w:lvlText w:val="•"/>
      <w:lvlJc w:val="left"/>
      <w:pPr>
        <w:ind w:left="2069" w:hanging="526"/>
      </w:pPr>
      <w:rPr>
        <w:rFonts w:hint="default"/>
        <w:lang w:val="en-US" w:eastAsia="zh-CN" w:bidi="ar-SA"/>
      </w:rPr>
    </w:lvl>
    <w:lvl w:ilvl="3">
      <w:start w:val="0"/>
      <w:numFmt w:val="bullet"/>
      <w:lvlText w:val="•"/>
      <w:lvlJc w:val="left"/>
      <w:pPr>
        <w:ind w:left="3059" w:hanging="526"/>
      </w:pPr>
      <w:rPr>
        <w:rFonts w:hint="default"/>
        <w:lang w:val="en-US" w:eastAsia="zh-CN" w:bidi="ar-SA"/>
      </w:rPr>
    </w:lvl>
    <w:lvl w:ilvl="4">
      <w:start w:val="0"/>
      <w:numFmt w:val="bullet"/>
      <w:lvlText w:val="•"/>
      <w:lvlJc w:val="left"/>
      <w:pPr>
        <w:ind w:left="4049" w:hanging="526"/>
      </w:pPr>
      <w:rPr>
        <w:rFonts w:hint="default"/>
        <w:lang w:val="en-US" w:eastAsia="zh-CN" w:bidi="ar-SA"/>
      </w:rPr>
    </w:lvl>
    <w:lvl w:ilvl="5">
      <w:start w:val="0"/>
      <w:numFmt w:val="bullet"/>
      <w:lvlText w:val="•"/>
      <w:lvlJc w:val="left"/>
      <w:pPr>
        <w:ind w:left="5038" w:hanging="526"/>
      </w:pPr>
      <w:rPr>
        <w:rFonts w:hint="default"/>
        <w:lang w:val="en-US" w:eastAsia="zh-CN" w:bidi="ar-SA"/>
      </w:rPr>
    </w:lvl>
    <w:lvl w:ilvl="6">
      <w:start w:val="0"/>
      <w:numFmt w:val="bullet"/>
      <w:lvlText w:val="•"/>
      <w:lvlJc w:val="left"/>
      <w:pPr>
        <w:ind w:left="6028" w:hanging="526"/>
      </w:pPr>
      <w:rPr>
        <w:rFonts w:hint="default"/>
        <w:lang w:val="en-US" w:eastAsia="zh-CN" w:bidi="ar-SA"/>
      </w:rPr>
    </w:lvl>
    <w:lvl w:ilvl="7">
      <w:start w:val="0"/>
      <w:numFmt w:val="bullet"/>
      <w:lvlText w:val="•"/>
      <w:lvlJc w:val="left"/>
      <w:pPr>
        <w:ind w:left="7018" w:hanging="526"/>
      </w:pPr>
      <w:rPr>
        <w:rFonts w:hint="default"/>
        <w:lang w:val="en-US" w:eastAsia="zh-CN" w:bidi="ar-SA"/>
      </w:rPr>
    </w:lvl>
    <w:lvl w:ilvl="8">
      <w:start w:val="0"/>
      <w:numFmt w:val="bullet"/>
      <w:lvlText w:val="•"/>
      <w:lvlJc w:val="left"/>
      <w:pPr>
        <w:ind w:left="8007" w:hanging="526"/>
      </w:pPr>
      <w:rPr>
        <w:rFonts w:hint="default"/>
        <w:lang w:val="en-US" w:eastAsia="zh-CN" w:bidi="ar-SA"/>
      </w:rPr>
    </w:lvl>
  </w:abstractNum>
  <w:abstractNum w:abstractNumId="5">
    <w:nsid w:val="03D62ECE"/>
    <w:multiLevelType w:val="multilevel"/>
    <w:tmpl w:val="03D62ECE"/>
    <w:lvl w:ilvl="0">
      <w:start w:val="2"/>
      <w:numFmt w:val="decimal"/>
      <w:lvlText w:val="（%1）"/>
      <w:lvlJc w:val="left"/>
      <w:pPr>
        <w:ind w:left="134" w:hanging="529"/>
        <w:jc w:val="left"/>
      </w:pPr>
      <w:rPr>
        <w:rFonts w:ascii="微软雅黑" w:eastAsia="微软雅黑" w:hAnsi="微软雅黑" w:cs="微软雅黑" w:hint="default"/>
        <w:b w:val="0"/>
        <w:bCs w:val="0"/>
        <w:i w:val="0"/>
        <w:iCs w:val="0"/>
        <w:spacing w:val="0"/>
        <w:w w:val="100"/>
        <w:sz w:val="19"/>
        <w:szCs w:val="19"/>
        <w:lang w:val="en-US" w:eastAsia="zh-CN" w:bidi="ar-SA"/>
      </w:rPr>
    </w:lvl>
    <w:lvl w:ilvl="1">
      <w:start w:val="0"/>
      <w:numFmt w:val="bullet"/>
      <w:lvlText w:val="•"/>
      <w:lvlJc w:val="left"/>
      <w:pPr>
        <w:ind w:left="1124" w:hanging="529"/>
      </w:pPr>
      <w:rPr>
        <w:rFonts w:hint="default"/>
        <w:lang w:val="en-US" w:eastAsia="zh-CN" w:bidi="ar-SA"/>
      </w:rPr>
    </w:lvl>
    <w:lvl w:ilvl="2">
      <w:start w:val="0"/>
      <w:numFmt w:val="bullet"/>
      <w:lvlText w:val="•"/>
      <w:lvlJc w:val="left"/>
      <w:pPr>
        <w:ind w:left="2109" w:hanging="529"/>
      </w:pPr>
      <w:rPr>
        <w:rFonts w:hint="default"/>
        <w:lang w:val="en-US" w:eastAsia="zh-CN" w:bidi="ar-SA"/>
      </w:rPr>
    </w:lvl>
    <w:lvl w:ilvl="3">
      <w:start w:val="0"/>
      <w:numFmt w:val="bullet"/>
      <w:lvlText w:val="•"/>
      <w:lvlJc w:val="left"/>
      <w:pPr>
        <w:ind w:left="3094" w:hanging="529"/>
      </w:pPr>
      <w:rPr>
        <w:rFonts w:hint="default"/>
        <w:lang w:val="en-US" w:eastAsia="zh-CN" w:bidi="ar-SA"/>
      </w:rPr>
    </w:lvl>
    <w:lvl w:ilvl="4">
      <w:start w:val="0"/>
      <w:numFmt w:val="bullet"/>
      <w:lvlText w:val="•"/>
      <w:lvlJc w:val="left"/>
      <w:pPr>
        <w:ind w:left="4078" w:hanging="529"/>
      </w:pPr>
      <w:rPr>
        <w:rFonts w:hint="default"/>
        <w:lang w:val="en-US" w:eastAsia="zh-CN" w:bidi="ar-SA"/>
      </w:rPr>
    </w:lvl>
    <w:lvl w:ilvl="5">
      <w:start w:val="0"/>
      <w:numFmt w:val="bullet"/>
      <w:lvlText w:val="•"/>
      <w:lvlJc w:val="left"/>
      <w:pPr>
        <w:ind w:left="5063" w:hanging="529"/>
      </w:pPr>
      <w:rPr>
        <w:rFonts w:hint="default"/>
        <w:lang w:val="en-US" w:eastAsia="zh-CN" w:bidi="ar-SA"/>
      </w:rPr>
    </w:lvl>
    <w:lvl w:ilvl="6">
      <w:start w:val="0"/>
      <w:numFmt w:val="bullet"/>
      <w:lvlText w:val="•"/>
      <w:lvlJc w:val="left"/>
      <w:pPr>
        <w:ind w:left="6048" w:hanging="529"/>
      </w:pPr>
      <w:rPr>
        <w:rFonts w:hint="default"/>
        <w:lang w:val="en-US" w:eastAsia="zh-CN" w:bidi="ar-SA"/>
      </w:rPr>
    </w:lvl>
    <w:lvl w:ilvl="7">
      <w:start w:val="0"/>
      <w:numFmt w:val="bullet"/>
      <w:lvlText w:val="•"/>
      <w:lvlJc w:val="left"/>
      <w:pPr>
        <w:ind w:left="7032" w:hanging="529"/>
      </w:pPr>
      <w:rPr>
        <w:rFonts w:hint="default"/>
        <w:lang w:val="en-US" w:eastAsia="zh-CN" w:bidi="ar-SA"/>
      </w:rPr>
    </w:lvl>
    <w:lvl w:ilvl="8">
      <w:start w:val="0"/>
      <w:numFmt w:val="bullet"/>
      <w:lvlText w:val="•"/>
      <w:lvlJc w:val="left"/>
      <w:pPr>
        <w:ind w:left="8017" w:hanging="529"/>
      </w:pPr>
      <w:rPr>
        <w:rFonts w:hint="default"/>
        <w:lang w:val="en-US" w:eastAsia="zh-CN" w:bidi="ar-SA"/>
      </w:rPr>
    </w:lvl>
  </w:abstractNum>
  <w:abstractNum w:abstractNumId="6">
    <w:nsid w:val="25B654F3"/>
    <w:multiLevelType w:val="multilevel"/>
    <w:tmpl w:val="25B654F3"/>
    <w:lvl w:ilvl="0">
      <w:start w:val="2"/>
      <w:numFmt w:val="decimal"/>
      <w:lvlText w:val="（%1）"/>
      <w:lvlJc w:val="left"/>
      <w:pPr>
        <w:ind w:left="134" w:hanging="526"/>
        <w:jc w:val="left"/>
      </w:pPr>
      <w:rPr>
        <w:rFonts w:ascii="微软雅黑" w:eastAsia="微软雅黑" w:hAnsi="微软雅黑" w:cs="微软雅黑" w:hint="default"/>
        <w:b w:val="0"/>
        <w:bCs w:val="0"/>
        <w:i w:val="0"/>
        <w:iCs w:val="0"/>
        <w:spacing w:val="-26"/>
        <w:w w:val="100"/>
        <w:sz w:val="19"/>
        <w:szCs w:val="19"/>
        <w:lang w:val="en-US" w:eastAsia="zh-CN" w:bidi="ar-SA"/>
      </w:rPr>
    </w:lvl>
    <w:lvl w:ilvl="1">
      <w:start w:val="0"/>
      <w:numFmt w:val="bullet"/>
      <w:lvlText w:val="•"/>
      <w:lvlJc w:val="left"/>
      <w:pPr>
        <w:ind w:left="1124" w:hanging="526"/>
      </w:pPr>
      <w:rPr>
        <w:rFonts w:hint="default"/>
        <w:lang w:val="en-US" w:eastAsia="zh-CN" w:bidi="ar-SA"/>
      </w:rPr>
    </w:lvl>
    <w:lvl w:ilvl="2">
      <w:start w:val="0"/>
      <w:numFmt w:val="bullet"/>
      <w:lvlText w:val="•"/>
      <w:lvlJc w:val="left"/>
      <w:pPr>
        <w:ind w:left="2109" w:hanging="526"/>
      </w:pPr>
      <w:rPr>
        <w:rFonts w:hint="default"/>
        <w:lang w:val="en-US" w:eastAsia="zh-CN" w:bidi="ar-SA"/>
      </w:rPr>
    </w:lvl>
    <w:lvl w:ilvl="3">
      <w:start w:val="0"/>
      <w:numFmt w:val="bullet"/>
      <w:lvlText w:val="•"/>
      <w:lvlJc w:val="left"/>
      <w:pPr>
        <w:ind w:left="3094" w:hanging="526"/>
      </w:pPr>
      <w:rPr>
        <w:rFonts w:hint="default"/>
        <w:lang w:val="en-US" w:eastAsia="zh-CN" w:bidi="ar-SA"/>
      </w:rPr>
    </w:lvl>
    <w:lvl w:ilvl="4">
      <w:start w:val="0"/>
      <w:numFmt w:val="bullet"/>
      <w:lvlText w:val="•"/>
      <w:lvlJc w:val="left"/>
      <w:pPr>
        <w:ind w:left="4078" w:hanging="526"/>
      </w:pPr>
      <w:rPr>
        <w:rFonts w:hint="default"/>
        <w:lang w:val="en-US" w:eastAsia="zh-CN" w:bidi="ar-SA"/>
      </w:rPr>
    </w:lvl>
    <w:lvl w:ilvl="5">
      <w:start w:val="0"/>
      <w:numFmt w:val="bullet"/>
      <w:lvlText w:val="•"/>
      <w:lvlJc w:val="left"/>
      <w:pPr>
        <w:ind w:left="5063" w:hanging="526"/>
      </w:pPr>
      <w:rPr>
        <w:rFonts w:hint="default"/>
        <w:lang w:val="en-US" w:eastAsia="zh-CN" w:bidi="ar-SA"/>
      </w:rPr>
    </w:lvl>
    <w:lvl w:ilvl="6">
      <w:start w:val="0"/>
      <w:numFmt w:val="bullet"/>
      <w:lvlText w:val="•"/>
      <w:lvlJc w:val="left"/>
      <w:pPr>
        <w:ind w:left="6048" w:hanging="526"/>
      </w:pPr>
      <w:rPr>
        <w:rFonts w:hint="default"/>
        <w:lang w:val="en-US" w:eastAsia="zh-CN" w:bidi="ar-SA"/>
      </w:rPr>
    </w:lvl>
    <w:lvl w:ilvl="7">
      <w:start w:val="0"/>
      <w:numFmt w:val="bullet"/>
      <w:lvlText w:val="•"/>
      <w:lvlJc w:val="left"/>
      <w:pPr>
        <w:ind w:left="7032" w:hanging="526"/>
      </w:pPr>
      <w:rPr>
        <w:rFonts w:hint="default"/>
        <w:lang w:val="en-US" w:eastAsia="zh-CN" w:bidi="ar-SA"/>
      </w:rPr>
    </w:lvl>
    <w:lvl w:ilvl="8">
      <w:start w:val="0"/>
      <w:numFmt w:val="bullet"/>
      <w:lvlText w:val="•"/>
      <w:lvlJc w:val="left"/>
      <w:pPr>
        <w:ind w:left="8017" w:hanging="526"/>
      </w:pPr>
      <w:rPr>
        <w:rFonts w:hint="default"/>
        <w:lang w:val="en-US" w:eastAsia="zh-CN" w:bidi="ar-SA"/>
      </w:rPr>
    </w:lvl>
  </w:abstractNum>
  <w:abstractNum w:abstractNumId="7">
    <w:nsid w:val="59ADCABA"/>
    <w:multiLevelType w:val="multilevel"/>
    <w:tmpl w:val="59ADCABA"/>
    <w:lvl w:ilvl="0">
      <w:start w:val="1"/>
      <w:numFmt w:val="decimal"/>
      <w:lvlText w:val="%1."/>
      <w:lvlJc w:val="left"/>
      <w:pPr>
        <w:ind w:left="55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34" w:hanging="526"/>
        <w:jc w:val="left"/>
      </w:pPr>
      <w:rPr>
        <w:rFonts w:ascii="微软雅黑" w:eastAsia="微软雅黑" w:hAnsi="微软雅黑" w:cs="微软雅黑" w:hint="default"/>
        <w:b w:val="0"/>
        <w:bCs w:val="0"/>
        <w:i w:val="0"/>
        <w:iCs w:val="0"/>
        <w:spacing w:val="-17"/>
        <w:w w:val="100"/>
        <w:sz w:val="19"/>
        <w:szCs w:val="19"/>
        <w:lang w:val="en-US" w:eastAsia="zh-CN" w:bidi="ar-SA"/>
      </w:rPr>
    </w:lvl>
    <w:lvl w:ilvl="2">
      <w:start w:val="0"/>
      <w:numFmt w:val="bullet"/>
      <w:lvlText w:val="•"/>
      <w:lvlJc w:val="left"/>
      <w:pPr>
        <w:ind w:left="1080" w:hanging="526"/>
      </w:pPr>
      <w:rPr>
        <w:rFonts w:hint="default"/>
        <w:lang w:val="en-US" w:eastAsia="zh-CN" w:bidi="ar-SA"/>
      </w:rPr>
    </w:lvl>
    <w:lvl w:ilvl="3">
      <w:start w:val="0"/>
      <w:numFmt w:val="bullet"/>
      <w:lvlText w:val="•"/>
      <w:lvlJc w:val="left"/>
      <w:pPr>
        <w:ind w:left="2193" w:hanging="526"/>
      </w:pPr>
      <w:rPr>
        <w:rFonts w:hint="default"/>
        <w:lang w:val="en-US" w:eastAsia="zh-CN" w:bidi="ar-SA"/>
      </w:rPr>
    </w:lvl>
    <w:lvl w:ilvl="4">
      <w:start w:val="0"/>
      <w:numFmt w:val="bullet"/>
      <w:lvlText w:val="•"/>
      <w:lvlJc w:val="left"/>
      <w:pPr>
        <w:ind w:left="3306" w:hanging="526"/>
      </w:pPr>
      <w:rPr>
        <w:rFonts w:hint="default"/>
        <w:lang w:val="en-US" w:eastAsia="zh-CN" w:bidi="ar-SA"/>
      </w:rPr>
    </w:lvl>
    <w:lvl w:ilvl="5">
      <w:start w:val="0"/>
      <w:numFmt w:val="bullet"/>
      <w:lvlText w:val="•"/>
      <w:lvlJc w:val="left"/>
      <w:pPr>
        <w:ind w:left="4420" w:hanging="526"/>
      </w:pPr>
      <w:rPr>
        <w:rFonts w:hint="default"/>
        <w:lang w:val="en-US" w:eastAsia="zh-CN" w:bidi="ar-SA"/>
      </w:rPr>
    </w:lvl>
    <w:lvl w:ilvl="6">
      <w:start w:val="0"/>
      <w:numFmt w:val="bullet"/>
      <w:lvlText w:val="•"/>
      <w:lvlJc w:val="left"/>
      <w:pPr>
        <w:ind w:left="5533" w:hanging="526"/>
      </w:pPr>
      <w:rPr>
        <w:rFonts w:hint="default"/>
        <w:lang w:val="en-US" w:eastAsia="zh-CN" w:bidi="ar-SA"/>
      </w:rPr>
    </w:lvl>
    <w:lvl w:ilvl="7">
      <w:start w:val="0"/>
      <w:numFmt w:val="bullet"/>
      <w:lvlText w:val="•"/>
      <w:lvlJc w:val="left"/>
      <w:pPr>
        <w:ind w:left="6646" w:hanging="526"/>
      </w:pPr>
      <w:rPr>
        <w:rFonts w:hint="default"/>
        <w:lang w:val="en-US" w:eastAsia="zh-CN" w:bidi="ar-SA"/>
      </w:rPr>
    </w:lvl>
    <w:lvl w:ilvl="8">
      <w:start w:val="0"/>
      <w:numFmt w:val="bullet"/>
      <w:lvlText w:val="•"/>
      <w:lvlJc w:val="left"/>
      <w:pPr>
        <w:ind w:left="7760" w:hanging="526"/>
      </w:pPr>
      <w:rPr>
        <w:rFonts w:hint="default"/>
        <w:lang w:val="en-US" w:eastAsia="zh-CN" w:bidi="ar-SA"/>
      </w:rPr>
    </w:lvl>
  </w:abstractNum>
  <w:abstractNum w:abstractNumId="8">
    <w:nsid w:val="72183CF9"/>
    <w:multiLevelType w:val="multilevel"/>
    <w:tmpl w:val="72183CF9"/>
    <w:lvl w:ilvl="0">
      <w:start w:val="1"/>
      <w:numFmt w:val="decimal"/>
      <w:lvlText w:val="%1."/>
      <w:lvlJc w:val="left"/>
      <w:pPr>
        <w:ind w:left="55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34" w:hanging="529"/>
        <w:jc w:val="left"/>
      </w:pPr>
      <w:rPr>
        <w:rFonts w:ascii="微软雅黑" w:eastAsia="微软雅黑" w:hAnsi="微软雅黑" w:cs="微软雅黑" w:hint="default"/>
        <w:b w:val="0"/>
        <w:bCs w:val="0"/>
        <w:i w:val="0"/>
        <w:iCs w:val="0"/>
        <w:spacing w:val="0"/>
        <w:w w:val="100"/>
        <w:sz w:val="19"/>
        <w:szCs w:val="19"/>
        <w:lang w:val="en-US" w:eastAsia="zh-CN" w:bidi="ar-SA"/>
      </w:rPr>
    </w:lvl>
    <w:lvl w:ilvl="2">
      <w:start w:val="0"/>
      <w:numFmt w:val="bullet"/>
      <w:lvlText w:val="•"/>
      <w:lvlJc w:val="left"/>
      <w:pPr>
        <w:ind w:left="1607" w:hanging="529"/>
      </w:pPr>
      <w:rPr>
        <w:rFonts w:hint="default"/>
        <w:lang w:val="en-US" w:eastAsia="zh-CN" w:bidi="ar-SA"/>
      </w:rPr>
    </w:lvl>
    <w:lvl w:ilvl="3">
      <w:start w:val="0"/>
      <w:numFmt w:val="bullet"/>
      <w:lvlText w:val="•"/>
      <w:lvlJc w:val="left"/>
      <w:pPr>
        <w:ind w:left="2654" w:hanging="529"/>
      </w:pPr>
      <w:rPr>
        <w:rFonts w:hint="default"/>
        <w:lang w:val="en-US" w:eastAsia="zh-CN" w:bidi="ar-SA"/>
      </w:rPr>
    </w:lvl>
    <w:lvl w:ilvl="4">
      <w:start w:val="0"/>
      <w:numFmt w:val="bullet"/>
      <w:lvlText w:val="•"/>
      <w:lvlJc w:val="left"/>
      <w:pPr>
        <w:ind w:left="3702" w:hanging="529"/>
      </w:pPr>
      <w:rPr>
        <w:rFonts w:hint="default"/>
        <w:lang w:val="en-US" w:eastAsia="zh-CN" w:bidi="ar-SA"/>
      </w:rPr>
    </w:lvl>
    <w:lvl w:ilvl="5">
      <w:start w:val="0"/>
      <w:numFmt w:val="bullet"/>
      <w:lvlText w:val="•"/>
      <w:lvlJc w:val="left"/>
      <w:pPr>
        <w:ind w:left="4749" w:hanging="529"/>
      </w:pPr>
      <w:rPr>
        <w:rFonts w:hint="default"/>
        <w:lang w:val="en-US" w:eastAsia="zh-CN" w:bidi="ar-SA"/>
      </w:rPr>
    </w:lvl>
    <w:lvl w:ilvl="6">
      <w:start w:val="0"/>
      <w:numFmt w:val="bullet"/>
      <w:lvlText w:val="•"/>
      <w:lvlJc w:val="left"/>
      <w:pPr>
        <w:ind w:left="5797" w:hanging="529"/>
      </w:pPr>
      <w:rPr>
        <w:rFonts w:hint="default"/>
        <w:lang w:val="en-US" w:eastAsia="zh-CN" w:bidi="ar-SA"/>
      </w:rPr>
    </w:lvl>
    <w:lvl w:ilvl="7">
      <w:start w:val="0"/>
      <w:numFmt w:val="bullet"/>
      <w:lvlText w:val="•"/>
      <w:lvlJc w:val="left"/>
      <w:pPr>
        <w:ind w:left="6844" w:hanging="529"/>
      </w:pPr>
      <w:rPr>
        <w:rFonts w:hint="default"/>
        <w:lang w:val="en-US" w:eastAsia="zh-CN" w:bidi="ar-SA"/>
      </w:rPr>
    </w:lvl>
    <w:lvl w:ilvl="8">
      <w:start w:val="0"/>
      <w:numFmt w:val="bullet"/>
      <w:lvlText w:val="•"/>
      <w:lvlJc w:val="left"/>
      <w:pPr>
        <w:ind w:left="7892" w:hanging="529"/>
      </w:pPr>
      <w:rPr>
        <w:rFonts w:hint="default"/>
        <w:lang w:val="en-US" w:eastAsia="zh-CN" w:bidi="ar-SA"/>
      </w:rPr>
    </w:lvl>
  </w:abstractNum>
  <w:num w:numId="1">
    <w:abstractNumId w:val="3"/>
  </w:num>
  <w:num w:numId="2">
    <w:abstractNumId w:val="2"/>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82A7B85"/>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微软雅黑" w:eastAsia="微软雅黑" w:hAnsi="微软雅黑" w:cs="微软雅黑"/>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ind w:left="134" w:firstLine="420"/>
    </w:pPr>
    <w:rPr>
      <w:rFonts w:ascii="微软雅黑" w:eastAsia="微软雅黑" w:hAnsi="微软雅黑" w:cs="微软雅黑"/>
      <w:sz w:val="21"/>
      <w:szCs w:val="21"/>
      <w:lang w:val="en-US" w:eastAsia="zh-CN" w:bidi="ar-SA"/>
    </w:rPr>
  </w:style>
  <w:style w:type="paragraph" w:styleId="Title">
    <w:name w:val="Title"/>
    <w:basedOn w:val="Normal"/>
    <w:uiPriority w:val="1"/>
    <w:qFormat/>
    <w:pPr>
      <w:spacing w:before="27"/>
      <w:ind w:left="4340" w:right="4419"/>
      <w:jc w:val="center"/>
    </w:pPr>
    <w:rPr>
      <w:rFonts w:ascii="微软雅黑" w:eastAsia="微软雅黑" w:hAnsi="微软雅黑" w:cs="微软雅黑"/>
      <w:sz w:val="28"/>
      <w:szCs w:val="28"/>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line="374" w:lineRule="exact"/>
      <w:ind w:left="554" w:hanging="420"/>
    </w:pPr>
    <w:rPr>
      <w:rFonts w:ascii="微软雅黑" w:eastAsia="微软雅黑" w:hAnsi="微软雅黑" w:cs="微软雅黑"/>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d.book118.com/468112014032006027" TargetMode="Externa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1"/>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2016年试卷名称考研必备复习题题库</dc:title>
  <dc:creator>Administrator</dc:creator>
  <cp:lastModifiedBy>Administrator</cp:lastModifiedBy>
  <cp:revision>0</cp:revision>
  <dcterms:created xsi:type="dcterms:W3CDTF">2024-01-18T08:41:00Z</dcterms:created>
  <dcterms:modified xsi:type="dcterms:W3CDTF">2024-01-18T08:42:43Z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2022-08-29T00:00:00Z</vt:filetime>
  </property>
  <property fmtid="{D5CDD505-2E9C-101B-9397-08002B2CF9AE}" pid="3" name="Creator">
    <vt:lpwstr>Microsoft Office Word</vt:lpwstr>
  </property>
  <property fmtid="{D5CDD505-2E9C-101B-9397-08002B2CF9AE}" pid="4" name="ICV">
    <vt:lpwstr>BEAEAEE0928940DA95CAF3C6AE53A5D5</vt:lpwstr>
  </property>
  <property fmtid="{D5CDD505-2E9C-101B-9397-08002B2CF9AE}" pid="5" name="KSOProductBuildVer">
    <vt:lpwstr>2052-11.8.6.11825</vt:lpwstr>
  </property>
  <property fmtid="{D5CDD505-2E9C-101B-9397-08002B2CF9AE}" pid="6" name="LastSaved">
    <vt:filetime>2024-01-18T00:00:00Z</vt:filetime>
  </property>
  <property fmtid="{D5CDD505-2E9C-101B-9397-08002B2CF9AE}" pid="7" name="Producer">
    <vt:lpwstr>Aspose.Words for .NET 17.12</vt:lpwstr>
  </property>
</Properties>
</file>