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84" w:lineRule="auto"/>
        <w:rPr>
          <w:rFonts w:ascii="Arial"/>
          <w:sz w:val="21"/>
        </w:rPr>
      </w:pPr>
      <w:r>
        <w:pict>
          <v:rect id="_x0000_s1025" style="width:415.4pt;height:12.5pt;margin-top:137.9pt;margin-left:90.02pt;mso-position-horizontal-relative:page;mso-position-vertical-relative:page;position:absolute;z-index:251658240" o:allowincell="f" filled="t" fillcolor="#e5e5e5" stroked="f"/>
        </w:pic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993775</wp:posOffset>
            </wp:positionV>
            <wp:extent cx="1467485" cy="55181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140" w:line="178" w:lineRule="auto"/>
        <w:ind w:right="58"/>
        <w:jc w:val="right"/>
        <w:rPr>
          <w:rFonts w:ascii="LiSu" w:eastAsia="LiSu" w:hAnsi="LiSu" w:cs="LiSu"/>
          <w:sz w:val="43"/>
          <w:szCs w:val="43"/>
        </w:rPr>
      </w:pP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LiSu" w:eastAsia="LiSu" w:hAnsi="LiSu" w:cs="LiSu"/>
          <w:spacing w:val="65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LiSu" w:eastAsia="LiSu" w:hAnsi="LiSu" w:cs="LiSu"/>
          <w:spacing w:val="62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季</w:t>
      </w:r>
      <w:r>
        <w:rPr>
          <w:rFonts w:ascii="LiSu" w:eastAsia="LiSu" w:hAnsi="LiSu" w:cs="LiSu"/>
          <w:spacing w:val="61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度</w:t>
      </w:r>
      <w:r>
        <w:rPr>
          <w:rFonts w:ascii="LiSu" w:eastAsia="LiSu" w:hAnsi="LiSu" w:cs="LiSu"/>
          <w:spacing w:val="59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分</w:t>
      </w:r>
      <w:r>
        <w:rPr>
          <w:rFonts w:ascii="LiSu" w:eastAsia="LiSu" w:hAnsi="LiSu" w:cs="LiSu"/>
          <w:spacing w:val="65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析</w:t>
      </w:r>
      <w:r>
        <w:rPr>
          <w:rFonts w:ascii="LiSu" w:eastAsia="LiSu" w:hAnsi="LiSu" w:cs="LiSu"/>
          <w:spacing w:val="52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LiSu" w:eastAsia="LiSu" w:hAnsi="LiSu" w:cs="LiSu"/>
          <w:spacing w:val="66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3" w:lineRule="auto"/>
        <w:rPr>
          <w:rFonts w:ascii="Arial"/>
          <w:sz w:val="21"/>
        </w:rPr>
      </w:pPr>
    </w:p>
    <w:p>
      <w:pPr>
        <w:spacing w:before="169" w:line="219" w:lineRule="auto"/>
        <w:ind w:left="2747"/>
        <w:outlineLvl w:val="0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spacing w:val="-14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通</w:t>
      </w:r>
      <w:r>
        <w:rPr>
          <w:rFonts w:ascii="SimHei" w:eastAsia="SimHei" w:hAnsi="SimHei" w:cs="SimHei"/>
          <w:spacing w:val="24"/>
          <w:sz w:val="52"/>
          <w:szCs w:val="52"/>
        </w:rPr>
        <w:t xml:space="preserve"> </w:t>
      </w:r>
      <w:r>
        <w:rPr>
          <w:rFonts w:ascii="SimHei" w:eastAsia="SimHei" w:hAnsi="SimHei" w:cs="SimHei"/>
          <w:spacing w:val="-14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信</w:t>
      </w:r>
      <w:r>
        <w:rPr>
          <w:rFonts w:ascii="SimHei" w:eastAsia="SimHei" w:hAnsi="SimHei" w:cs="SimHei"/>
          <w:spacing w:val="22"/>
          <w:sz w:val="52"/>
          <w:szCs w:val="52"/>
        </w:rPr>
        <w:t xml:space="preserve"> </w:t>
      </w:r>
      <w:r>
        <w:rPr>
          <w:rFonts w:ascii="SimHei" w:eastAsia="SimHei" w:hAnsi="SimHei" w:cs="SimHei"/>
          <w:spacing w:val="-14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SimHei" w:eastAsia="SimHei" w:hAnsi="SimHei" w:cs="SimHei"/>
          <w:spacing w:val="29"/>
          <w:sz w:val="52"/>
          <w:szCs w:val="52"/>
        </w:rPr>
        <w:t xml:space="preserve"> </w:t>
      </w:r>
      <w:r>
        <w:rPr>
          <w:rFonts w:ascii="SimHei" w:eastAsia="SimHei" w:hAnsi="SimHei" w:cs="SimHei"/>
          <w:spacing w:val="-14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业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78" w:line="219" w:lineRule="auto"/>
        <w:ind w:left="3198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（2023</w:t>
      </w:r>
      <w:r>
        <w:rPr>
          <w:rFonts w:ascii="SimHei" w:eastAsia="SimHei" w:hAnsi="SimHei" w:cs="SimHei"/>
          <w:spacing w:val="-50"/>
          <w:sz w:val="24"/>
          <w:szCs w:val="24"/>
        </w:rPr>
        <w:t xml:space="preserve"> </w:t>
      </w:r>
      <w:r>
        <w:rPr>
          <w:rFonts w:ascii="SimHei" w:eastAsia="SimHei" w:hAnsi="SimHei" w:cs="SimHei"/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年四季度）</w:t>
      </w:r>
    </w:p>
    <w:p>
      <w:pPr>
        <w:pStyle w:val="BodyText"/>
        <w:spacing w:before="263" w:line="220" w:lineRule="auto"/>
        <w:ind w:left="24"/>
        <w:rPr>
          <w:sz w:val="24"/>
          <w:szCs w:val="24"/>
        </w:rPr>
      </w:pPr>
      <w:r>
        <w:rPr>
          <w:spacing w:val="-2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要点提示</w:t>
      </w:r>
    </w:p>
    <w:p>
      <w:pPr>
        <w:pStyle w:val="BodyText"/>
        <w:spacing w:before="276" w:line="327" w:lineRule="auto"/>
        <w:ind w:left="441" w:hanging="407"/>
      </w:pPr>
      <w:r>
        <w:rPr>
          <w:rFonts w:ascii="Wingdings" w:eastAsia="Wingdings" w:hAnsi="Wingdings" w:cs="Wingdings"/>
          <w:spacing w:val="-7"/>
          <w:sz w:val="24"/>
          <w:szCs w:val="24"/>
        </w:rPr>
        <w:t xml:space="preserve">&gt; 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全球经济增速温和放缓，</w:t>
      </w:r>
      <w:r>
        <w:rPr>
          <w:spacing w:val="-13"/>
        </w:rPr>
        <w:t xml:space="preserve"> 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我国经济持续回升向好。</w:t>
      </w:r>
      <w:r>
        <w:rPr>
          <w:spacing w:val="-26"/>
        </w:rPr>
        <w:t xml:space="preserve"> </w:t>
      </w:r>
      <w:r>
        <w:rPr>
          <w:spacing w:val="-7"/>
        </w:rPr>
        <w:t>2023 年四季度，</w:t>
      </w:r>
      <w:r>
        <w:rPr>
          <w:spacing w:val="-22"/>
        </w:rPr>
        <w:t xml:space="preserve"> </w:t>
      </w:r>
      <w:r>
        <w:rPr>
          <w:spacing w:val="-7"/>
        </w:rPr>
        <w:t>全球经济仍保持一</w:t>
      </w:r>
      <w:r>
        <w:t xml:space="preserve"> </w:t>
      </w:r>
      <w:r>
        <w:rPr>
          <w:spacing w:val="-7"/>
        </w:rPr>
        <w:t>定韧性，继续呈现弱势复苏态势。IMF</w:t>
      </w:r>
      <w:r>
        <w:rPr>
          <w:spacing w:val="-35"/>
        </w:rPr>
        <w:t xml:space="preserve"> </w:t>
      </w:r>
      <w:r>
        <w:rPr>
          <w:spacing w:val="-7"/>
        </w:rPr>
        <w:t>预计，2023</w:t>
      </w:r>
      <w:r>
        <w:rPr>
          <w:spacing w:val="-43"/>
        </w:rPr>
        <w:t xml:space="preserve"> </w:t>
      </w:r>
      <w:r>
        <w:rPr>
          <w:spacing w:val="-7"/>
        </w:rPr>
        <w:t>年，全球经济增速将由</w:t>
      </w:r>
      <w:r>
        <w:rPr>
          <w:spacing w:val="-42"/>
        </w:rPr>
        <w:t xml:space="preserve"> </w:t>
      </w:r>
      <w:r>
        <w:rPr>
          <w:spacing w:val="-7"/>
        </w:rPr>
        <w:t>2022</w:t>
      </w:r>
      <w:r>
        <w:rPr>
          <w:spacing w:val="-45"/>
        </w:rPr>
        <w:t xml:space="preserve"> </w:t>
      </w:r>
      <w:r>
        <w:rPr>
          <w:spacing w:val="-7"/>
        </w:rPr>
        <w:t>年的</w:t>
      </w:r>
      <w:r>
        <w:rPr>
          <w:spacing w:val="-39"/>
        </w:rPr>
        <w:t xml:space="preserve"> </w:t>
      </w:r>
      <w:r>
        <w:rPr>
          <w:spacing w:val="-7"/>
        </w:rPr>
        <w:t>3.5%</w:t>
      </w:r>
      <w:r>
        <w:t xml:space="preserve"> </w:t>
      </w:r>
      <w:r>
        <w:rPr>
          <w:spacing w:val="-4"/>
        </w:rPr>
        <w:t>放缓至</w:t>
      </w:r>
      <w:r>
        <w:rPr>
          <w:spacing w:val="-40"/>
        </w:rPr>
        <w:t xml:space="preserve"> </w:t>
      </w:r>
      <w:r>
        <w:rPr>
          <w:spacing w:val="-4"/>
        </w:rPr>
        <w:t>3.0%，且明显低于</w:t>
      </w:r>
      <w:r>
        <w:rPr>
          <w:spacing w:val="-42"/>
        </w:rPr>
        <w:t xml:space="preserve"> </w:t>
      </w:r>
      <w:r>
        <w:rPr>
          <w:spacing w:val="-4"/>
        </w:rPr>
        <w:t>3.8%的历史（2000-2019</w:t>
      </w:r>
      <w:r>
        <w:rPr>
          <w:spacing w:val="-43"/>
        </w:rPr>
        <w:t xml:space="preserve"> </w:t>
      </w:r>
      <w:r>
        <w:rPr>
          <w:spacing w:val="-4"/>
        </w:rPr>
        <w:t>年）平均水平。从主要经济体看，美</w:t>
      </w:r>
      <w:r>
        <w:t xml:space="preserve"> </w:t>
      </w:r>
      <w:r>
        <w:rPr>
          <w:spacing w:val="-5"/>
        </w:rPr>
        <w:t>国经济仍具韧性，季度增速有所放缓；欧洲经济复苏乏力，德法经济整</w:t>
      </w:r>
      <w:r>
        <w:rPr>
          <w:spacing w:val="-6"/>
        </w:rPr>
        <w:t>体低迷； 日本经</w:t>
      </w:r>
      <w:r>
        <w:t xml:space="preserve"> </w:t>
      </w:r>
      <w:r>
        <w:rPr>
          <w:spacing w:val="-3"/>
        </w:rPr>
        <w:t>济持续疲软，经济总量被德国反超。国内方面，我国经济回升向好，主要预期目标圆满</w:t>
      </w:r>
      <w:r>
        <w:rPr>
          <w:spacing w:val="16"/>
        </w:rPr>
        <w:t xml:space="preserve"> </w:t>
      </w:r>
      <w:r>
        <w:rPr>
          <w:spacing w:val="-5"/>
        </w:rPr>
        <w:t>实现。 2023</w:t>
      </w:r>
      <w:r>
        <w:rPr>
          <w:spacing w:val="-43"/>
        </w:rPr>
        <w:t xml:space="preserve"> </w:t>
      </w:r>
      <w:r>
        <w:rPr>
          <w:spacing w:val="-5"/>
        </w:rPr>
        <w:t>年全年国内生产总值</w:t>
      </w:r>
      <w:r>
        <w:rPr>
          <w:spacing w:val="-28"/>
        </w:rPr>
        <w:t xml:space="preserve"> </w:t>
      </w:r>
      <w:r>
        <w:rPr>
          <w:spacing w:val="-5"/>
        </w:rPr>
        <w:t>1260582</w:t>
      </w:r>
      <w:r>
        <w:rPr>
          <w:spacing w:val="-43"/>
        </w:rPr>
        <w:t xml:space="preserve"> </w:t>
      </w:r>
      <w:r>
        <w:rPr>
          <w:spacing w:val="-5"/>
        </w:rPr>
        <w:t>亿元，按不变价格计算， 比上年增长</w:t>
      </w:r>
      <w:r>
        <w:rPr>
          <w:spacing w:val="-37"/>
        </w:rPr>
        <w:t xml:space="preserve"> </w:t>
      </w:r>
      <w:r>
        <w:rPr>
          <w:spacing w:val="-5"/>
        </w:rPr>
        <w:t>5.</w:t>
      </w:r>
      <w:r>
        <w:rPr>
          <w:spacing w:val="-6"/>
        </w:rPr>
        <w:t>2%。</w:t>
      </w:r>
      <w:r>
        <w:t xml:space="preserve"> </w:t>
      </w:r>
      <w:r>
        <w:rPr>
          <w:spacing w:val="-4"/>
        </w:rPr>
        <w:t>分季度看， 一季度国内生产总值同比增长</w:t>
      </w:r>
      <w:r>
        <w:rPr>
          <w:spacing w:val="-23"/>
        </w:rPr>
        <w:t xml:space="preserve"> </w:t>
      </w:r>
      <w:r>
        <w:rPr>
          <w:spacing w:val="-4"/>
        </w:rPr>
        <w:t>4.5%，二季度增长</w:t>
      </w:r>
      <w:r>
        <w:rPr>
          <w:spacing w:val="-24"/>
        </w:rPr>
        <w:t xml:space="preserve"> </w:t>
      </w:r>
      <w:r>
        <w:rPr>
          <w:spacing w:val="-4"/>
        </w:rPr>
        <w:t>6.3%，三季度增</w:t>
      </w:r>
      <w:r>
        <w:rPr>
          <w:spacing w:val="-5"/>
        </w:rPr>
        <w:t>长</w:t>
      </w:r>
      <w:r>
        <w:rPr>
          <w:spacing w:val="-22"/>
        </w:rPr>
        <w:t xml:space="preserve"> </w:t>
      </w:r>
      <w:r>
        <w:rPr>
          <w:spacing w:val="-5"/>
        </w:rPr>
        <w:t>4.9%，</w:t>
      </w:r>
      <w:r>
        <w:t xml:space="preserve"> </w:t>
      </w:r>
      <w:r>
        <w:rPr>
          <w:spacing w:val="-1"/>
        </w:rPr>
        <w:t>四季度增长</w:t>
      </w:r>
      <w:r>
        <w:rPr>
          <w:spacing w:val="-40"/>
        </w:rPr>
        <w:t xml:space="preserve"> </w:t>
      </w:r>
      <w:r>
        <w:rPr>
          <w:spacing w:val="-1"/>
        </w:rPr>
        <w:t>5.2%。从环比看，四季度国</w:t>
      </w:r>
      <w:r>
        <w:rPr>
          <w:spacing w:val="-2"/>
        </w:rPr>
        <w:t>内生产总值增长</w:t>
      </w:r>
      <w:r>
        <w:rPr>
          <w:spacing w:val="-28"/>
        </w:rPr>
        <w:t xml:space="preserve"> </w:t>
      </w:r>
      <w:r>
        <w:rPr>
          <w:spacing w:val="-2"/>
        </w:rPr>
        <w:t>1.0%。</w:t>
      </w:r>
    </w:p>
    <w:p>
      <w:pPr>
        <w:pStyle w:val="BodyText"/>
        <w:spacing w:before="299" w:line="330" w:lineRule="auto"/>
        <w:ind w:left="441" w:right="55" w:hanging="407"/>
      </w:pPr>
      <w:r>
        <w:rPr>
          <w:rFonts w:ascii="Wingdings" w:eastAsia="Wingdings" w:hAnsi="Wingdings" w:cs="Wingdings"/>
          <w:spacing w:val="-5"/>
          <w:sz w:val="24"/>
          <w:szCs w:val="24"/>
        </w:rPr>
        <w:t xml:space="preserve">&gt;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国家继续出台系列措施，</w:t>
      </w:r>
      <w:r>
        <w:rPr>
          <w:spacing w:val="-20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规范和促进通信行业发展。</w:t>
      </w:r>
      <w:r>
        <w:rPr>
          <w:spacing w:val="-5"/>
        </w:rPr>
        <w:t>2023 年四季度，</w:t>
      </w:r>
      <w:r>
        <w:rPr>
          <w:spacing w:val="-23"/>
        </w:rPr>
        <w:t xml:space="preserve"> </w:t>
      </w:r>
      <w:r>
        <w:rPr>
          <w:spacing w:val="-5"/>
        </w:rPr>
        <w:t>通信行业政策动</w:t>
      </w:r>
      <w:r>
        <w:t xml:space="preserve"> </w:t>
      </w:r>
      <w:r>
        <w:rPr>
          <w:spacing w:val="-7"/>
        </w:rPr>
        <w:t>向主要体现在以下四个方面：</w:t>
      </w:r>
      <w:r>
        <w:rPr>
          <w:spacing w:val="-24"/>
        </w:rPr>
        <w:t xml:space="preserve"> </w:t>
      </w:r>
      <w:r>
        <w:rPr>
          <w:spacing w:val="-7"/>
        </w:rPr>
        <w:t>一是，</w:t>
      </w:r>
      <w:r>
        <w:rPr>
          <w:spacing w:val="-47"/>
        </w:rPr>
        <w:t xml:space="preserve"> </w:t>
      </w:r>
      <w:r>
        <w:rPr>
          <w:spacing w:val="-7"/>
        </w:rPr>
        <w:t>推动数据和算力等新型数字基础设施建设，</w:t>
      </w:r>
      <w:r>
        <w:rPr>
          <w:spacing w:val="-75"/>
        </w:rPr>
        <w:t xml:space="preserve"> </w:t>
      </w:r>
      <w:r>
        <w:rPr>
          <w:spacing w:val="-7"/>
        </w:rPr>
        <w:t>《算力</w:t>
      </w:r>
      <w:r>
        <w:t xml:space="preserve"> </w:t>
      </w:r>
      <w:r>
        <w:t>基础设施高质量发展行动计划》、《深入实施“东数西算”工程 加快构建全国一体化</w:t>
      </w:r>
      <w:r>
        <w:rPr>
          <w:spacing w:val="5"/>
        </w:rPr>
        <w:t xml:space="preserve"> </w:t>
      </w:r>
      <w:r>
        <w:rPr>
          <w:spacing w:val="-4"/>
        </w:rPr>
        <w:t>算力网的实施意见》等重磅文件出台。二是，深化</w:t>
      </w:r>
      <w:r>
        <w:rPr>
          <w:spacing w:val="-39"/>
        </w:rPr>
        <w:t xml:space="preserve"> </w:t>
      </w:r>
      <w:r>
        <w:rPr>
          <w:spacing w:val="-4"/>
        </w:rPr>
        <w:t>5G、工业互联网</w:t>
      </w:r>
      <w:r>
        <w:rPr>
          <w:spacing w:val="-5"/>
        </w:rPr>
        <w:t>等新一代信息技术创</w:t>
      </w:r>
      <w:r>
        <w:t xml:space="preserve"> </w:t>
      </w:r>
      <w:r>
        <w:rPr>
          <w:spacing w:val="-7"/>
        </w:rPr>
        <w:t>新应用，《关于推进</w:t>
      </w:r>
      <w:r>
        <w:rPr>
          <w:spacing w:val="-40"/>
        </w:rPr>
        <w:t xml:space="preserve"> </w:t>
      </w:r>
      <w:r>
        <w:rPr>
          <w:spacing w:val="-7"/>
        </w:rPr>
        <w:t>5G</w:t>
      </w:r>
      <w:r>
        <w:rPr>
          <w:spacing w:val="-45"/>
        </w:rPr>
        <w:t xml:space="preserve"> </w:t>
      </w:r>
      <w:r>
        <w:rPr>
          <w:spacing w:val="-7"/>
        </w:rPr>
        <w:t>轻量化（RedCap）技</w:t>
      </w:r>
      <w:r>
        <w:rPr>
          <w:spacing w:val="-8"/>
        </w:rPr>
        <w:t>术演进和应用创新发展的通知》发布，“5G+</w:t>
      </w:r>
      <w:r>
        <w:t xml:space="preserve"> </w:t>
      </w:r>
      <w:r>
        <w:rPr>
          <w:spacing w:val="-4"/>
        </w:rPr>
        <w:t>工业互联网”融合应用先导区试点工作规则和建设指南印发。三是，</w:t>
      </w:r>
      <w:r>
        <w:rPr>
          <w:spacing w:val="-50"/>
        </w:rPr>
        <w:t xml:space="preserve"> </w:t>
      </w:r>
      <w:r>
        <w:rPr>
          <w:spacing w:val="-4"/>
        </w:rPr>
        <w:t>推进信息通信领域</w:t>
      </w:r>
      <w:r>
        <w:t xml:space="preserve"> </w:t>
      </w:r>
      <w:r>
        <w:rPr>
          <w:spacing w:val="-5"/>
        </w:rPr>
        <w:t>标准体系建设工作，</w:t>
      </w:r>
      <w:r>
        <w:rPr>
          <w:spacing w:val="-54"/>
        </w:rPr>
        <w:t xml:space="preserve"> </w:t>
      </w:r>
      <w:r>
        <w:rPr>
          <w:spacing w:val="-5"/>
        </w:rPr>
        <w:t>通信行业</w:t>
      </w:r>
      <w:r>
        <w:rPr>
          <w:spacing w:val="-28"/>
        </w:rPr>
        <w:t xml:space="preserve"> </w:t>
      </w:r>
      <w:r>
        <w:rPr>
          <w:spacing w:val="-5"/>
        </w:rPr>
        <w:t>10</w:t>
      </w:r>
      <w:r>
        <w:rPr>
          <w:spacing w:val="-40"/>
        </w:rPr>
        <w:t xml:space="preserve"> </w:t>
      </w:r>
      <w:r>
        <w:rPr>
          <w:spacing w:val="-5"/>
        </w:rPr>
        <w:t>项推荐性国家标准和</w:t>
      </w:r>
      <w:r>
        <w:rPr>
          <w:spacing w:val="-43"/>
        </w:rPr>
        <w:t xml:space="preserve"> </w:t>
      </w:r>
      <w:r>
        <w:rPr>
          <w:spacing w:val="-5"/>
        </w:rPr>
        <w:t>81</w:t>
      </w:r>
      <w:r>
        <w:rPr>
          <w:spacing w:val="-43"/>
        </w:rPr>
        <w:t xml:space="preserve"> </w:t>
      </w:r>
      <w:r>
        <w:rPr>
          <w:spacing w:val="-5"/>
        </w:rPr>
        <w:t>项行</w:t>
      </w:r>
      <w:r>
        <w:rPr>
          <w:spacing w:val="-6"/>
        </w:rPr>
        <w:t>业标准报批公示，《通信</w:t>
      </w:r>
      <w:r>
        <w:t xml:space="preserve"> </w:t>
      </w:r>
      <w:r>
        <w:rPr>
          <w:spacing w:val="-5"/>
        </w:rPr>
        <w:t>行业绿色低碳标准体系建设指南（2023</w:t>
      </w:r>
      <w:r>
        <w:rPr>
          <w:spacing w:val="-45"/>
        </w:rPr>
        <w:t xml:space="preserve"> </w:t>
      </w:r>
      <w:r>
        <w:rPr>
          <w:spacing w:val="-5"/>
        </w:rPr>
        <w:t>版）》正式发布。</w:t>
      </w:r>
      <w:r>
        <w:rPr>
          <w:spacing w:val="-6"/>
        </w:rPr>
        <w:t>四是，</w:t>
      </w:r>
      <w:r>
        <w:rPr>
          <w:spacing w:val="-49"/>
        </w:rPr>
        <w:t xml:space="preserve"> </w:t>
      </w:r>
      <w:r>
        <w:rPr>
          <w:spacing w:val="-6"/>
        </w:rPr>
        <w:t>持续提升信息通信行业</w:t>
      </w:r>
      <w:r>
        <w:t xml:space="preserve"> </w:t>
      </w:r>
      <w:r>
        <w:rPr>
          <w:spacing w:val="-3"/>
        </w:rPr>
        <w:t>管理水平，工信部公开征求对《关于创新信息通信行业管理优化营商环境的意见（征求</w:t>
      </w:r>
      <w:r>
        <w:rPr>
          <w:spacing w:val="17"/>
        </w:rPr>
        <w:t xml:space="preserve"> </w:t>
      </w:r>
      <w:r>
        <w:rPr>
          <w:spacing w:val="-3"/>
        </w:rPr>
        <w:t>意见稿）》的意见。</w:t>
      </w:r>
    </w:p>
    <w:p>
      <w:pPr>
        <w:pStyle w:val="BodyText"/>
        <w:spacing w:before="295" w:line="322" w:lineRule="auto"/>
        <w:ind w:left="442" w:right="55" w:hanging="408"/>
        <w:sectPr>
          <w:footerReference w:type="default" r:id="rId5"/>
          <w:pgSz w:w="11907" w:h="16839"/>
          <w:pgMar w:top="1431" w:right="1737" w:bottom="1156" w:left="1785" w:header="0" w:footer="995" w:gutter="0"/>
          <w:cols w:space="708"/>
        </w:sectPr>
      </w:pPr>
      <w:r>
        <w:rPr>
          <w:rFonts w:ascii="Wingdings" w:eastAsia="Wingdings" w:hAnsi="Wingdings" w:cs="Wingdings"/>
          <w:spacing w:val="-1"/>
          <w:sz w:val="24"/>
          <w:szCs w:val="24"/>
        </w:rPr>
        <w:t xml:space="preserve">&gt; </w:t>
      </w:r>
      <w:r>
        <w:rPr>
          <w:spacing w:val="-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通信行业主营业务收入稳步增长，收入结构不断优化。</w:t>
      </w:r>
      <w:r>
        <w:rPr>
          <w:spacing w:val="-1"/>
        </w:rPr>
        <w:t>2023 年四季度，得益于国内数</w:t>
      </w:r>
      <w:r>
        <w:t xml:space="preserve"> </w:t>
      </w:r>
      <w:r>
        <w:rPr>
          <w:spacing w:val="-4"/>
        </w:rPr>
        <w:t>字经济加快发展，信息通信需求持续释放，尤其</w:t>
      </w:r>
      <w:r>
        <w:rPr>
          <w:spacing w:val="-34"/>
        </w:rPr>
        <w:t xml:space="preserve"> </w:t>
      </w:r>
      <w:r>
        <w:rPr>
          <w:spacing w:val="-4"/>
        </w:rPr>
        <w:t>IPTV、互联网</w:t>
      </w:r>
      <w:r>
        <w:rPr>
          <w:spacing w:val="-5"/>
        </w:rPr>
        <w:t>数据中心、大数据、云计</w:t>
      </w:r>
      <w:r>
        <w:t xml:space="preserve"> </w:t>
      </w:r>
      <w:r>
        <w:rPr>
          <w:spacing w:val="-3"/>
        </w:rPr>
        <w:t>算、物联网等新兴业务快速增长，推动电信业务收入继续保持稳定增长，但全年增速较</w:t>
      </w:r>
      <w:r>
        <w:rPr>
          <w:spacing w:val="16"/>
        </w:rPr>
        <w:t xml:space="preserve"> </w:t>
      </w:r>
      <w:r>
        <w:rPr>
          <w:spacing w:val="-6"/>
        </w:rPr>
        <w:t>上年有所放缓。</w:t>
      </w:r>
      <w:r>
        <w:rPr>
          <w:spacing w:val="-18"/>
        </w:rPr>
        <w:t xml:space="preserve"> </w:t>
      </w:r>
      <w:r>
        <w:rPr>
          <w:spacing w:val="-6"/>
        </w:rPr>
        <w:t>工信部统计数据显示，2023</w:t>
      </w:r>
      <w:r>
        <w:rPr>
          <w:spacing w:val="-41"/>
        </w:rPr>
        <w:t xml:space="preserve"> </w:t>
      </w:r>
      <w:r>
        <w:rPr>
          <w:spacing w:val="-6"/>
        </w:rPr>
        <w:t>年</w:t>
      </w:r>
      <w:r>
        <w:rPr>
          <w:spacing w:val="-27"/>
        </w:rPr>
        <w:t xml:space="preserve"> </w:t>
      </w:r>
      <w:r>
        <w:rPr>
          <w:spacing w:val="-6"/>
        </w:rPr>
        <w:t>1-12</w:t>
      </w:r>
      <w:r>
        <w:rPr>
          <w:spacing w:val="-37"/>
        </w:rPr>
        <w:t xml:space="preserve"> </w:t>
      </w:r>
      <w:r>
        <w:rPr>
          <w:spacing w:val="-6"/>
        </w:rPr>
        <w:t>月， 电信业务收入累计完成</w:t>
      </w:r>
      <w:r>
        <w:rPr>
          <w:spacing w:val="-26"/>
        </w:rPr>
        <w:t xml:space="preserve"> </w:t>
      </w:r>
      <w:r>
        <w:rPr>
          <w:spacing w:val="-6"/>
        </w:rPr>
        <w:t>16835</w:t>
      </w:r>
      <w:r>
        <w:t xml:space="preserve"> </w:t>
      </w:r>
    </w:p>
    <w:p>
      <w:pPr>
        <w:pStyle w:val="BodyText"/>
        <w:spacing w:before="295" w:line="322" w:lineRule="auto"/>
        <w:ind w:left="442" w:right="55" w:hanging="408"/>
      </w:pPr>
      <w:r>
        <w:rPr>
          <w:spacing w:val="-6"/>
        </w:rPr>
        <w:t>亿元， 同比增长</w:t>
      </w:r>
      <w:r>
        <w:rPr>
          <w:spacing w:val="-42"/>
        </w:rPr>
        <w:t xml:space="preserve"> </w:t>
      </w:r>
      <w:r>
        <w:rPr>
          <w:spacing w:val="-6"/>
        </w:rPr>
        <w:t>6.2%，增速较</w:t>
      </w:r>
      <w:r>
        <w:rPr>
          <w:spacing w:val="-42"/>
        </w:rPr>
        <w:t xml:space="preserve"> </w:t>
      </w:r>
      <w:r>
        <w:rPr>
          <w:spacing w:val="-6"/>
        </w:rPr>
        <w:t>2023</w:t>
      </w:r>
      <w:r>
        <w:rPr>
          <w:spacing w:val="-45"/>
        </w:rPr>
        <w:t xml:space="preserve"> </w:t>
      </w:r>
      <w:r>
        <w:rPr>
          <w:spacing w:val="-6"/>
        </w:rPr>
        <w:t>年</w:t>
      </w:r>
      <w:r>
        <w:rPr>
          <w:spacing w:val="-29"/>
        </w:rPr>
        <w:t xml:space="preserve"> </w:t>
      </w:r>
      <w:r>
        <w:rPr>
          <w:spacing w:val="-6"/>
        </w:rPr>
        <w:t>1-9</w:t>
      </w:r>
      <w:r>
        <w:rPr>
          <w:spacing w:val="-39"/>
        </w:rPr>
        <w:t xml:space="preserve"> </w:t>
      </w:r>
      <w:r>
        <w:rPr>
          <w:spacing w:val="-6"/>
        </w:rPr>
        <w:t>月和上年同期分别回落</w:t>
      </w:r>
      <w:r>
        <w:rPr>
          <w:spacing w:val="-42"/>
        </w:rPr>
        <w:t xml:space="preserve"> </w:t>
      </w:r>
      <w:r>
        <w:rPr>
          <w:spacing w:val="-6"/>
        </w:rPr>
        <w:t>0.6</w:t>
      </w:r>
      <w:r>
        <w:rPr>
          <w:spacing w:val="-44"/>
        </w:rPr>
        <w:t xml:space="preserve"> </w:t>
      </w:r>
      <w:r>
        <w:rPr>
          <w:spacing w:val="-6"/>
        </w:rPr>
        <w:t>个和</w:t>
      </w:r>
      <w:r>
        <w:rPr>
          <w:spacing w:val="-28"/>
        </w:rPr>
        <w:t xml:space="preserve"> </w:t>
      </w:r>
      <w:r>
        <w:rPr>
          <w:spacing w:val="-6"/>
        </w:rPr>
        <w:t>1.8</w:t>
      </w:r>
      <w:r>
        <w:rPr>
          <w:spacing w:val="-44"/>
        </w:rPr>
        <w:t xml:space="preserve"> </w:t>
      </w:r>
      <w:r>
        <w:rPr>
          <w:spacing w:val="-7"/>
        </w:rPr>
        <w:t>个百分</w:t>
      </w:r>
      <w:r>
        <w:t xml:space="preserve"> </w:t>
      </w:r>
      <w:r>
        <w:rPr>
          <w:spacing w:val="-6"/>
        </w:rPr>
        <w:t>点。 同时，完成新兴业务收入 3564</w:t>
      </w:r>
      <w:r>
        <w:rPr>
          <w:spacing w:val="-22"/>
        </w:rPr>
        <w:t xml:space="preserve"> </w:t>
      </w:r>
      <w:r>
        <w:rPr>
          <w:spacing w:val="-6"/>
        </w:rPr>
        <w:t>亿元， 同比增长 1</w:t>
      </w:r>
      <w:r>
        <w:rPr>
          <w:spacing w:val="-7"/>
        </w:rPr>
        <w:t>9.1%，在电信业务收入中占比由</w:t>
      </w:r>
    </w:p>
    <w:p>
      <w:pPr>
        <w:spacing w:line="322" w:lineRule="auto"/>
        <w:sectPr>
          <w:footerReference w:type="default" r:id="rId6"/>
          <w:type w:val="nextPage"/>
          <w:pgSz w:w="11907" w:h="16839"/>
          <w:pgMar w:top="1431" w:right="1737" w:bottom="1156" w:left="1785" w:header="0" w:footer="995" w:gutter="0"/>
          <w:pgNumType w:start="2"/>
          <w:cols w:space="708"/>
          <w:titlePg w:val="0"/>
        </w:sectPr>
      </w:pPr>
    </w:p>
    <w:p>
      <w:pPr>
        <w:pStyle w:val="BodyText"/>
        <w:spacing w:before="98" w:line="389" w:lineRule="exact"/>
        <w:ind w:right="7"/>
        <w:jc w:val="right"/>
      </w:pPr>
      <w:r>
        <w:rPr>
          <w:spacing w:val="-3"/>
          <w:position w:val="13"/>
        </w:rPr>
        <w:t>上年的</w:t>
      </w:r>
      <w:r>
        <w:rPr>
          <w:spacing w:val="-28"/>
          <w:position w:val="13"/>
        </w:rPr>
        <w:t xml:space="preserve"> </w:t>
      </w:r>
      <w:r>
        <w:rPr>
          <w:spacing w:val="-3"/>
          <w:position w:val="13"/>
        </w:rPr>
        <w:t>19.4%提升至</w:t>
      </w:r>
      <w:r>
        <w:rPr>
          <w:spacing w:val="-38"/>
          <w:position w:val="13"/>
        </w:rPr>
        <w:t xml:space="preserve"> </w:t>
      </w:r>
      <w:r>
        <w:rPr>
          <w:spacing w:val="-3"/>
          <w:position w:val="13"/>
        </w:rPr>
        <w:t>21.2%，拉动电信业务收入增长</w:t>
      </w:r>
      <w:r>
        <w:rPr>
          <w:spacing w:val="-40"/>
          <w:position w:val="13"/>
        </w:rPr>
        <w:t xml:space="preserve"> </w:t>
      </w:r>
      <w:r>
        <w:rPr>
          <w:spacing w:val="-3"/>
          <w:position w:val="13"/>
        </w:rPr>
        <w:t>3.6</w:t>
      </w:r>
      <w:r>
        <w:rPr>
          <w:spacing w:val="-42"/>
          <w:position w:val="13"/>
        </w:rPr>
        <w:t xml:space="preserve"> </w:t>
      </w:r>
      <w:r>
        <w:rPr>
          <w:spacing w:val="-3"/>
          <w:position w:val="13"/>
        </w:rPr>
        <w:t>个百分点。</w:t>
      </w:r>
      <w:r>
        <w:rPr>
          <w:spacing w:val="-30"/>
          <w:position w:val="13"/>
        </w:rPr>
        <w:t xml:space="preserve"> </w:t>
      </w:r>
      <w:r>
        <w:rPr>
          <w:spacing w:val="-3"/>
          <w:position w:val="13"/>
        </w:rPr>
        <w:t>其中，云计算</w:t>
      </w:r>
      <w:r>
        <w:rPr>
          <w:spacing w:val="-4"/>
          <w:position w:val="13"/>
        </w:rPr>
        <w:t>、大</w:t>
      </w:r>
    </w:p>
    <w:p>
      <w:pPr>
        <w:pStyle w:val="BodyText"/>
        <w:spacing w:line="220" w:lineRule="auto"/>
        <w:ind w:left="444"/>
      </w:pPr>
      <w:r>
        <w:rPr>
          <w:spacing w:val="-1"/>
        </w:rPr>
        <w:t>数据业务收入比上年均增长</w:t>
      </w:r>
      <w:r>
        <w:rPr>
          <w:spacing w:val="-32"/>
        </w:rPr>
        <w:t xml:space="preserve"> </w:t>
      </w:r>
      <w:r>
        <w:rPr>
          <w:spacing w:val="-1"/>
        </w:rPr>
        <w:t>37.5%，物联网业务收入比上年增长</w:t>
      </w:r>
      <w:r>
        <w:rPr>
          <w:spacing w:val="-42"/>
        </w:rPr>
        <w:t xml:space="preserve"> </w:t>
      </w:r>
      <w:r>
        <w:rPr>
          <w:spacing w:val="-1"/>
        </w:rPr>
        <w:t>20.3%。</w:t>
      </w:r>
    </w:p>
    <w:p>
      <w:pPr>
        <w:pStyle w:val="BodyText"/>
        <w:spacing w:before="302" w:line="331" w:lineRule="auto"/>
        <w:ind w:left="441" w:right="7" w:hanging="407"/>
      </w:pPr>
      <w:r>
        <w:rPr>
          <w:rFonts w:ascii="Wingdings" w:eastAsia="Wingdings" w:hAnsi="Wingdings" w:cs="Wingdings"/>
          <w:spacing w:val="-5"/>
          <w:sz w:val="24"/>
          <w:szCs w:val="24"/>
        </w:rPr>
        <w:t xml:space="preserve">&gt;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5G、千兆用户规模不断扩大，综合通信能力持续提升。</w:t>
      </w:r>
      <w:r>
        <w:rPr>
          <w:spacing w:val="-5"/>
        </w:rPr>
        <w:t>截至</w:t>
      </w:r>
      <w:r>
        <w:rPr>
          <w:spacing w:val="-28"/>
        </w:rPr>
        <w:t xml:space="preserve"> </w:t>
      </w:r>
      <w:r>
        <w:rPr>
          <w:spacing w:val="-5"/>
        </w:rPr>
        <w:t>2023</w:t>
      </w:r>
      <w:r>
        <w:rPr>
          <w:spacing w:val="-45"/>
        </w:rPr>
        <w:t xml:space="preserve"> </w:t>
      </w:r>
      <w:r>
        <w:rPr>
          <w:spacing w:val="-5"/>
        </w:rPr>
        <w:t>年</w:t>
      </w:r>
      <w:r>
        <w:rPr>
          <w:spacing w:val="-29"/>
        </w:rPr>
        <w:t xml:space="preserve"> </w:t>
      </w:r>
      <w:r>
        <w:rPr>
          <w:spacing w:val="-5"/>
        </w:rPr>
        <w:t>12</w:t>
      </w:r>
      <w:r>
        <w:rPr>
          <w:spacing w:val="-39"/>
        </w:rPr>
        <w:t xml:space="preserve"> </w:t>
      </w:r>
      <w:r>
        <w:rPr>
          <w:spacing w:val="-5"/>
        </w:rPr>
        <w:t>月末，全国移动</w:t>
      </w:r>
      <w:r>
        <w:t xml:space="preserve"> </w:t>
      </w:r>
      <w:r>
        <w:rPr>
          <w:spacing w:val="-4"/>
        </w:rPr>
        <w:t>电话用户总数 17.27</w:t>
      </w:r>
      <w:r>
        <w:rPr>
          <w:spacing w:val="-26"/>
        </w:rPr>
        <w:t xml:space="preserve"> </w:t>
      </w:r>
      <w:r>
        <w:rPr>
          <w:spacing w:val="-4"/>
        </w:rPr>
        <w:t>亿户，其中</w:t>
      </w:r>
      <w:r>
        <w:rPr>
          <w:spacing w:val="-21"/>
        </w:rPr>
        <w:t xml:space="preserve"> </w:t>
      </w:r>
      <w:r>
        <w:rPr>
          <w:spacing w:val="-4"/>
        </w:rPr>
        <w:t>5G</w:t>
      </w:r>
      <w:r>
        <w:rPr>
          <w:spacing w:val="-26"/>
        </w:rPr>
        <w:t xml:space="preserve"> </w:t>
      </w:r>
      <w:r>
        <w:rPr>
          <w:spacing w:val="-4"/>
        </w:rPr>
        <w:t>移动电话用户达到</w:t>
      </w:r>
      <w:r>
        <w:rPr>
          <w:spacing w:val="-24"/>
        </w:rPr>
        <w:t xml:space="preserve"> </w:t>
      </w:r>
      <w:r>
        <w:rPr>
          <w:spacing w:val="-5"/>
        </w:rPr>
        <w:t>8.05</w:t>
      </w:r>
      <w:r>
        <w:rPr>
          <w:spacing w:val="-24"/>
        </w:rPr>
        <w:t xml:space="preserve"> </w:t>
      </w:r>
      <w:r>
        <w:rPr>
          <w:spacing w:val="-5"/>
        </w:rPr>
        <w:t>亿户， 占移动电话用户的</w:t>
      </w:r>
      <w:r>
        <w:t xml:space="preserve"> </w:t>
      </w:r>
      <w:r>
        <w:rPr>
          <w:spacing w:val="-3"/>
        </w:rPr>
        <w:t>46.6%，比上年末提高</w:t>
      </w:r>
      <w:r>
        <w:rPr>
          <w:spacing w:val="-31"/>
        </w:rPr>
        <w:t xml:space="preserve"> </w:t>
      </w:r>
      <w:r>
        <w:rPr>
          <w:spacing w:val="-3"/>
        </w:rPr>
        <w:t>13.3</w:t>
      </w:r>
      <w:r>
        <w:rPr>
          <w:spacing w:val="-44"/>
        </w:rPr>
        <w:t xml:space="preserve"> </w:t>
      </w:r>
      <w:r>
        <w:rPr>
          <w:spacing w:val="-3"/>
        </w:rPr>
        <w:t>个百分点。三家基础电信企业的固定互联网宽带接入用户总</w:t>
      </w:r>
      <w:r>
        <w:t xml:space="preserve"> </w:t>
      </w:r>
      <w:r>
        <w:rPr>
          <w:spacing w:val="-7"/>
        </w:rPr>
        <w:t>数达</w:t>
      </w:r>
      <w:r>
        <w:rPr>
          <w:spacing w:val="-34"/>
        </w:rPr>
        <w:t xml:space="preserve"> </w:t>
      </w:r>
      <w:r>
        <w:rPr>
          <w:spacing w:val="-7"/>
        </w:rPr>
        <w:t>6.36</w:t>
      </w:r>
      <w:r>
        <w:rPr>
          <w:spacing w:val="-46"/>
        </w:rPr>
        <w:t xml:space="preserve"> </w:t>
      </w:r>
      <w:r>
        <w:rPr>
          <w:spacing w:val="-7"/>
        </w:rPr>
        <w:t>亿户，</w:t>
      </w:r>
      <w:r>
        <w:rPr>
          <w:spacing w:val="-46"/>
        </w:rPr>
        <w:t xml:space="preserve"> </w:t>
      </w:r>
      <w:r>
        <w:rPr>
          <w:spacing w:val="-7"/>
        </w:rPr>
        <w:t>其中</w:t>
      </w:r>
      <w:r>
        <w:rPr>
          <w:spacing w:val="-30"/>
        </w:rPr>
        <w:t xml:space="preserve"> </w:t>
      </w:r>
      <w:r>
        <w:rPr>
          <w:spacing w:val="-7"/>
        </w:rPr>
        <w:t>1000Mbps</w:t>
      </w:r>
      <w:r>
        <w:rPr>
          <w:spacing w:val="-47"/>
        </w:rPr>
        <w:t xml:space="preserve"> </w:t>
      </w:r>
      <w:r>
        <w:rPr>
          <w:spacing w:val="-7"/>
        </w:rPr>
        <w:t>及以上接入速率的用户为</w:t>
      </w:r>
      <w:r>
        <w:rPr>
          <w:spacing w:val="-29"/>
        </w:rPr>
        <w:t xml:space="preserve"> </w:t>
      </w:r>
      <w:r>
        <w:rPr>
          <w:spacing w:val="-7"/>
        </w:rPr>
        <w:t>1.63</w:t>
      </w:r>
      <w:r>
        <w:rPr>
          <w:spacing w:val="-45"/>
        </w:rPr>
        <w:t xml:space="preserve"> </w:t>
      </w:r>
      <w:r>
        <w:rPr>
          <w:spacing w:val="-7"/>
        </w:rPr>
        <w:t>亿户，</w:t>
      </w:r>
      <w:r>
        <w:rPr>
          <w:spacing w:val="-48"/>
        </w:rPr>
        <w:t xml:space="preserve"> </w:t>
      </w:r>
      <w:r>
        <w:rPr>
          <w:spacing w:val="-7"/>
        </w:rPr>
        <w:t>全年净增</w:t>
      </w:r>
      <w:r>
        <w:rPr>
          <w:spacing w:val="-40"/>
        </w:rPr>
        <w:t xml:space="preserve"> </w:t>
      </w:r>
      <w:r>
        <w:rPr>
          <w:spacing w:val="-7"/>
        </w:rPr>
        <w:t>7153</w:t>
      </w:r>
      <w:r>
        <w:rPr>
          <w:spacing w:val="-41"/>
        </w:rPr>
        <w:t xml:space="preserve"> </w:t>
      </w:r>
      <w:r>
        <w:rPr>
          <w:spacing w:val="-7"/>
        </w:rPr>
        <w:t>万</w:t>
      </w:r>
      <w:r>
        <w:t xml:space="preserve"> </w:t>
      </w:r>
      <w:r>
        <w:rPr>
          <w:spacing w:val="-3"/>
        </w:rPr>
        <w:t>户，占总用户数的</w:t>
      </w:r>
      <w:r>
        <w:rPr>
          <w:spacing w:val="-33"/>
        </w:rPr>
        <w:t xml:space="preserve"> </w:t>
      </w:r>
      <w:r>
        <w:rPr>
          <w:spacing w:val="-3"/>
        </w:rPr>
        <w:t>25.7%，占比较上年末提高</w:t>
      </w:r>
      <w:r>
        <w:rPr>
          <w:spacing w:val="-28"/>
        </w:rPr>
        <w:t xml:space="preserve"> </w:t>
      </w:r>
      <w:r>
        <w:rPr>
          <w:spacing w:val="-3"/>
        </w:rPr>
        <w:t>10.1</w:t>
      </w:r>
      <w:r>
        <w:rPr>
          <w:spacing w:val="-44"/>
        </w:rPr>
        <w:t xml:space="preserve"> </w:t>
      </w:r>
      <w:r>
        <w:rPr>
          <w:spacing w:val="-3"/>
        </w:rPr>
        <w:t>个百分点。</w:t>
      </w:r>
      <w:r>
        <w:rPr>
          <w:spacing w:val="-29"/>
        </w:rPr>
        <w:t xml:space="preserve"> </w:t>
      </w:r>
      <w:r>
        <w:rPr>
          <w:spacing w:val="-3"/>
        </w:rPr>
        <w:t>2023</w:t>
      </w:r>
      <w:r>
        <w:rPr>
          <w:spacing w:val="-43"/>
        </w:rPr>
        <w:t xml:space="preserve"> </w:t>
      </w:r>
      <w:r>
        <w:rPr>
          <w:spacing w:val="-3"/>
        </w:rPr>
        <w:t>年四季度，我国光</w:t>
      </w:r>
      <w:r>
        <w:t xml:space="preserve"> </w:t>
      </w:r>
      <w:r>
        <w:rPr>
          <w:spacing w:val="-3"/>
        </w:rPr>
        <w:t>缆线路总长度继续保持稳步增长态势，</w:t>
      </w:r>
      <w:r>
        <w:rPr>
          <w:spacing w:val="-10"/>
        </w:rPr>
        <w:t xml:space="preserve"> </w:t>
      </w:r>
      <w:r>
        <w:rPr>
          <w:spacing w:val="-3"/>
        </w:rPr>
        <w:t>千兆网络服务能力持续提升，5G</w:t>
      </w:r>
      <w:r>
        <w:rPr>
          <w:spacing w:val="25"/>
        </w:rPr>
        <w:t xml:space="preserve"> </w:t>
      </w:r>
      <w:r>
        <w:rPr>
          <w:spacing w:val="-3"/>
        </w:rPr>
        <w:t>网络建设深入</w:t>
      </w:r>
      <w:r>
        <w:t xml:space="preserve"> </w:t>
      </w:r>
      <w:r>
        <w:rPr>
          <w:spacing w:val="-6"/>
        </w:rPr>
        <w:t>推进。截至</w:t>
      </w:r>
      <w:r>
        <w:rPr>
          <w:spacing w:val="-42"/>
        </w:rPr>
        <w:t xml:space="preserve"> </w:t>
      </w:r>
      <w:r>
        <w:rPr>
          <w:spacing w:val="-6"/>
        </w:rPr>
        <w:t>2023</w:t>
      </w:r>
      <w:r>
        <w:rPr>
          <w:spacing w:val="-43"/>
        </w:rPr>
        <w:t xml:space="preserve"> </w:t>
      </w:r>
      <w:r>
        <w:rPr>
          <w:spacing w:val="-6"/>
        </w:rPr>
        <w:t>年</w:t>
      </w:r>
      <w:r>
        <w:rPr>
          <w:spacing w:val="-30"/>
        </w:rPr>
        <w:t xml:space="preserve"> </w:t>
      </w:r>
      <w:r>
        <w:rPr>
          <w:spacing w:val="-6"/>
        </w:rPr>
        <w:t>12</w:t>
      </w:r>
      <w:r>
        <w:rPr>
          <w:spacing w:val="-39"/>
        </w:rPr>
        <w:t xml:space="preserve"> </w:t>
      </w:r>
      <w:r>
        <w:rPr>
          <w:spacing w:val="-6"/>
        </w:rPr>
        <w:t>月末，</w:t>
      </w:r>
      <w:r>
        <w:rPr>
          <w:spacing w:val="-54"/>
        </w:rPr>
        <w:t xml:space="preserve"> </w:t>
      </w:r>
      <w:r>
        <w:rPr>
          <w:spacing w:val="-6"/>
        </w:rPr>
        <w:t>全国光缆线路总长度达</w:t>
      </w:r>
      <w:r>
        <w:rPr>
          <w:spacing w:val="-42"/>
        </w:rPr>
        <w:t xml:space="preserve"> </w:t>
      </w:r>
      <w:r>
        <w:rPr>
          <w:spacing w:val="-6"/>
        </w:rPr>
        <w:t>6432</w:t>
      </w:r>
      <w:r>
        <w:rPr>
          <w:spacing w:val="-39"/>
        </w:rPr>
        <w:t xml:space="preserve"> </w:t>
      </w:r>
      <w:r>
        <w:rPr>
          <w:spacing w:val="-6"/>
        </w:rPr>
        <w:t>万公里，比</w:t>
      </w:r>
      <w:r>
        <w:rPr>
          <w:spacing w:val="-44"/>
        </w:rPr>
        <w:t xml:space="preserve"> </w:t>
      </w:r>
      <w:r>
        <w:rPr>
          <w:spacing w:val="-6"/>
        </w:rPr>
        <w:t>2</w:t>
      </w:r>
      <w:r>
        <w:rPr>
          <w:spacing w:val="-7"/>
        </w:rPr>
        <w:t>023</w:t>
      </w:r>
      <w:r>
        <w:rPr>
          <w:spacing w:val="-45"/>
        </w:rPr>
        <w:t xml:space="preserve"> </w:t>
      </w:r>
      <w:r>
        <w:rPr>
          <w:spacing w:val="-7"/>
        </w:rPr>
        <w:t>年</w:t>
      </w:r>
      <w:r>
        <w:rPr>
          <w:spacing w:val="-43"/>
        </w:rPr>
        <w:t xml:space="preserve"> </w:t>
      </w:r>
      <w:r>
        <w:rPr>
          <w:spacing w:val="-7"/>
        </w:rPr>
        <w:t>9</w:t>
      </w:r>
      <w:r>
        <w:rPr>
          <w:spacing w:val="-39"/>
        </w:rPr>
        <w:t xml:space="preserve"> </w:t>
      </w:r>
      <w:r>
        <w:rPr>
          <w:spacing w:val="-7"/>
        </w:rPr>
        <w:t>月末净</w:t>
      </w:r>
      <w:r>
        <w:t xml:space="preserve"> </w:t>
      </w:r>
      <w:r>
        <w:rPr>
          <w:spacing w:val="-4"/>
        </w:rPr>
        <w:t>增</w:t>
      </w:r>
      <w:r>
        <w:rPr>
          <w:spacing w:val="-22"/>
        </w:rPr>
        <w:t xml:space="preserve"> </w:t>
      </w:r>
      <w:r>
        <w:rPr>
          <w:spacing w:val="-4"/>
        </w:rPr>
        <w:t>122</w:t>
      </w:r>
      <w:r>
        <w:rPr>
          <w:spacing w:val="-41"/>
        </w:rPr>
        <w:t xml:space="preserve"> </w:t>
      </w:r>
      <w:r>
        <w:rPr>
          <w:spacing w:val="-4"/>
        </w:rPr>
        <w:t>万公里，比上年末净增</w:t>
      </w:r>
      <w:r>
        <w:rPr>
          <w:spacing w:val="-45"/>
        </w:rPr>
        <w:t xml:space="preserve"> </w:t>
      </w:r>
      <w:r>
        <w:rPr>
          <w:spacing w:val="-4"/>
        </w:rPr>
        <w:t>473.8</w:t>
      </w:r>
      <w:r>
        <w:rPr>
          <w:spacing w:val="-41"/>
        </w:rPr>
        <w:t xml:space="preserve"> </w:t>
      </w:r>
      <w:r>
        <w:rPr>
          <w:spacing w:val="-4"/>
        </w:rPr>
        <w:t>万公里；具备千兆网络服务能力的</w:t>
      </w:r>
      <w:r>
        <w:rPr>
          <w:spacing w:val="-29"/>
        </w:rPr>
        <w:t xml:space="preserve"> </w:t>
      </w:r>
      <w:r>
        <w:rPr>
          <w:spacing w:val="-4"/>
        </w:rPr>
        <w:t>10G</w:t>
      </w:r>
      <w:r>
        <w:rPr>
          <w:spacing w:val="-23"/>
        </w:rPr>
        <w:t xml:space="preserve"> </w:t>
      </w:r>
      <w:r>
        <w:rPr>
          <w:spacing w:val="-4"/>
        </w:rPr>
        <w:t>PON</w:t>
      </w:r>
      <w:r>
        <w:rPr>
          <w:spacing w:val="-43"/>
        </w:rPr>
        <w:t xml:space="preserve"> </w:t>
      </w:r>
      <w:r>
        <w:rPr>
          <w:spacing w:val="-4"/>
        </w:rPr>
        <w:t>端口数</w:t>
      </w:r>
      <w:r>
        <w:t xml:space="preserve"> </w:t>
      </w:r>
      <w:r>
        <w:rPr>
          <w:spacing w:val="-7"/>
        </w:rPr>
        <w:t>达</w:t>
      </w:r>
      <w:r>
        <w:rPr>
          <w:spacing w:val="-27"/>
        </w:rPr>
        <w:t xml:space="preserve"> </w:t>
      </w:r>
      <w:r>
        <w:rPr>
          <w:spacing w:val="-7"/>
        </w:rPr>
        <w:t>2302</w:t>
      </w:r>
      <w:r>
        <w:rPr>
          <w:spacing w:val="-39"/>
        </w:rPr>
        <w:t xml:space="preserve"> </w:t>
      </w:r>
      <w:r>
        <w:rPr>
          <w:spacing w:val="-7"/>
        </w:rPr>
        <w:t>万个，</w:t>
      </w:r>
      <w:r>
        <w:rPr>
          <w:spacing w:val="-31"/>
        </w:rPr>
        <w:t xml:space="preserve"> </w:t>
      </w:r>
      <w:r>
        <w:rPr>
          <w:spacing w:val="-7"/>
        </w:rPr>
        <w:t>比</w:t>
      </w:r>
      <w:r>
        <w:rPr>
          <w:spacing w:val="-41"/>
        </w:rPr>
        <w:t xml:space="preserve"> </w:t>
      </w:r>
      <w:r>
        <w:rPr>
          <w:spacing w:val="-7"/>
        </w:rPr>
        <w:t>2023</w:t>
      </w:r>
      <w:r>
        <w:rPr>
          <w:spacing w:val="-45"/>
        </w:rPr>
        <w:t xml:space="preserve"> </w:t>
      </w:r>
      <w:r>
        <w:rPr>
          <w:spacing w:val="-7"/>
        </w:rPr>
        <w:t>年</w:t>
      </w:r>
      <w:r>
        <w:rPr>
          <w:spacing w:val="-46"/>
        </w:rPr>
        <w:t xml:space="preserve"> </w:t>
      </w:r>
      <w:r>
        <w:rPr>
          <w:spacing w:val="-7"/>
        </w:rPr>
        <w:t>9</w:t>
      </w:r>
      <w:r>
        <w:rPr>
          <w:spacing w:val="-39"/>
        </w:rPr>
        <w:t xml:space="preserve"> </w:t>
      </w:r>
      <w:r>
        <w:rPr>
          <w:spacing w:val="-7"/>
        </w:rPr>
        <w:t>月末净增</w:t>
      </w:r>
      <w:r>
        <w:rPr>
          <w:spacing w:val="-31"/>
        </w:rPr>
        <w:t xml:space="preserve"> </w:t>
      </w:r>
      <w:r>
        <w:rPr>
          <w:spacing w:val="-7"/>
        </w:rPr>
        <w:t>117</w:t>
      </w:r>
      <w:r>
        <w:rPr>
          <w:spacing w:val="-41"/>
        </w:rPr>
        <w:t xml:space="preserve"> </w:t>
      </w:r>
      <w:r>
        <w:rPr>
          <w:spacing w:val="-7"/>
        </w:rPr>
        <w:t>万个，比上年末净增</w:t>
      </w:r>
      <w:r>
        <w:rPr>
          <w:spacing w:val="-39"/>
        </w:rPr>
        <w:t xml:space="preserve"> </w:t>
      </w:r>
      <w:r>
        <w:rPr>
          <w:spacing w:val="-7"/>
        </w:rPr>
        <w:t>779.2</w:t>
      </w:r>
      <w:r>
        <w:rPr>
          <w:spacing w:val="-41"/>
        </w:rPr>
        <w:t xml:space="preserve"> </w:t>
      </w:r>
      <w:r>
        <w:rPr>
          <w:spacing w:val="-7"/>
        </w:rPr>
        <w:t>万个；全国移动通</w:t>
      </w:r>
      <w:r>
        <w:t xml:space="preserve"> </w:t>
      </w:r>
      <w:r>
        <w:rPr>
          <w:spacing w:val="-5"/>
        </w:rPr>
        <w:t>信基站总数达</w:t>
      </w:r>
      <w:r>
        <w:rPr>
          <w:spacing w:val="-29"/>
        </w:rPr>
        <w:t xml:space="preserve"> </w:t>
      </w:r>
      <w:r>
        <w:rPr>
          <w:spacing w:val="-5"/>
        </w:rPr>
        <w:t>1162</w:t>
      </w:r>
      <w:r>
        <w:rPr>
          <w:spacing w:val="-40"/>
        </w:rPr>
        <w:t xml:space="preserve"> </w:t>
      </w:r>
      <w:r>
        <w:rPr>
          <w:spacing w:val="-5"/>
        </w:rPr>
        <w:t>万个， 其中</w:t>
      </w:r>
      <w:r>
        <w:rPr>
          <w:spacing w:val="-40"/>
        </w:rPr>
        <w:t xml:space="preserve"> </w:t>
      </w:r>
      <w:r>
        <w:rPr>
          <w:spacing w:val="-5"/>
        </w:rPr>
        <w:t>5G</w:t>
      </w:r>
      <w:r>
        <w:rPr>
          <w:spacing w:val="-44"/>
        </w:rPr>
        <w:t xml:space="preserve"> </w:t>
      </w:r>
      <w:r>
        <w:rPr>
          <w:spacing w:val="-5"/>
        </w:rPr>
        <w:t>基站为</w:t>
      </w:r>
      <w:r>
        <w:rPr>
          <w:spacing w:val="-42"/>
        </w:rPr>
        <w:t xml:space="preserve"> </w:t>
      </w:r>
      <w:r>
        <w:rPr>
          <w:spacing w:val="-5"/>
        </w:rPr>
        <w:t>337.7</w:t>
      </w:r>
      <w:r>
        <w:rPr>
          <w:spacing w:val="-39"/>
        </w:rPr>
        <w:t xml:space="preserve"> </w:t>
      </w:r>
      <w:r>
        <w:rPr>
          <w:spacing w:val="-5"/>
        </w:rPr>
        <w:t>万个，</w:t>
      </w:r>
      <w:r>
        <w:rPr>
          <w:spacing w:val="-6"/>
        </w:rPr>
        <w:t>占移动基站总数的</w:t>
      </w:r>
      <w:r>
        <w:rPr>
          <w:spacing w:val="-43"/>
        </w:rPr>
        <w:t xml:space="preserve"> </w:t>
      </w:r>
      <w:r>
        <w:rPr>
          <w:spacing w:val="-6"/>
        </w:rPr>
        <w:t>29.1%，占比</w:t>
      </w:r>
      <w:r>
        <w:t xml:space="preserve"> </w:t>
      </w:r>
      <w:r>
        <w:rPr>
          <w:spacing w:val="-3"/>
        </w:rPr>
        <w:t>较上年末提升</w:t>
      </w:r>
      <w:r>
        <w:rPr>
          <w:spacing w:val="-40"/>
        </w:rPr>
        <w:t xml:space="preserve"> </w:t>
      </w:r>
      <w:r>
        <w:rPr>
          <w:spacing w:val="-3"/>
        </w:rPr>
        <w:t>7.8</w:t>
      </w:r>
      <w:r>
        <w:rPr>
          <w:spacing w:val="-43"/>
        </w:rPr>
        <w:t xml:space="preserve"> </w:t>
      </w:r>
      <w:r>
        <w:rPr>
          <w:spacing w:val="-3"/>
        </w:rPr>
        <w:t>个百分点。</w:t>
      </w:r>
    </w:p>
    <w:p>
      <w:pPr>
        <w:pStyle w:val="BodyText"/>
        <w:spacing w:before="294" w:line="331" w:lineRule="auto"/>
        <w:ind w:left="441" w:right="7" w:hanging="407"/>
      </w:pPr>
      <w:r>
        <w:rPr>
          <w:rFonts w:ascii="Wingdings" w:eastAsia="Wingdings" w:hAnsi="Wingdings" w:cs="Wingdings"/>
          <w:spacing w:val="-5"/>
          <w:sz w:val="24"/>
          <w:szCs w:val="24"/>
        </w:rPr>
        <w:t xml:space="preserve">&gt;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展望</w:t>
      </w:r>
      <w:r>
        <w:rPr>
          <w:spacing w:val="-42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2024</w:t>
      </w:r>
      <w:r>
        <w:rPr>
          <w:spacing w:val="-43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年，我国经济基本面长期向好，</w:t>
      </w:r>
      <w:r>
        <w:rPr>
          <w:spacing w:val="53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数字产业化、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产业数字化转型加快，为推动</w:t>
      </w:r>
      <w:r>
        <w:t xml:space="preserve"> 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通信行业业务规模增长、收入结构优化和商用模式创新提供有利条件。</w:t>
      </w:r>
      <w:r>
        <w:rPr>
          <w:spacing w:val="-3"/>
        </w:rPr>
        <w:t>考虑到中国支持</w:t>
      </w:r>
      <w:r>
        <w:rPr>
          <w:spacing w:val="14"/>
        </w:rPr>
        <w:t xml:space="preserve"> </w:t>
      </w:r>
      <w:r>
        <w:rPr>
          <w:spacing w:val="-1"/>
        </w:rPr>
        <w:t>房地产市场发展、稳定宏观金融风险、促进工业经济增长等</w:t>
      </w:r>
      <w:r>
        <w:rPr>
          <w:spacing w:val="-2"/>
        </w:rPr>
        <w:t>一系列政策利好，IMF</w:t>
      </w:r>
      <w:r>
        <w:rPr>
          <w:spacing w:val="-45"/>
        </w:rPr>
        <w:t xml:space="preserve"> </w:t>
      </w:r>
      <w:r>
        <w:rPr>
          <w:spacing w:val="-2"/>
        </w:rPr>
        <w:t>预计</w:t>
      </w:r>
      <w:r>
        <w:t xml:space="preserve"> </w:t>
      </w:r>
      <w:r>
        <w:rPr>
          <w:spacing w:val="-3"/>
        </w:rPr>
        <w:t>中国经济</w:t>
      </w:r>
      <w:r>
        <w:rPr>
          <w:spacing w:val="-41"/>
        </w:rPr>
        <w:t xml:space="preserve"> </w:t>
      </w:r>
      <w:r>
        <w:rPr>
          <w:spacing w:val="-3"/>
        </w:rPr>
        <w:t>2024</w:t>
      </w:r>
      <w:r>
        <w:rPr>
          <w:spacing w:val="-46"/>
        </w:rPr>
        <w:t xml:space="preserve"> </w:t>
      </w:r>
      <w:r>
        <w:rPr>
          <w:spacing w:val="-3"/>
        </w:rPr>
        <w:t>年将增长</w:t>
      </w:r>
      <w:r>
        <w:rPr>
          <w:spacing w:val="-47"/>
        </w:rPr>
        <w:t xml:space="preserve"> </w:t>
      </w:r>
      <w:r>
        <w:rPr>
          <w:spacing w:val="-3"/>
        </w:rPr>
        <w:t>4.6%，较</w:t>
      </w:r>
      <w:r>
        <w:rPr>
          <w:spacing w:val="-34"/>
        </w:rPr>
        <w:t xml:space="preserve"> </w:t>
      </w:r>
      <w:r>
        <w:rPr>
          <w:spacing w:val="-3"/>
        </w:rPr>
        <w:t>2023</w:t>
      </w:r>
      <w:r>
        <w:rPr>
          <w:spacing w:val="-43"/>
        </w:rPr>
        <w:t xml:space="preserve"> </w:t>
      </w:r>
      <w:r>
        <w:rPr>
          <w:spacing w:val="-3"/>
        </w:rPr>
        <w:t>年</w:t>
      </w:r>
      <w:r>
        <w:rPr>
          <w:spacing w:val="-29"/>
        </w:rPr>
        <w:t xml:space="preserve"> </w:t>
      </w:r>
      <w:r>
        <w:rPr>
          <w:spacing w:val="-3"/>
        </w:rPr>
        <w:t>1</w:t>
      </w:r>
      <w:r>
        <w:rPr>
          <w:spacing w:val="-4"/>
        </w:rPr>
        <w:t>0</w:t>
      </w:r>
      <w:r>
        <w:rPr>
          <w:spacing w:val="-38"/>
        </w:rPr>
        <w:t xml:space="preserve"> </w:t>
      </w:r>
      <w:r>
        <w:rPr>
          <w:spacing w:val="-4"/>
        </w:rPr>
        <w:t>月的预测值上调了</w:t>
      </w:r>
      <w:r>
        <w:rPr>
          <w:spacing w:val="-43"/>
        </w:rPr>
        <w:t xml:space="preserve"> </w:t>
      </w:r>
      <w:r>
        <w:rPr>
          <w:spacing w:val="-4"/>
        </w:rPr>
        <w:t>0.4</w:t>
      </w:r>
      <w:r>
        <w:rPr>
          <w:spacing w:val="-46"/>
        </w:rPr>
        <w:t xml:space="preserve"> </w:t>
      </w:r>
      <w:r>
        <w:rPr>
          <w:spacing w:val="-4"/>
        </w:rPr>
        <w:t>个百分点。产业政</w:t>
      </w:r>
      <w:r>
        <w:t xml:space="preserve"> </w:t>
      </w:r>
      <w:r>
        <w:rPr>
          <w:spacing w:val="-5"/>
        </w:rPr>
        <w:t>策环境方面， 一是“信号升格”行动助力行业提质升级，二是“宽带边</w:t>
      </w:r>
      <w:r>
        <w:rPr>
          <w:spacing w:val="-6"/>
        </w:rPr>
        <w:t>疆”建设工作将</w:t>
      </w:r>
      <w:r>
        <w:t xml:space="preserve"> </w:t>
      </w:r>
      <w:r>
        <w:rPr>
          <w:spacing w:val="-8"/>
        </w:rPr>
        <w:t>加快推进，三是未来信息产业迎来重大发展机遇，四是工业互联网标识解析体系加快“贯</w:t>
      </w:r>
      <w:r>
        <w:rPr>
          <w:spacing w:val="5"/>
        </w:rPr>
        <w:t xml:space="preserve"> </w:t>
      </w:r>
      <w:r>
        <w:rPr>
          <w:spacing w:val="-6"/>
        </w:rPr>
        <w:t>通”。行业发展形势方面，一是高质量发展仍是通信行业发展主旋律；二是</w:t>
      </w:r>
      <w:r>
        <w:rPr>
          <w:spacing w:val="-26"/>
        </w:rPr>
        <w:t xml:space="preserve"> </w:t>
      </w:r>
      <w:r>
        <w:rPr>
          <w:spacing w:val="-6"/>
        </w:rPr>
        <w:t>2024</w:t>
      </w:r>
      <w:r>
        <w:rPr>
          <w:spacing w:val="-43"/>
        </w:rPr>
        <w:t xml:space="preserve"> </w:t>
      </w:r>
      <w:r>
        <w:rPr>
          <w:spacing w:val="-6"/>
        </w:rPr>
        <w:t>年将开</w:t>
      </w:r>
      <w:r>
        <w:t xml:space="preserve"> </w:t>
      </w:r>
      <w:r>
        <w:rPr>
          <w:spacing w:val="-1"/>
        </w:rPr>
        <w:t>启</w:t>
      </w:r>
      <w:r>
        <w:rPr>
          <w:spacing w:val="-21"/>
        </w:rPr>
        <w:t xml:space="preserve"> </w:t>
      </w:r>
      <w:r>
        <w:rPr>
          <w:spacing w:val="-1"/>
        </w:rPr>
        <w:t>5G-A</w:t>
      </w:r>
      <w:r>
        <w:rPr>
          <w:spacing w:val="-37"/>
        </w:rPr>
        <w:t xml:space="preserve"> </w:t>
      </w:r>
      <w:r>
        <w:rPr>
          <w:spacing w:val="-1"/>
        </w:rPr>
        <w:t>商用元年，带动通信行业步入新的关键发展阶段；三是电信业务收入将保持稳</w:t>
      </w:r>
      <w:r>
        <w:t xml:space="preserve"> </w:t>
      </w:r>
      <w:r>
        <w:rPr>
          <w:spacing w:val="-2"/>
        </w:rPr>
        <w:t>定增长，预计同比增速达到 6%左右。 四是</w:t>
      </w:r>
      <w:r>
        <w:rPr>
          <w:spacing w:val="-3"/>
        </w:rPr>
        <w:t>新兴业务收入占比将持续提高，预计将提升</w:t>
      </w:r>
      <w:r>
        <w:t xml:space="preserve"> </w:t>
      </w:r>
      <w:r>
        <w:rPr>
          <w:spacing w:val="-3"/>
        </w:rPr>
        <w:t>至</w:t>
      </w:r>
      <w:r>
        <w:rPr>
          <w:spacing w:val="-38"/>
        </w:rPr>
        <w:t xml:space="preserve"> </w:t>
      </w:r>
      <w:r>
        <w:rPr>
          <w:spacing w:val="-3"/>
        </w:rPr>
        <w:t>23%左右。</w:t>
      </w:r>
    </w:p>
    <w:p>
      <w:pPr>
        <w:spacing w:line="331" w:lineRule="auto"/>
        <w:sectPr>
          <w:footerReference w:type="default" r:id="rId7"/>
          <w:pgSz w:w="11907" w:h="16839"/>
          <w:pgMar w:top="1431" w:right="1785" w:bottom="1156" w:left="1785" w:header="0" w:footer="995" w:gutter="0"/>
          <w:pgNumType w:start="3"/>
          <w:cols w:space="708"/>
        </w:sectPr>
      </w:pPr>
    </w:p>
    <w:p>
      <w:pPr>
        <w:spacing w:line="369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31"/>
          <w:szCs w:val="31"/>
        </w:rPr>
        <w:id w:val="150237305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spacing w:before="101" w:line="227" w:lineRule="auto"/>
            <w:ind w:left="3613"/>
            <w:rPr>
              <w:sz w:val="31"/>
              <w:szCs w:val="31"/>
            </w:rPr>
          </w:pPr>
          <w:r>
            <w:rPr>
              <w:spacing w:val="-33"/>
              <w:sz w:val="31"/>
              <w:szCs w:val="31"/>
              <w14:textOutline w14:w="579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spacing w:val="10"/>
              <w:sz w:val="31"/>
              <w:szCs w:val="31"/>
            </w:rPr>
            <w:t xml:space="preserve">    </w:t>
          </w:r>
          <w:r>
            <w:rPr>
              <w:spacing w:val="-33"/>
              <w:sz w:val="31"/>
              <w:szCs w:val="31"/>
              <w14:textOutline w14:w="579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spacing w:line="267" w:lineRule="auto"/>
            <w:rPr>
              <w:rFonts w:ascii="Arial"/>
              <w:sz w:val="21"/>
            </w:rPr>
          </w:pPr>
        </w:p>
        <w:p>
          <w:pPr>
            <w:pStyle w:val="BodyText"/>
            <w:spacing w:before="68" w:line="223" w:lineRule="auto"/>
            <w:ind w:left="41"/>
          </w:pP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正文目录</w:t>
          </w:r>
        </w:p>
        <w:p>
          <w:pPr>
            <w:pStyle w:val="BodyText"/>
            <w:tabs>
              <w:tab w:val="right" w:leader="dot" w:pos="8327"/>
            </w:tabs>
            <w:spacing w:before="252" w:line="186" w:lineRule="auto"/>
            <w:ind w:left="52"/>
          </w:pPr>
          <w:hyperlink w:anchor="bookmark1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年四季度通信行业发展环境分析</w:t>
            </w:r>
            <w:r>
              <w:rPr>
                <w:spacing w:val="-21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32"/>
                <w:w w:val="12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472"/>
          </w:pPr>
          <w:hyperlink w:anchor="bookmark2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1.1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宏观经济环境分析</w:t>
            </w:r>
            <w:r>
              <w:tab/>
            </w:r>
            <w:r>
              <w:rPr>
                <w:spacing w:val="38"/>
                <w:w w:val="126"/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3" w:history="1">
            <w:r>
              <w:rPr>
                <w:spacing w:val="-2"/>
              </w:rPr>
              <w:t>1.1.1  全球经济形势分析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14"/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4" w:history="1">
            <w:r>
              <w:rPr>
                <w:spacing w:val="-4"/>
              </w:rPr>
              <w:t>1.1.2</w:t>
            </w:r>
            <w:r>
              <w:rPr>
                <w:spacing w:val="14"/>
              </w:rPr>
              <w:t xml:space="preserve">  </w:t>
            </w:r>
            <w:r>
              <w:rPr>
                <w:spacing w:val="-4"/>
              </w:rPr>
              <w:t>国内经济形势分析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14"/>
              </w:rPr>
              <w:t>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2"/>
          </w:pPr>
          <w:hyperlink w:anchor="bookmark5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1.2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产业政策环境分析</w:t>
            </w:r>
            <w:r>
              <w:tab/>
            </w:r>
            <w:r>
              <w:rPr>
                <w:spacing w:val="31"/>
                <w:w w:val="102"/>
              </w:rPr>
              <w:t>10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6" w:history="1">
            <w:r>
              <w:rPr>
                <w:spacing w:val="-1"/>
              </w:rPr>
              <w:t>1.2.1  推动数据和算力等新型数字基础设施建设</w:t>
            </w:r>
            <w:r>
              <w:rPr>
                <w:spacing w:val="-64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7" w:history="1">
            <w:r>
              <w:rPr>
                <w:spacing w:val="-1"/>
              </w:rPr>
              <w:t>1.2.2  深化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5G、工业互联网等新一代信息技术创</w:t>
            </w:r>
            <w:r>
              <w:rPr>
                <w:spacing w:val="-2"/>
              </w:rPr>
              <w:t>新应用</w:t>
            </w:r>
            <w:r>
              <w:rPr>
                <w:spacing w:val="-6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8" w:history="1">
            <w:r>
              <w:rPr>
                <w:spacing w:val="-1"/>
              </w:rPr>
              <w:t>1.2.3  推进信息通信领域标准体系建设工作</w:t>
            </w:r>
            <w:r>
              <w:rPr>
                <w:spacing w:val="-68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9" w:history="1">
            <w:r>
              <w:rPr>
                <w:spacing w:val="-1"/>
              </w:rPr>
              <w:t>1.2.4  持续提升信息通信行业管理</w:t>
            </w:r>
            <w:r>
              <w:rPr>
                <w:spacing w:val="-2"/>
              </w:rPr>
              <w:t>水平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39"/>
          </w:pPr>
          <w:hyperlink w:anchor="bookmark10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年四季度通信行业运行情况分析</w:t>
            </w:r>
            <w:r>
              <w:rPr>
                <w:spacing w:val="-21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20"/>
                <w:w w:val="110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459"/>
          </w:pPr>
          <w:hyperlink w:anchor="bookmark11" w:history="1"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2.1</w:t>
            </w:r>
            <w:r>
              <w:t xml:space="preserve"> 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主营业务收入情况</w:t>
            </w:r>
            <w:r>
              <w:tab/>
            </w:r>
            <w:r>
              <w:rPr>
                <w:spacing w:val="20"/>
                <w:w w:val="112"/>
              </w:rPr>
              <w:t>20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2" w:history="1">
            <w:r>
              <w:rPr>
                <w:spacing w:val="-1"/>
              </w:rPr>
              <w:t>2.1.1  收入规模保持平稳增长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3" w:history="1">
            <w:r>
              <w:rPr>
                <w:spacing w:val="-1"/>
              </w:rPr>
              <w:t>2.1.2  新兴业务收入占比提升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9"/>
          </w:pPr>
          <w:hyperlink w:anchor="bookmark14" w:history="1">
            <w:r>
              <w:rPr>
                <w:spacing w:val="-3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2.2</w:t>
            </w:r>
            <w:r>
              <w:rPr>
                <w:spacing w:val="17"/>
              </w:rPr>
              <w:t xml:space="preserve">  </w:t>
            </w:r>
            <w:r>
              <w:rPr>
                <w:spacing w:val="-3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电信用户发展情况</w:t>
            </w:r>
            <w:r>
              <w:tab/>
            </w:r>
            <w:r>
              <w:rPr>
                <w:spacing w:val="22"/>
                <w:w w:val="111"/>
              </w:rPr>
              <w:t>22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9"/>
          </w:pPr>
          <w:hyperlink w:anchor="bookmark15" w:history="1">
            <w:r>
              <w:rPr>
                <w:spacing w:val="-3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2.3</w:t>
            </w:r>
            <w:r>
              <w:rPr>
                <w:spacing w:val="17"/>
              </w:rPr>
              <w:t xml:space="preserve">  </w:t>
            </w:r>
            <w:r>
              <w:rPr>
                <w:spacing w:val="-3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电信业务开展情况</w:t>
            </w:r>
            <w:r>
              <w:tab/>
            </w:r>
            <w:r>
              <w:rPr>
                <w:spacing w:val="18"/>
                <w:w w:val="114"/>
              </w:rPr>
              <w:t>24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6" w:history="1">
            <w:r>
              <w:rPr>
                <w:spacing w:val="-1"/>
              </w:rPr>
              <w:t>2.3.1  语音及短信业务量均出现下降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7" w:history="1">
            <w:r>
              <w:rPr>
                <w:spacing w:val="-1"/>
              </w:rPr>
              <w:t>2.3.2  移动互联网流量稳定较快增长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9"/>
          </w:pPr>
          <w:hyperlink w:anchor="bookmark18" w:history="1"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2.4</w:t>
            </w:r>
            <w:r>
              <w:t xml:space="preserve"> 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通信能力建设情况</w:t>
            </w:r>
            <w:r>
              <w:tab/>
            </w:r>
            <w:r>
              <w:rPr>
                <w:spacing w:val="20"/>
                <w:w w:val="112"/>
              </w:rPr>
              <w:t>26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9" w:history="1">
            <w:r>
              <w:rPr>
                <w:spacing w:val="-1"/>
              </w:rPr>
              <w:t>2.4.1  光缆线路总长度稳步增长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20" w:history="1">
            <w:r>
              <w:rPr>
                <w:spacing w:val="-1"/>
              </w:rPr>
              <w:t>2.4.2  千兆网络服务能力持续提升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21" w:history="1">
            <w:r>
              <w:rPr>
                <w:spacing w:val="-2"/>
              </w:rPr>
              <w:t>2.4.3  5G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网络建设深入推进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9"/>
          </w:pPr>
          <w:hyperlink w:anchor="bookmark22" w:history="1"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2.5</w:t>
            </w:r>
            <w:r>
              <w:t xml:space="preserve"> 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主要基础电信公司运营情况</w:t>
            </w:r>
            <w:r>
              <w:tab/>
            </w:r>
            <w:r>
              <w:rPr>
                <w:spacing w:val="19"/>
                <w:w w:val="113"/>
              </w:rPr>
              <w:t>29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23" w:history="1">
            <w:r>
              <w:rPr>
                <w:spacing w:val="-4"/>
              </w:rPr>
              <w:t>2.5.1</w:t>
            </w:r>
            <w:r>
              <w:rPr>
                <w:spacing w:val="13"/>
              </w:rPr>
              <w:t xml:space="preserve">  </w:t>
            </w:r>
            <w:r>
              <w:rPr>
                <w:spacing w:val="-4"/>
              </w:rPr>
              <w:t>中国移动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24" w:history="1">
            <w:r>
              <w:rPr>
                <w:spacing w:val="-4"/>
              </w:rPr>
              <w:t>2.5.2</w:t>
            </w:r>
            <w:r>
              <w:rPr>
                <w:spacing w:val="13"/>
              </w:rPr>
              <w:t xml:space="preserve">  </w:t>
            </w:r>
            <w:r>
              <w:rPr>
                <w:spacing w:val="-4"/>
              </w:rPr>
              <w:t>中国电信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25" w:history="1">
            <w:r>
              <w:rPr>
                <w:spacing w:val="-4"/>
              </w:rPr>
              <w:t>2.5.3</w:t>
            </w:r>
            <w:r>
              <w:rPr>
                <w:spacing w:val="13"/>
              </w:rPr>
              <w:t xml:space="preserve">  </w:t>
            </w:r>
            <w:r>
              <w:rPr>
                <w:spacing w:val="-4"/>
              </w:rPr>
              <w:t>中国联通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41"/>
          </w:pPr>
          <w:hyperlink w:anchor="bookmark26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2024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年通信行业发展趋势预测</w:t>
            </w:r>
            <w:r>
              <w:rPr>
                <w:spacing w:val="-36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24"/>
                <w:w w:val="106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7" w:line="186" w:lineRule="auto"/>
            <w:ind w:left="461"/>
          </w:pPr>
          <w:hyperlink w:anchor="bookmark27" w:history="1"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3.1</w:t>
            </w:r>
            <w:r>
              <w:t xml:space="preserve"> 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宏观经济形势预测</w:t>
            </w:r>
            <w:r>
              <w:tab/>
            </w:r>
            <w:r>
              <w:rPr>
                <w:spacing w:val="24"/>
                <w:w w:val="109"/>
              </w:rPr>
              <w:t>33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8" w:history="1">
            <w:r>
              <w:rPr>
                <w:spacing w:val="-1"/>
              </w:rPr>
              <w:t>3.1.1  全球经济形势展望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9" w:history="1">
            <w:r>
              <w:rPr>
                <w:spacing w:val="-3"/>
              </w:rPr>
              <w:t>3.1.2</w:t>
            </w:r>
            <w:r>
              <w:rPr>
                <w:spacing w:val="14"/>
              </w:rPr>
              <w:t xml:space="preserve">  </w:t>
            </w:r>
            <w:r>
              <w:rPr>
                <w:spacing w:val="-3"/>
              </w:rPr>
              <w:t>国内经济形势展望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61"/>
          </w:pPr>
          <w:hyperlink w:anchor="bookmark30" w:history="1"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3.2</w:t>
            </w:r>
            <w:r>
              <w:t xml:space="preserve"> 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产业政策环境展望</w:t>
            </w:r>
            <w:r>
              <w:tab/>
            </w:r>
            <w:r>
              <w:rPr>
                <w:spacing w:val="24"/>
                <w:w w:val="109"/>
              </w:rPr>
              <w:t>35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31" w:history="1">
            <w:r>
              <w:rPr>
                <w:spacing w:val="-1"/>
              </w:rPr>
              <w:t>3.2.1  “信号升格”行动助力行业提质升级</w:t>
            </w:r>
            <w:r>
              <w:rPr>
                <w:spacing w:val="-57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81"/>
            <w:rPr>
              <w:rFonts w:ascii="Times New Roman" w:eastAsia="Times New Roman" w:hAnsi="Times New Roman" w:cs="Times New Roman"/>
            </w:rPr>
            <w:sectPr>
              <w:headerReference w:type="default" r:id="rId8"/>
              <w:footerReference w:type="default" r:id="rId9"/>
              <w:pgSz w:w="11907" w:h="16839"/>
              <w:pgMar w:top="1118" w:right="1769" w:bottom="1156" w:left="1771" w:header="877" w:footer="995" w:gutter="0"/>
              <w:pgNumType w:start="4"/>
              <w:cols w:space="708"/>
            </w:sectPr>
          </w:pPr>
          <w:hyperlink w:anchor="bookmark32" w:history="1">
            <w:r>
              <w:rPr>
                <w:spacing w:val="-1"/>
              </w:rPr>
              <w:t>3.2.2  “宽带边疆”建设工作将加快推进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36</w:t>
            </w:r>
          </w:hyperlink>
        </w:p>
      </w:sdtContent>
    </w:sdt>
    <w:sdt>
      <w:sdtPr>
        <w:rPr>
          <w:rFonts w:ascii="SimSun" w:eastAsia="SimSun" w:hAnsi="SimSun" w:cs="SimSun"/>
          <w:sz w:val="31"/>
          <w:szCs w:val="31"/>
        </w:rPr>
        <w:id w:val="4663060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33" w:history="1">
            <w:r>
              <w:rPr>
                <w:spacing w:val="-1"/>
              </w:rPr>
              <w:t>3.2.3  未来信息产业迎来重大发展机遇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34" w:history="1">
            <w:r>
              <w:rPr>
                <w:spacing w:val="-1"/>
              </w:rPr>
              <w:t>3.2.4  工业互联网标识解析体系加快“贯通”</w:t>
            </w:r>
            <w:r>
              <w:rPr>
                <w:spacing w:val="-54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61"/>
          </w:pPr>
          <w:hyperlink w:anchor="bookmark35" w:history="1"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3.3</w:t>
            </w:r>
            <w:r>
              <w:t xml:space="preserve"> 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行业发展形势预测</w:t>
            </w:r>
            <w:r>
              <w:tab/>
            </w:r>
            <w:r>
              <w:rPr>
                <w:spacing w:val="22"/>
                <w:w w:val="111"/>
              </w:rPr>
              <w:t>38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36" w:history="1">
            <w:r>
              <w:rPr>
                <w:spacing w:val="-1"/>
              </w:rPr>
              <w:t>3.3.1  高质量发展仍是行业发展主旋律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37" w:history="1">
            <w:r>
              <w:rPr>
                <w:spacing w:val="-2"/>
              </w:rPr>
              <w:t>3.3.2  2024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年将开启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5G-A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商用元年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221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38" w:history="1">
            <w:r>
              <w:rPr>
                <w:spacing w:val="-3"/>
              </w:rPr>
              <w:t>3.3.3</w:t>
            </w:r>
            <w:r>
              <w:rPr>
                <w:spacing w:val="21"/>
              </w:rPr>
              <w:t xml:space="preserve">  </w:t>
            </w:r>
            <w:r>
              <w:rPr>
                <w:spacing w:val="-3"/>
              </w:rPr>
              <w:t>电信业务收入将保持稳定增长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39</w:t>
            </w:r>
          </w:hyperlink>
        </w:p>
      </w:sdtContent>
    </w:sdt>
    <w:p>
      <w:pPr>
        <w:spacing w:line="221" w:lineRule="auto"/>
        <w:rPr>
          <w:rFonts w:ascii="Times New Roman" w:eastAsia="Times New Roman" w:hAnsi="Times New Roman" w:cs="Times New Roman"/>
        </w:rPr>
        <w:sectPr>
          <w:headerReference w:type="default" r:id="rId10"/>
          <w:footerReference w:type="default" r:id="rId11"/>
          <w:type w:val="nextPage"/>
          <w:pgSz w:w="11907" w:h="16839"/>
          <w:pgMar w:top="1118" w:right="1769" w:bottom="1156" w:left="1771" w:header="877" w:footer="995" w:gutter="0"/>
          <w:pgNumType w:start="5"/>
          <w:cols w:space="708"/>
          <w:titlePg w:val="0"/>
        </w:sectPr>
      </w:pP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69" w:line="221" w:lineRule="auto"/>
        <w:ind w:left="881"/>
        <w:rPr>
          <w:rFonts w:ascii="Times New Roman" w:eastAsia="Times New Roman" w:hAnsi="Times New Roman" w:cs="Times New Roman"/>
        </w:rPr>
      </w:pPr>
      <w:hyperlink w:anchor="bookmark39" w:history="1">
        <w:r>
          <w:rPr>
            <w:spacing w:val="1"/>
          </w:rPr>
          <w:t>3.3.4  新兴业务收入占比将持续提高</w:t>
        </w:r>
        <w:r>
          <w:rPr>
            <w:rFonts w:ascii="Times New Roman" w:eastAsia="Times New Roman" w:hAnsi="Times New Roman" w:cs="Times New Roman"/>
            <w:spacing w:val="1"/>
          </w:rPr>
          <w:t>......................</w:t>
        </w:r>
        <w:r>
          <w:rPr>
            <w:rFonts w:ascii="Times New Roman" w:eastAsia="Times New Roman" w:hAnsi="Times New Roman" w:cs="Times New Roman"/>
          </w:rPr>
          <w:t>.................................................39</w:t>
        </w:r>
      </w:hyperlink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68" w:line="222" w:lineRule="auto"/>
        <w:ind w:left="57"/>
      </w:pP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图目录</w:t>
      </w:r>
    </w:p>
    <w:sdt>
      <w:sdtPr>
        <w:rPr>
          <w:rFonts w:ascii="Arial" w:eastAsia="Arial" w:hAnsi="Arial" w:cs="Arial"/>
          <w:sz w:val="21"/>
          <w:szCs w:val="21"/>
        </w:rPr>
        <w:id w:val="26455365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tabs>
              <w:tab w:val="right" w:leader="dot" w:pos="8327"/>
            </w:tabs>
            <w:spacing w:before="253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0" w:history="1">
            <w:r>
              <w:rPr>
                <w:spacing w:val="-1"/>
              </w:rPr>
              <w:t>图 1  2021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年二季度-2023</w:t>
            </w:r>
            <w:r>
              <w:rPr>
                <w:spacing w:val="-44"/>
              </w:rPr>
              <w:t xml:space="preserve"> </w:t>
            </w:r>
            <w:r>
              <w:rPr>
                <w:spacing w:val="-1"/>
              </w:rPr>
              <w:t>年四季度各产业累计增加值同比增长</w:t>
            </w:r>
            <w:r>
              <w:rPr>
                <w:spacing w:val="-2"/>
              </w:rPr>
              <w:t>率变动趋势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13"/>
              </w:rPr>
              <w:t>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1" w:history="1">
            <w:r>
              <w:rPr>
                <w:spacing w:val="-4"/>
              </w:rPr>
              <w:t>图 2  2021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月电信主营业务收入增长趋势</w:t>
            </w:r>
            <w:r>
              <w:rPr>
                <w:spacing w:val="-61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2" w:history="1">
            <w:r>
              <w:rPr>
                <w:spacing w:val="-3"/>
              </w:rPr>
              <w:t>图 3  2022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月不同速率固定互联网宽带接入用户变动趋势</w:t>
            </w:r>
            <w:r>
              <w:rPr>
                <w:spacing w:val="-53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3" w:history="1">
            <w:r>
              <w:rPr>
                <w:spacing w:val="-3"/>
              </w:rPr>
              <w:t>图 4  2022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月蜂</w:t>
            </w:r>
            <w:r>
              <w:rPr>
                <w:spacing w:val="-4"/>
              </w:rPr>
              <w:t>窝物联网终端用户变动情况</w:t>
            </w:r>
            <w:r>
              <w:rPr>
                <w:spacing w:val="-61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4" w:history="1">
            <w:r>
              <w:rPr>
                <w:spacing w:val="-3"/>
              </w:rPr>
              <w:t>图 5  2021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月移动电话及短信业务量同比增速变动趋势</w:t>
            </w:r>
            <w:r>
              <w:rPr>
                <w:spacing w:val="-54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5" w:history="1">
            <w:r>
              <w:rPr>
                <w:spacing w:val="-3"/>
              </w:rPr>
              <w:t>图 6  2021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月移动互联网累计接入流量及同比增速变化趋势</w:t>
            </w:r>
            <w:r>
              <w:rPr>
                <w:spacing w:val="-51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6" w:history="1">
            <w:r>
              <w:rPr>
                <w:spacing w:val="-3"/>
              </w:rPr>
              <w:t>图 7  2021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月光</w:t>
            </w:r>
            <w:r>
              <w:rPr>
                <w:spacing w:val="-4"/>
              </w:rPr>
              <w:t>缆线路建设总长度变动趋势</w:t>
            </w:r>
            <w:r>
              <w:rPr>
                <w:spacing w:val="-61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26</w:t>
            </w:r>
          </w:hyperlink>
        </w:p>
        <w:p>
          <w:pPr>
            <w:pStyle w:val="BodyText"/>
            <w:spacing w:before="101" w:line="186" w:lineRule="auto"/>
            <w:ind w:right="25"/>
            <w:jc w:val="right"/>
          </w:pPr>
          <w:hyperlink w:anchor="bookmark47" w:history="1">
            <w:r>
              <w:rPr>
                <w:spacing w:val="-3"/>
              </w:rPr>
              <w:t>图</w:t>
            </w:r>
            <w:r>
              <w:rPr>
                <w:spacing w:val="48"/>
              </w:rPr>
              <w:t xml:space="preserve"> </w:t>
            </w:r>
            <w:r>
              <w:rPr>
                <w:spacing w:val="-3"/>
              </w:rPr>
              <w:t>8</w:t>
            </w:r>
            <w:r>
              <w:rPr>
                <w:spacing w:val="44"/>
              </w:rPr>
              <w:t xml:space="preserve">  </w:t>
            </w:r>
            <w:r>
              <w:rPr>
                <w:spacing w:val="-3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月互联网宽带接入端口</w:t>
            </w:r>
            <w:r>
              <w:rPr>
                <w:spacing w:val="-4"/>
              </w:rPr>
              <w:t>及光纤接入端口占比变动趋势</w:t>
            </w:r>
          </w:hyperlink>
        </w:p>
        <w:p>
          <w:pPr>
            <w:tabs>
              <w:tab w:val="right" w:leader="dot" w:pos="8327"/>
            </w:tabs>
            <w:spacing w:before="137" w:line="146" w:lineRule="exact"/>
            <w:ind w:left="883"/>
            <w:rPr>
              <w:rFonts w:ascii="Times New Roman" w:eastAsia="Times New Roman" w:hAnsi="Times New Roman" w:cs="Times New Roman"/>
              <w:sz w:val="21"/>
              <w:szCs w:val="21"/>
            </w:rPr>
          </w:pPr>
          <w:hyperlink w:anchor="bookmark48" w:history="1">
            <w:r>
              <w:rPr>
                <w:rFonts w:ascii="Times New Roman" w:eastAsia="Times New Roman" w:hAnsi="Times New Roman" w:cs="Times New Roman"/>
                <w:position w:val="-3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spacing w:val="7"/>
                <w:position w:val="-3"/>
                <w:sz w:val="21"/>
                <w:szCs w:val="21"/>
              </w:rPr>
              <w:t>27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29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49" w:history="1">
            <w:r>
              <w:rPr>
                <w:spacing w:val="-3"/>
              </w:rPr>
              <w:t>图 9  2022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5G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基</w:t>
            </w:r>
            <w:r>
              <w:rPr>
                <w:spacing w:val="-4"/>
              </w:rPr>
              <w:t>站总数及占移动基站比重变动趋势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50" w:history="1">
            <w:r>
              <w:rPr>
                <w:spacing w:val="-4"/>
              </w:rPr>
              <w:t>图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10  2022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月中国移动各月移动用户及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5G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用户净增量走势</w:t>
            </w:r>
            <w:r>
              <w:rPr>
                <w:spacing w:val="-49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51" w:history="1">
            <w:r>
              <w:rPr>
                <w:spacing w:val="-4"/>
              </w:rPr>
              <w:t>图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11  2022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月中国电信各月移动用户及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5G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用户净增量走势</w:t>
            </w:r>
            <w:r>
              <w:rPr>
                <w:spacing w:val="-49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30</w:t>
            </w:r>
          </w:hyperlink>
        </w:p>
        <w:p>
          <w:pPr>
            <w:pStyle w:val="BodyText"/>
            <w:spacing w:before="101" w:line="221" w:lineRule="auto"/>
            <w:ind w:left="477"/>
            <w:rPr>
              <w:rFonts w:ascii="Times New Roman" w:eastAsia="Times New Roman" w:hAnsi="Times New Roman" w:cs="Times New Roman"/>
            </w:rPr>
          </w:pPr>
          <w:hyperlink w:anchor="bookmark52" w:history="1">
            <w:r>
              <w:rPr>
                <w:spacing w:val="-4"/>
              </w:rPr>
              <w:t>图</w:t>
            </w:r>
            <w:r>
              <w:rPr>
                <w:spacing w:val="43"/>
              </w:rPr>
              <w:t xml:space="preserve"> </w:t>
            </w:r>
            <w:r>
              <w:rPr>
                <w:spacing w:val="-4"/>
              </w:rPr>
              <w:t>12  2022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月中国联通各月物联网终端及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5G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用户净增量走势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.31</w:t>
            </w:r>
          </w:hyperlink>
        </w:p>
      </w:sdtContent>
    </w:sdt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68" w:line="222" w:lineRule="auto"/>
        <w:ind w:left="36"/>
      </w:pPr>
      <w:r>
        <w:rPr>
          <w:spacing w:val="-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表目录</w:t>
      </w:r>
    </w:p>
    <w:sdt>
      <w:sdtPr>
        <w:rPr>
          <w:rFonts w:ascii="Arial" w:eastAsia="Arial" w:hAnsi="Arial" w:cs="Arial"/>
          <w:sz w:val="21"/>
          <w:szCs w:val="21"/>
        </w:rPr>
        <w:id w:val="213371504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53" w:history="1">
            <w:r>
              <w:rPr>
                <w:spacing w:val="-1"/>
              </w:rPr>
              <w:t>表 1  2022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年四季度-2023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年四季度我国各产业累计增加值及同比增长情况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13"/>
              </w:rPr>
              <w:t>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54" w:history="1">
            <w:r>
              <w:rPr>
                <w:spacing w:val="-1"/>
              </w:rPr>
              <w:t>表 2  算力基础设施高质量发展指标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55" w:history="1">
            <w:r>
              <w:rPr>
                <w:spacing w:val="-1"/>
              </w:rPr>
              <w:t>表 3  10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项通信行业推荐性国家标准编号、名称及主要内容等一览表</w:t>
            </w:r>
            <w:r>
              <w:rPr>
                <w:spacing w:val="-58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56" w:history="1">
            <w:r>
              <w:rPr>
                <w:spacing w:val="-3"/>
              </w:rPr>
              <w:t>表 4  2022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月电信主营业务收入完成情况</w:t>
            </w:r>
            <w:r>
              <w:rPr>
                <w:spacing w:val="-61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57" w:history="1">
            <w:r>
              <w:rPr>
                <w:spacing w:val="-2"/>
              </w:rPr>
              <w:t>表 5  2022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12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月移动</w:t>
            </w:r>
            <w:r>
              <w:rPr>
                <w:spacing w:val="-3"/>
              </w:rPr>
              <w:t>电话通话量和短信业务量及增速情况</w:t>
            </w:r>
            <w:r>
              <w:rPr>
                <w:spacing w:val="-54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58" w:history="1">
            <w:r>
              <w:rPr>
                <w:spacing w:val="-2"/>
              </w:rPr>
              <w:t>表 6  2022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12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月移动</w:t>
            </w:r>
            <w:r>
              <w:rPr>
                <w:spacing w:val="-3"/>
              </w:rPr>
              <w:t>互联网累计接入流量及同比增长情况</w:t>
            </w:r>
            <w:r>
              <w:rPr>
                <w:spacing w:val="-54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59" w:history="1">
            <w:r>
              <w:rPr>
                <w:spacing w:val="-1"/>
              </w:rPr>
              <w:t>表 7  2023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年四季度中国移动客户数变动情况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60" w:history="1">
            <w:r>
              <w:rPr>
                <w:spacing w:val="-1"/>
              </w:rPr>
              <w:t>表 8  2023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年四季度中国电信客户数变动情况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221" w:lineRule="auto"/>
            <w:ind w:left="456"/>
            <w:rPr>
              <w:rFonts w:ascii="Times New Roman" w:eastAsia="Times New Roman" w:hAnsi="Times New Roman" w:cs="Times New Roman"/>
            </w:rPr>
          </w:pPr>
          <w:hyperlink w:anchor="bookmark61" w:history="1">
            <w:r>
              <w:rPr>
                <w:spacing w:val="-1"/>
              </w:rPr>
              <w:t>表 9  2023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年四季度中国联通客户数变动情况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32</w:t>
            </w:r>
          </w:hyperlink>
        </w:p>
      </w:sdtContent>
    </w:sdt>
    <w:p>
      <w:pPr>
        <w:spacing w:line="221" w:lineRule="auto"/>
        <w:rPr>
          <w:rFonts w:ascii="Times New Roman" w:eastAsia="Times New Roman" w:hAnsi="Times New Roman" w:cs="Times New Roman"/>
        </w:rPr>
        <w:sectPr>
          <w:headerReference w:type="default" r:id="rId12"/>
          <w:footerReference w:type="default" r:id="rId13"/>
          <w:pgSz w:w="11907" w:h="16839"/>
          <w:pgMar w:top="1118" w:right="1769" w:bottom="1153" w:left="1771" w:header="877" w:footer="995" w:gutter="0"/>
          <w:pgNumType w:start="6"/>
          <w:cols w:space="708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97" w:line="674" w:lineRule="exact"/>
        <w:ind w:left="62"/>
        <w:rPr>
          <w:sz w:val="30"/>
          <w:szCs w:val="30"/>
        </w:rPr>
      </w:pPr>
      <w:bookmarkStart w:id="0" w:name="bookmark1"/>
      <w:bookmarkEnd w:id="0"/>
      <w:bookmarkStart w:id="1" w:name="bookmark2"/>
      <w:bookmarkEnd w:id="1"/>
      <w:r>
        <w:rPr>
          <w:spacing w:val="-2"/>
          <w:position w:val="28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pacing w:val="-2"/>
          <w:position w:val="28"/>
          <w:sz w:val="30"/>
          <w:szCs w:val="30"/>
        </w:rPr>
        <w:t xml:space="preserve">  </w:t>
      </w:r>
      <w:r>
        <w:rPr>
          <w:spacing w:val="-2"/>
          <w:position w:val="28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2023</w:t>
      </w:r>
      <w:r>
        <w:rPr>
          <w:spacing w:val="-45"/>
          <w:position w:val="28"/>
          <w:sz w:val="30"/>
          <w:szCs w:val="30"/>
        </w:rPr>
        <w:t xml:space="preserve"> </w:t>
      </w:r>
      <w:r>
        <w:rPr>
          <w:spacing w:val="-2"/>
          <w:position w:val="28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年四季度通信行业发展环境分析</w:t>
      </w:r>
    </w:p>
    <w:p>
      <w:pPr>
        <w:pStyle w:val="BodyText"/>
        <w:spacing w:before="1" w:line="220" w:lineRule="auto"/>
        <w:ind w:left="60"/>
        <w:rPr>
          <w:sz w:val="28"/>
          <w:szCs w:val="28"/>
        </w:rPr>
      </w:pPr>
      <w:bookmarkStart w:id="2" w:name="bookmark3"/>
      <w:bookmarkEnd w:id="2"/>
      <w:r>
        <w:rPr>
          <w:spacing w:val="-2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1.1</w:t>
      </w:r>
      <w:r>
        <w:rPr>
          <w:spacing w:val="-2"/>
          <w:sz w:val="28"/>
          <w:szCs w:val="28"/>
        </w:rPr>
        <w:t xml:space="preserve">  </w:t>
      </w:r>
      <w:r>
        <w:rPr>
          <w:spacing w:val="-2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宏观经济环境分析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78" w:line="220" w:lineRule="auto"/>
        <w:ind w:left="55"/>
        <w:outlineLvl w:val="0"/>
        <w:rPr>
          <w:sz w:val="24"/>
          <w:szCs w:val="24"/>
        </w:rPr>
      </w:pPr>
      <w:r>
        <w:rPr>
          <w:spacing w:val="-1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1.1.1</w:t>
      </w:r>
      <w:r>
        <w:rPr>
          <w:spacing w:val="-1"/>
          <w:sz w:val="24"/>
          <w:szCs w:val="24"/>
        </w:rPr>
        <w:t xml:space="preserve">  </w:t>
      </w:r>
      <w:r>
        <w:rPr>
          <w:spacing w:val="-1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全球经济形势分析</w:t>
      </w:r>
    </w:p>
    <w:p>
      <w:pPr>
        <w:pStyle w:val="BodyText"/>
        <w:spacing w:before="275" w:line="343" w:lineRule="auto"/>
        <w:ind w:left="37" w:right="23" w:firstLine="422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全球经济增速温和放缓，各国经济走势有所分化</w:t>
      </w:r>
      <w:r>
        <w:rPr>
          <w:spacing w:val="-4"/>
        </w:rPr>
        <w:t>。2023</w:t>
      </w:r>
      <w:r>
        <w:rPr>
          <w:spacing w:val="-43"/>
        </w:rPr>
        <w:t xml:space="preserve"> </w:t>
      </w:r>
      <w:r>
        <w:rPr>
          <w:spacing w:val="-4"/>
        </w:rPr>
        <w:t>年四季度，地缘政治冲突</w:t>
      </w:r>
      <w:r>
        <w:rPr>
          <w:spacing w:val="-5"/>
        </w:rPr>
        <w:t>不断、</w:t>
      </w:r>
      <w:r>
        <w:t xml:space="preserve"> </w:t>
      </w:r>
      <w:r>
        <w:rPr>
          <w:spacing w:val="-2"/>
        </w:rPr>
        <w:t>通胀居高不下、利率持续上升、金融脆弱性上升、极</w:t>
      </w:r>
      <w:r>
        <w:rPr>
          <w:spacing w:val="-3"/>
        </w:rPr>
        <w:t>端天气加剧等风险因素对全球经济复苏</w:t>
      </w:r>
      <w:r>
        <w:t xml:space="preserve"> </w:t>
      </w:r>
      <w:r>
        <w:rPr>
          <w:spacing w:val="-2"/>
        </w:rPr>
        <w:t>形成重大挑战。同时，随着后疫情时代需求释放、</w:t>
      </w:r>
      <w:r>
        <w:rPr>
          <w:spacing w:val="-3"/>
        </w:rPr>
        <w:t>新兴市场快速发展、技术产业创新突破等</w:t>
      </w:r>
      <w:r>
        <w:t xml:space="preserve"> </w:t>
      </w:r>
      <w:r>
        <w:rPr>
          <w:spacing w:val="-5"/>
        </w:rPr>
        <w:t>不断演进，全球经济仍保持一定韧性， 继续呈现弱势复苏态势。 国际货币基金组织（</w:t>
      </w:r>
      <w:r>
        <w:rPr>
          <w:spacing w:val="-6"/>
        </w:rPr>
        <w:t>IMF）</w:t>
      </w:r>
      <w:r>
        <w:t xml:space="preserve"> </w:t>
      </w:r>
      <w:r>
        <w:rPr>
          <w:spacing w:val="-4"/>
        </w:rPr>
        <w:t>最新发布的《世界经济展望报告》预计，</w:t>
      </w:r>
      <w:r>
        <w:rPr>
          <w:spacing w:val="-42"/>
        </w:rPr>
        <w:t xml:space="preserve"> </w:t>
      </w:r>
      <w:r>
        <w:rPr>
          <w:spacing w:val="-4"/>
        </w:rPr>
        <w:t>2023</w:t>
      </w:r>
      <w:r>
        <w:rPr>
          <w:spacing w:val="-45"/>
        </w:rPr>
        <w:t xml:space="preserve"> </w:t>
      </w:r>
      <w:r>
        <w:rPr>
          <w:spacing w:val="-4"/>
        </w:rPr>
        <w:t>年，</w:t>
      </w:r>
      <w:r>
        <w:rPr>
          <w:spacing w:val="-5"/>
        </w:rPr>
        <w:t>全球经济增速将由</w:t>
      </w:r>
      <w:r>
        <w:rPr>
          <w:spacing w:val="-42"/>
        </w:rPr>
        <w:t xml:space="preserve"> </w:t>
      </w:r>
      <w:r>
        <w:rPr>
          <w:spacing w:val="-5"/>
        </w:rPr>
        <w:t>2022</w:t>
      </w:r>
      <w:r>
        <w:rPr>
          <w:spacing w:val="-45"/>
        </w:rPr>
        <w:t xml:space="preserve"> </w:t>
      </w:r>
      <w:r>
        <w:rPr>
          <w:spacing w:val="-5"/>
        </w:rPr>
        <w:t>年的</w:t>
      </w:r>
      <w:r>
        <w:rPr>
          <w:spacing w:val="-39"/>
        </w:rPr>
        <w:t xml:space="preserve"> </w:t>
      </w:r>
      <w:r>
        <w:rPr>
          <w:spacing w:val="-5"/>
        </w:rPr>
        <w:t>3.5%放缓至</w:t>
      </w:r>
      <w:r>
        <w:t xml:space="preserve"> </w:t>
      </w:r>
      <w:r>
        <w:rPr>
          <w:spacing w:val="-7"/>
        </w:rPr>
        <w:t>3.0%，且明显低于</w:t>
      </w:r>
      <w:r>
        <w:rPr>
          <w:spacing w:val="-26"/>
        </w:rPr>
        <w:t xml:space="preserve"> </w:t>
      </w:r>
      <w:r>
        <w:rPr>
          <w:spacing w:val="-7"/>
        </w:rPr>
        <w:t>3.8%的历史（2000-2019</w:t>
      </w:r>
      <w:r>
        <w:rPr>
          <w:spacing w:val="-46"/>
        </w:rPr>
        <w:t xml:space="preserve"> </w:t>
      </w:r>
      <w:r>
        <w:rPr>
          <w:spacing w:val="-7"/>
        </w:rPr>
        <w:t>年）平均水平。根据经济合作与发展组织（OECD）</w:t>
      </w:r>
      <w:r>
        <w:t xml:space="preserve"> </w:t>
      </w:r>
      <w:r>
        <w:t>发布的最新一期《经济展望报告》，2023</w:t>
      </w:r>
      <w:r>
        <w:rPr>
          <w:spacing w:val="-40"/>
        </w:rPr>
        <w:t xml:space="preserve"> </w:t>
      </w:r>
      <w:r>
        <w:t>年世界</w:t>
      </w:r>
      <w:r>
        <w:rPr>
          <w:spacing w:val="-1"/>
        </w:rPr>
        <w:t>经济增速预期为</w:t>
      </w:r>
      <w:r>
        <w:rPr>
          <w:spacing w:val="-37"/>
        </w:rPr>
        <w:t xml:space="preserve"> </w:t>
      </w:r>
      <w:r>
        <w:rPr>
          <w:spacing w:val="-1"/>
        </w:rPr>
        <w:t>2.9%，全球经济仍面临较</w:t>
      </w:r>
    </w:p>
    <w:p>
      <w:pPr>
        <w:pStyle w:val="BodyText"/>
        <w:spacing w:line="220" w:lineRule="auto"/>
        <w:ind w:left="39"/>
      </w:pPr>
      <w:r>
        <w:rPr>
          <w:spacing w:val="-2"/>
        </w:rPr>
        <w:t>大的下行压力。</w:t>
      </w:r>
    </w:p>
    <w:p>
      <w:pPr>
        <w:pStyle w:val="BodyText"/>
        <w:spacing w:before="295" w:line="343" w:lineRule="auto"/>
        <w:ind w:left="36" w:right="23" w:firstLine="423"/>
      </w:pPr>
      <w:r>
        <w:rPr>
          <w:spacing w:val="-5"/>
        </w:rPr>
        <w:t>从主要经济体来看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，美国经济仍具韧性，</w:t>
      </w:r>
      <w:r>
        <w:rPr>
          <w:spacing w:val="55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季度增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速有所放缓</w:t>
      </w:r>
      <w:r>
        <w:rPr>
          <w:spacing w:val="-6"/>
        </w:rPr>
        <w:t>。美国商务部</w:t>
      </w:r>
      <w:r>
        <w:rPr>
          <w:spacing w:val="-41"/>
        </w:rPr>
        <w:t xml:space="preserve"> </w:t>
      </w:r>
      <w:r>
        <w:rPr>
          <w:spacing w:val="-6"/>
        </w:rPr>
        <w:t>2024</w:t>
      </w:r>
      <w:r>
        <w:rPr>
          <w:spacing w:val="-43"/>
        </w:rPr>
        <w:t xml:space="preserve"> </w:t>
      </w:r>
      <w:r>
        <w:rPr>
          <w:spacing w:val="-6"/>
        </w:rPr>
        <w:t>年</w:t>
      </w:r>
      <w:r>
        <w:rPr>
          <w:spacing w:val="-31"/>
        </w:rPr>
        <w:t xml:space="preserve"> </w:t>
      </w:r>
      <w:r>
        <w:rPr>
          <w:spacing w:val="-6"/>
        </w:rPr>
        <w:t>1</w:t>
      </w:r>
      <w:r>
        <w:rPr>
          <w:spacing w:val="-39"/>
        </w:rPr>
        <w:t xml:space="preserve"> </w:t>
      </w:r>
      <w:r>
        <w:rPr>
          <w:spacing w:val="-6"/>
        </w:rPr>
        <w:t>月</w:t>
      </w:r>
      <w:r>
        <w:t xml:space="preserve"> </w:t>
      </w:r>
      <w:r>
        <w:rPr>
          <w:spacing w:val="-2"/>
        </w:rPr>
        <w:t>25 日公布的预估数据显示，2023</w:t>
      </w:r>
      <w:r>
        <w:rPr>
          <w:spacing w:val="-40"/>
        </w:rPr>
        <w:t xml:space="preserve"> </w:t>
      </w:r>
      <w:r>
        <w:rPr>
          <w:spacing w:val="-2"/>
        </w:rPr>
        <w:t>年全年，美国经济增长</w:t>
      </w:r>
      <w:r>
        <w:rPr>
          <w:spacing w:val="-42"/>
        </w:rPr>
        <w:t xml:space="preserve"> </w:t>
      </w:r>
      <w:r>
        <w:rPr>
          <w:spacing w:val="-3"/>
        </w:rPr>
        <w:t>2.5%，高于</w:t>
      </w:r>
      <w:r>
        <w:rPr>
          <w:spacing w:val="-39"/>
        </w:rPr>
        <w:t xml:space="preserve"> </w:t>
      </w:r>
      <w:r>
        <w:rPr>
          <w:spacing w:val="-3"/>
        </w:rPr>
        <w:t>2022</w:t>
      </w:r>
      <w:r>
        <w:rPr>
          <w:spacing w:val="-41"/>
        </w:rPr>
        <w:t xml:space="preserve"> </w:t>
      </w:r>
      <w:r>
        <w:rPr>
          <w:spacing w:val="-3"/>
        </w:rPr>
        <w:t>年</w:t>
      </w:r>
      <w:r>
        <w:rPr>
          <w:spacing w:val="-28"/>
        </w:rPr>
        <w:t xml:space="preserve"> </w:t>
      </w:r>
      <w:r>
        <w:rPr>
          <w:spacing w:val="-3"/>
        </w:rPr>
        <w:t>1.9%的增速。</w:t>
      </w:r>
      <w:r>
        <w:t xml:space="preserve"> </w:t>
      </w:r>
      <w:r>
        <w:rPr>
          <w:spacing w:val="-2"/>
        </w:rPr>
        <w:t>2023</w:t>
      </w:r>
      <w:r>
        <w:rPr>
          <w:spacing w:val="-46"/>
        </w:rPr>
        <w:t xml:space="preserve"> </w:t>
      </w:r>
      <w:r>
        <w:rPr>
          <w:spacing w:val="-2"/>
        </w:rPr>
        <w:t>年第四季度，美国实际国内生产总</w:t>
      </w:r>
      <w:r>
        <w:rPr>
          <w:spacing w:val="-3"/>
        </w:rPr>
        <w:t>值（GDP）按年率计算增长</w:t>
      </w:r>
      <w:r>
        <w:rPr>
          <w:spacing w:val="-39"/>
        </w:rPr>
        <w:t xml:space="preserve"> </w:t>
      </w:r>
      <w:r>
        <w:rPr>
          <w:spacing w:val="-3"/>
        </w:rPr>
        <w:t>3.3%，增速较第三季度的</w:t>
      </w:r>
      <w:r>
        <w:t xml:space="preserve"> </w:t>
      </w:r>
      <w:r>
        <w:rPr>
          <w:spacing w:val="-5"/>
        </w:rPr>
        <w:t>4.9%有所放缓。</w:t>
      </w:r>
      <w:r>
        <w:rPr>
          <w:spacing w:val="-24"/>
        </w:rPr>
        <w:t xml:space="preserve"> </w:t>
      </w:r>
      <w:r>
        <w:rPr>
          <w:spacing w:val="-5"/>
        </w:rPr>
        <w:t>按贡献度计算， 个人消费支出拉动当季经济增长</w:t>
      </w:r>
      <w:r>
        <w:rPr>
          <w:spacing w:val="-23"/>
        </w:rPr>
        <w:t xml:space="preserve"> </w:t>
      </w:r>
      <w:r>
        <w:rPr>
          <w:spacing w:val="-5"/>
        </w:rPr>
        <w:t>1.91</w:t>
      </w:r>
      <w:r>
        <w:rPr>
          <w:spacing w:val="-39"/>
        </w:rPr>
        <w:t xml:space="preserve"> </w:t>
      </w:r>
      <w:r>
        <w:rPr>
          <w:spacing w:val="-5"/>
        </w:rPr>
        <w:t>个百分点；政府消费</w:t>
      </w:r>
      <w:r>
        <w:t xml:space="preserve"> </w:t>
      </w:r>
      <w:r>
        <w:rPr>
          <w:spacing w:val="-4"/>
        </w:rPr>
        <w:t>支出和投资拉动经济增长</w:t>
      </w:r>
      <w:r>
        <w:rPr>
          <w:spacing w:val="-45"/>
        </w:rPr>
        <w:t xml:space="preserve"> </w:t>
      </w:r>
      <w:r>
        <w:rPr>
          <w:spacing w:val="-4"/>
        </w:rPr>
        <w:t>0.56</w:t>
      </w:r>
      <w:r>
        <w:rPr>
          <w:spacing w:val="-46"/>
        </w:rPr>
        <w:t xml:space="preserve"> </w:t>
      </w:r>
      <w:r>
        <w:rPr>
          <w:spacing w:val="-4"/>
        </w:rPr>
        <w:t>个百分点；</w:t>
      </w:r>
      <w:r>
        <w:rPr>
          <w:spacing w:val="-43"/>
        </w:rPr>
        <w:t xml:space="preserve"> </w:t>
      </w:r>
      <w:r>
        <w:rPr>
          <w:spacing w:val="-4"/>
        </w:rPr>
        <w:t>私</w:t>
      </w:r>
      <w:r>
        <w:rPr>
          <w:spacing w:val="-5"/>
        </w:rPr>
        <w:t>人库存投资拉动经济增长</w:t>
      </w:r>
      <w:r>
        <w:rPr>
          <w:spacing w:val="-42"/>
        </w:rPr>
        <w:t xml:space="preserve"> </w:t>
      </w:r>
      <w:r>
        <w:rPr>
          <w:spacing w:val="-5"/>
        </w:rPr>
        <w:t>0.07</w:t>
      </w:r>
      <w:r>
        <w:rPr>
          <w:spacing w:val="-46"/>
        </w:rPr>
        <w:t xml:space="preserve"> </w:t>
      </w:r>
      <w:r>
        <w:rPr>
          <w:spacing w:val="-5"/>
        </w:rPr>
        <w:t>个百分点；净出</w:t>
      </w:r>
      <w:r>
        <w:t xml:space="preserve"> </w:t>
      </w:r>
      <w:r>
        <w:rPr>
          <w:spacing w:val="-3"/>
        </w:rPr>
        <w:t>口拉动经济增长</w:t>
      </w:r>
      <w:r>
        <w:rPr>
          <w:spacing w:val="-35"/>
        </w:rPr>
        <w:t xml:space="preserve"> </w:t>
      </w:r>
      <w:r>
        <w:rPr>
          <w:spacing w:val="-3"/>
        </w:rPr>
        <w:t>0.43</w:t>
      </w:r>
      <w:r>
        <w:rPr>
          <w:spacing w:val="-40"/>
        </w:rPr>
        <w:t xml:space="preserve"> </w:t>
      </w:r>
      <w:r>
        <w:rPr>
          <w:spacing w:val="-3"/>
        </w:rPr>
        <w:t>个百分点。 可以看出，个人消费支出和政府支出是拉动当季经济增长</w:t>
      </w:r>
      <w:r>
        <w:t xml:space="preserve"> </w:t>
      </w:r>
      <w:r>
        <w:rPr>
          <w:spacing w:val="-2"/>
        </w:rPr>
        <w:t>的主要因素，美国经济仍具一定韧性。但同时，美国民</w:t>
      </w:r>
      <w:r>
        <w:rPr>
          <w:spacing w:val="-3"/>
        </w:rPr>
        <w:t>众依然受高通胀困扰，高利率环境仍</w:t>
      </w:r>
    </w:p>
    <w:p>
      <w:pPr>
        <w:pStyle w:val="BodyText"/>
        <w:spacing w:line="220" w:lineRule="auto"/>
        <w:ind w:left="35"/>
      </w:pPr>
      <w:r>
        <w:rPr>
          <w:spacing w:val="-1"/>
        </w:rPr>
        <w:t>将带来经济下行风险。</w:t>
      </w:r>
    </w:p>
    <w:p>
      <w:pPr>
        <w:pStyle w:val="BodyText"/>
        <w:spacing w:before="295" w:line="343" w:lineRule="auto"/>
        <w:ind w:left="37" w:right="24" w:firstLine="429"/>
        <w:jc w:val="both"/>
      </w:pP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欧洲经济复苏乏力，德法经济整体低迷</w:t>
      </w:r>
      <w:r>
        <w:rPr>
          <w:spacing w:val="-3"/>
        </w:rPr>
        <w:t>。欧盟统计局</w:t>
      </w:r>
      <w:r>
        <w:rPr>
          <w:spacing w:val="-18"/>
        </w:rPr>
        <w:t xml:space="preserve"> </w:t>
      </w:r>
      <w:r>
        <w:rPr>
          <w:spacing w:val="-3"/>
        </w:rPr>
        <w:t>2024</w:t>
      </w:r>
      <w:r>
        <w:rPr>
          <w:spacing w:val="-26"/>
        </w:rPr>
        <w:t xml:space="preserve"> </w:t>
      </w:r>
      <w:r>
        <w:rPr>
          <w:spacing w:val="-3"/>
        </w:rPr>
        <w:t>年 1</w:t>
      </w:r>
      <w:r>
        <w:rPr>
          <w:spacing w:val="-25"/>
        </w:rPr>
        <w:t xml:space="preserve"> </w:t>
      </w:r>
      <w:r>
        <w:rPr>
          <w:spacing w:val="-3"/>
        </w:rPr>
        <w:t>月</w:t>
      </w:r>
      <w:r>
        <w:rPr>
          <w:spacing w:val="-22"/>
        </w:rPr>
        <w:t xml:space="preserve"> </w:t>
      </w:r>
      <w:r>
        <w:rPr>
          <w:spacing w:val="-3"/>
        </w:rPr>
        <w:t>30 日公布的初步统</w:t>
      </w:r>
      <w:r>
        <w:t xml:space="preserve"> </w:t>
      </w:r>
      <w:r>
        <w:rPr>
          <w:spacing w:val="-2"/>
        </w:rPr>
        <w:t>计数据显示，2023</w:t>
      </w:r>
      <w:r>
        <w:rPr>
          <w:spacing w:val="-43"/>
        </w:rPr>
        <w:t xml:space="preserve"> </w:t>
      </w:r>
      <w:r>
        <w:rPr>
          <w:spacing w:val="-2"/>
        </w:rPr>
        <w:t>年欧元区和欧盟全年国</w:t>
      </w:r>
      <w:r>
        <w:rPr>
          <w:spacing w:val="-3"/>
        </w:rPr>
        <w:t>内生产总值（GDP）均增长</w:t>
      </w:r>
      <w:r>
        <w:rPr>
          <w:spacing w:val="-45"/>
        </w:rPr>
        <w:t xml:space="preserve"> </w:t>
      </w:r>
      <w:r>
        <w:rPr>
          <w:spacing w:val="-3"/>
        </w:rPr>
        <w:t>0.5%，第四季度环比零</w:t>
      </w:r>
      <w:r>
        <w:t xml:space="preserve"> </w:t>
      </w:r>
      <w:r>
        <w:rPr>
          <w:spacing w:val="-6"/>
        </w:rPr>
        <w:t>增长。其中，</w:t>
      </w:r>
      <w:r>
        <w:rPr>
          <w:spacing w:val="-31"/>
        </w:rPr>
        <w:t xml:space="preserve"> </w:t>
      </w:r>
      <w:r>
        <w:rPr>
          <w:spacing w:val="-6"/>
        </w:rPr>
        <w:t>葡萄牙、西班牙、比利时、拉脱维亚经济表现相对较好，</w:t>
      </w:r>
      <w:r>
        <w:rPr>
          <w:spacing w:val="-37"/>
        </w:rPr>
        <w:t xml:space="preserve"> </w:t>
      </w:r>
      <w:r>
        <w:rPr>
          <w:spacing w:val="-6"/>
        </w:rPr>
        <w:t>第四季度分别环比增</w:t>
      </w:r>
      <w:r>
        <w:t xml:space="preserve"> </w:t>
      </w:r>
      <w:r>
        <w:rPr>
          <w:spacing w:val="-5"/>
        </w:rPr>
        <w:t>长</w:t>
      </w:r>
      <w:r>
        <w:rPr>
          <w:spacing w:val="-42"/>
        </w:rPr>
        <w:t xml:space="preserve"> </w:t>
      </w:r>
      <w:r>
        <w:rPr>
          <w:spacing w:val="-5"/>
        </w:rPr>
        <w:t>0.8%、0.6%、0.4%和</w:t>
      </w:r>
      <w:r>
        <w:rPr>
          <w:spacing w:val="-42"/>
        </w:rPr>
        <w:t xml:space="preserve"> </w:t>
      </w:r>
      <w:r>
        <w:rPr>
          <w:spacing w:val="-5"/>
        </w:rPr>
        <w:t>0.4%；</w:t>
      </w:r>
      <w:r>
        <w:rPr>
          <w:spacing w:val="-6"/>
        </w:rPr>
        <w:t>爱尔兰、德国以及立陶宛经济表现不佳，环比下滑</w:t>
      </w:r>
      <w:r>
        <w:rPr>
          <w:spacing w:val="-42"/>
        </w:rPr>
        <w:t xml:space="preserve"> </w:t>
      </w:r>
      <w:r>
        <w:rPr>
          <w:spacing w:val="-6"/>
        </w:rPr>
        <w:t>0.7%、0.3%</w:t>
      </w:r>
      <w:r>
        <w:t xml:space="preserve"> </w:t>
      </w:r>
      <w:r>
        <w:rPr>
          <w:spacing w:val="-5"/>
        </w:rPr>
        <w:t>和</w:t>
      </w:r>
      <w:r>
        <w:rPr>
          <w:spacing w:val="-42"/>
        </w:rPr>
        <w:t xml:space="preserve"> </w:t>
      </w:r>
      <w:r>
        <w:rPr>
          <w:spacing w:val="-5"/>
        </w:rPr>
        <w:t>0.3%。受能源价格上涨、信贷成本增加等因素影响，</w:t>
      </w:r>
      <w:r>
        <w:rPr>
          <w:spacing w:val="-52"/>
        </w:rPr>
        <w:t xml:space="preserve"> </w:t>
      </w:r>
      <w:r>
        <w:rPr>
          <w:spacing w:val="-5"/>
        </w:rPr>
        <w:t>欧元区经济依然萎靡</w:t>
      </w:r>
      <w:r>
        <w:rPr>
          <w:spacing w:val="-6"/>
        </w:rPr>
        <w:t>不振。而作为欧</w:t>
      </w:r>
    </w:p>
    <w:p>
      <w:pPr>
        <w:pStyle w:val="BodyText"/>
        <w:spacing w:before="1" w:line="220" w:lineRule="auto"/>
        <w:ind w:left="38"/>
      </w:pPr>
      <w:r>
        <w:t>元区经济增长的引擎，德法两国经济低迷，对欧元区整体表现形</w:t>
      </w:r>
      <w:r>
        <w:rPr>
          <w:spacing w:val="-1"/>
        </w:rPr>
        <w:t>成拖累。</w:t>
      </w:r>
    </w:p>
    <w:p>
      <w:pPr>
        <w:pStyle w:val="BodyText"/>
        <w:spacing w:before="296" w:line="343" w:lineRule="auto"/>
        <w:ind w:left="36" w:right="26" w:firstLine="459"/>
        <w:sectPr>
          <w:headerReference w:type="default" r:id="rId14"/>
          <w:footerReference w:type="default" r:id="rId15"/>
          <w:pgSz w:w="11907" w:h="16839"/>
          <w:pgMar w:top="1118" w:right="1769" w:bottom="1156" w:left="1771" w:header="877" w:footer="995" w:gutter="0"/>
          <w:pgNumType w:start="7"/>
          <w:cols w:space="708"/>
        </w:sectPr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日本经济持续疲软，经济总量被德国反超</w:t>
      </w:r>
      <w:r>
        <w:rPr>
          <w:spacing w:val="-4"/>
        </w:rPr>
        <w:t>。</w:t>
      </w:r>
      <w:r>
        <w:rPr>
          <w:spacing w:val="-62"/>
        </w:rPr>
        <w:t xml:space="preserve"> </w:t>
      </w:r>
      <w:r>
        <w:rPr>
          <w:spacing w:val="-4"/>
        </w:rPr>
        <w:t>日本</w:t>
      </w:r>
      <w:r>
        <w:rPr>
          <w:spacing w:val="-5"/>
        </w:rPr>
        <w:t>内阁府</w:t>
      </w:r>
      <w:r>
        <w:rPr>
          <w:spacing w:val="-25"/>
        </w:rPr>
        <w:t xml:space="preserve"> </w:t>
      </w:r>
      <w:r>
        <w:rPr>
          <w:spacing w:val="-5"/>
        </w:rPr>
        <w:t>2024</w:t>
      </w:r>
      <w:r>
        <w:rPr>
          <w:spacing w:val="-28"/>
        </w:rPr>
        <w:t xml:space="preserve"> </w:t>
      </w:r>
      <w:r>
        <w:rPr>
          <w:spacing w:val="-5"/>
        </w:rPr>
        <w:t>年</w:t>
      </w:r>
      <w:r>
        <w:rPr>
          <w:spacing w:val="-27"/>
        </w:rPr>
        <w:t xml:space="preserve"> </w:t>
      </w:r>
      <w:r>
        <w:rPr>
          <w:spacing w:val="-5"/>
        </w:rPr>
        <w:t>2</w:t>
      </w:r>
      <w:r>
        <w:rPr>
          <w:spacing w:val="-23"/>
        </w:rPr>
        <w:t xml:space="preserve"> </w:t>
      </w:r>
      <w:r>
        <w:rPr>
          <w:spacing w:val="-5"/>
        </w:rPr>
        <w:t>月 15 日公布的初步</w:t>
      </w:r>
      <w:r>
        <w:t xml:space="preserve"> </w:t>
      </w:r>
      <w:r>
        <w:rPr>
          <w:spacing w:val="-2"/>
        </w:rPr>
        <w:t>统计结果显示，2023</w:t>
      </w:r>
      <w:r>
        <w:rPr>
          <w:spacing w:val="-28"/>
        </w:rPr>
        <w:t xml:space="preserve"> </w:t>
      </w:r>
      <w:r>
        <w:rPr>
          <w:spacing w:val="-2"/>
        </w:rPr>
        <w:t>年日本实际</w:t>
      </w:r>
      <w:r>
        <w:rPr>
          <w:spacing w:val="-32"/>
        </w:rPr>
        <w:t xml:space="preserve"> </w:t>
      </w:r>
      <w:r>
        <w:rPr>
          <w:spacing w:val="-2"/>
        </w:rPr>
        <w:t>GDP 同</w:t>
      </w:r>
      <w:r>
        <w:rPr>
          <w:spacing w:val="-3"/>
        </w:rPr>
        <w:t>比增长 1.9%，名义</w:t>
      </w:r>
      <w:r>
        <w:rPr>
          <w:spacing w:val="-32"/>
        </w:rPr>
        <w:t xml:space="preserve"> </w:t>
      </w:r>
      <w:r>
        <w:rPr>
          <w:spacing w:val="-3"/>
        </w:rPr>
        <w:t>GDP</w:t>
      </w:r>
      <w:r>
        <w:rPr>
          <w:spacing w:val="-31"/>
        </w:rPr>
        <w:t xml:space="preserve"> </w:t>
      </w:r>
      <w:r>
        <w:rPr>
          <w:spacing w:val="-3"/>
        </w:rPr>
        <w:t>增长</w:t>
      </w:r>
      <w:r>
        <w:rPr>
          <w:spacing w:val="-28"/>
        </w:rPr>
        <w:t xml:space="preserve"> </w:t>
      </w:r>
      <w:r>
        <w:rPr>
          <w:spacing w:val="-3"/>
        </w:rPr>
        <w:t>5.7%。2023</w:t>
      </w:r>
      <w:r>
        <w:rPr>
          <w:spacing w:val="-28"/>
        </w:rPr>
        <w:t xml:space="preserve"> </w:t>
      </w:r>
      <w:r>
        <w:rPr>
          <w:spacing w:val="-3"/>
        </w:rPr>
        <w:t>年第四季</w:t>
      </w:r>
      <w:r>
        <w:t xml:space="preserve"> </w:t>
      </w:r>
      <w:r>
        <w:rPr>
          <w:spacing w:val="-1"/>
        </w:rPr>
        <w:t>度，日本实际</w:t>
      </w:r>
      <w:r>
        <w:rPr>
          <w:spacing w:val="-36"/>
        </w:rPr>
        <w:t xml:space="preserve"> </w:t>
      </w:r>
      <w:r>
        <w:rPr>
          <w:spacing w:val="-1"/>
        </w:rPr>
        <w:t>GDP</w:t>
      </w:r>
      <w:r>
        <w:rPr>
          <w:spacing w:val="-42"/>
        </w:rPr>
        <w:t xml:space="preserve"> </w:t>
      </w:r>
      <w:r>
        <w:rPr>
          <w:spacing w:val="-1"/>
        </w:rPr>
        <w:t>环比下降</w:t>
      </w:r>
      <w:r>
        <w:rPr>
          <w:spacing w:val="-39"/>
        </w:rPr>
        <w:t xml:space="preserve"> </w:t>
      </w:r>
      <w:r>
        <w:rPr>
          <w:spacing w:val="-1"/>
        </w:rPr>
        <w:t>0.1%，换算成年率下降</w:t>
      </w:r>
      <w:r>
        <w:rPr>
          <w:spacing w:val="-42"/>
        </w:rPr>
        <w:t xml:space="preserve"> </w:t>
      </w:r>
      <w:r>
        <w:rPr>
          <w:spacing w:val="-1"/>
        </w:rPr>
        <w:t>0.4%，连续两个季度负增长。该季度，</w:t>
      </w:r>
      <w:r>
        <w:t xml:space="preserve"> </w:t>
      </w:r>
      <w:r>
        <w:t>占日本经济比重二分之一以上的个人消费环比下降</w:t>
      </w:r>
      <w:r>
        <w:rPr>
          <w:spacing w:val="-39"/>
        </w:rPr>
        <w:t xml:space="preserve"> </w:t>
      </w:r>
      <w:r>
        <w:t>0.</w:t>
      </w:r>
      <w:r>
        <w:rPr>
          <w:spacing w:val="-1"/>
        </w:rPr>
        <w:t>2%，企业设备投资减少</w:t>
      </w:r>
      <w:r>
        <w:rPr>
          <w:spacing w:val="-40"/>
        </w:rPr>
        <w:t xml:space="preserve"> </w:t>
      </w:r>
      <w:r>
        <w:rPr>
          <w:spacing w:val="-1"/>
        </w:rPr>
        <w:t>0.1%，均连续</w:t>
      </w:r>
      <w:r>
        <w:t xml:space="preserve"> </w:t>
      </w:r>
    </w:p>
    <w:p>
      <w:pPr>
        <w:pStyle w:val="BodyText"/>
        <w:spacing w:before="296" w:line="343" w:lineRule="auto"/>
        <w:ind w:left="36" w:right="26" w:firstLine="459"/>
      </w:pPr>
      <w:r>
        <w:rPr>
          <w:spacing w:val="-5"/>
        </w:rPr>
        <w:t>三个季度出现负增长；住宅投资下降</w:t>
      </w:r>
      <w:r>
        <w:rPr>
          <w:spacing w:val="-29"/>
        </w:rPr>
        <w:t xml:space="preserve"> </w:t>
      </w:r>
      <w:r>
        <w:rPr>
          <w:spacing w:val="-5"/>
        </w:rPr>
        <w:t>1.0%，连续两个</w:t>
      </w:r>
      <w:r>
        <w:rPr>
          <w:spacing w:val="-6"/>
        </w:rPr>
        <w:t>季度下降；货物及服务出口增长</w:t>
      </w:r>
      <w:r>
        <w:rPr>
          <w:spacing w:val="-40"/>
        </w:rPr>
        <w:t xml:space="preserve"> </w:t>
      </w:r>
      <w:r>
        <w:rPr>
          <w:spacing w:val="-6"/>
        </w:rPr>
        <w:t>2.6%，</w:t>
      </w:r>
      <w:r>
        <w:t xml:space="preserve"> </w:t>
      </w:r>
      <w:r>
        <w:rPr>
          <w:spacing w:val="-5"/>
        </w:rPr>
        <w:t>连续三个季度增长。</w:t>
      </w:r>
      <w:r>
        <w:rPr>
          <w:spacing w:val="-29"/>
        </w:rPr>
        <w:t xml:space="preserve"> </w:t>
      </w:r>
      <w:r>
        <w:rPr>
          <w:spacing w:val="-5"/>
        </w:rPr>
        <w:t>从绝对规模看， 2023</w:t>
      </w:r>
      <w:r>
        <w:rPr>
          <w:spacing w:val="-22"/>
        </w:rPr>
        <w:t xml:space="preserve"> </w:t>
      </w:r>
      <w:r>
        <w:rPr>
          <w:spacing w:val="-5"/>
        </w:rPr>
        <w:t>年日本名义国内生产</w:t>
      </w:r>
      <w:r>
        <w:rPr>
          <w:spacing w:val="-6"/>
        </w:rPr>
        <w:t>总值（GDP）为 4.2106 万亿</w:t>
      </w:r>
    </w:p>
    <w:p>
      <w:pPr>
        <w:pStyle w:val="BodyText"/>
        <w:spacing w:line="220" w:lineRule="auto"/>
        <w:ind w:left="38"/>
      </w:pPr>
      <w:r>
        <w:rPr>
          <w:spacing w:val="-4"/>
        </w:rPr>
        <w:t>美元， 被德国超越而降至世界第四位，成为全球经济关</w:t>
      </w:r>
      <w:r>
        <w:rPr>
          <w:spacing w:val="-5"/>
        </w:rPr>
        <w:t>注的焦点。</w:t>
      </w:r>
    </w:p>
    <w:p>
      <w:pPr>
        <w:spacing w:line="220" w:lineRule="auto"/>
        <w:sectPr>
          <w:headerReference w:type="default" r:id="rId16"/>
          <w:footerReference w:type="default" r:id="rId17"/>
          <w:type w:val="nextPage"/>
          <w:pgSz w:w="11907" w:h="16839"/>
          <w:pgMar w:top="1118" w:right="1769" w:bottom="1156" w:left="1771" w:header="877" w:footer="995" w:gutter="0"/>
          <w:pgNumType w:start="8"/>
          <w:cols w:space="708"/>
          <w:titlePg w:val="0"/>
        </w:sectPr>
      </w:pPr>
    </w:p>
    <w:p>
      <w:pPr>
        <w:spacing w:line="339" w:lineRule="auto"/>
        <w:rPr>
          <w:rFonts w:ascii="Arial"/>
          <w:sz w:val="21"/>
        </w:rPr>
      </w:pPr>
    </w:p>
    <w:p>
      <w:pPr>
        <w:pStyle w:val="BodyText"/>
        <w:spacing w:before="69" w:line="343" w:lineRule="auto"/>
        <w:ind w:left="33" w:right="16" w:firstLine="425"/>
      </w:pPr>
      <w:r>
        <w:rPr>
          <w:spacing w:val="-2"/>
        </w:rPr>
        <w:t>从新兴市场表现来看，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俄罗斯短期经济景气走高</w:t>
      </w:r>
      <w:r>
        <w:rPr>
          <w:spacing w:val="-2"/>
        </w:rPr>
        <w:t>。2023</w:t>
      </w:r>
      <w:r>
        <w:rPr>
          <w:spacing w:val="-43"/>
        </w:rPr>
        <w:t xml:space="preserve"> </w:t>
      </w:r>
      <w:r>
        <w:rPr>
          <w:spacing w:val="-2"/>
        </w:rPr>
        <w:t>年</w:t>
      </w:r>
      <w:r>
        <w:rPr>
          <w:spacing w:val="-30"/>
        </w:rPr>
        <w:t xml:space="preserve"> </w:t>
      </w:r>
      <w:r>
        <w:rPr>
          <w:spacing w:val="-2"/>
        </w:rPr>
        <w:t>10、11、12</w:t>
      </w:r>
      <w:r>
        <w:rPr>
          <w:spacing w:val="-42"/>
        </w:rPr>
        <w:t xml:space="preserve"> </w:t>
      </w:r>
      <w:r>
        <w:rPr>
          <w:spacing w:val="-2"/>
        </w:rPr>
        <w:t>月</w:t>
      </w:r>
      <w:r>
        <w:rPr>
          <w:spacing w:val="-3"/>
        </w:rPr>
        <w:t>，俄罗斯综合</w:t>
      </w:r>
      <w:r>
        <w:t xml:space="preserve"> </w:t>
      </w:r>
      <w:r>
        <w:rPr>
          <w:spacing w:val="-3"/>
        </w:rPr>
        <w:t>PMI</w:t>
      </w:r>
      <w:r>
        <w:rPr>
          <w:spacing w:val="-42"/>
        </w:rPr>
        <w:t xml:space="preserve"> </w:t>
      </w:r>
      <w:r>
        <w:rPr>
          <w:spacing w:val="-3"/>
        </w:rPr>
        <w:t>分别为</w:t>
      </w:r>
      <w:r>
        <w:rPr>
          <w:spacing w:val="-42"/>
        </w:rPr>
        <w:t xml:space="preserve"> </w:t>
      </w:r>
      <w:r>
        <w:rPr>
          <w:spacing w:val="-3"/>
        </w:rPr>
        <w:t>53.6、52.4</w:t>
      </w:r>
      <w:r>
        <w:rPr>
          <w:spacing w:val="-45"/>
        </w:rPr>
        <w:t xml:space="preserve"> </w:t>
      </w:r>
      <w:r>
        <w:rPr>
          <w:spacing w:val="-3"/>
        </w:rPr>
        <w:t>和</w:t>
      </w:r>
      <w:r>
        <w:rPr>
          <w:spacing w:val="-42"/>
        </w:rPr>
        <w:t xml:space="preserve"> </w:t>
      </w:r>
      <w:r>
        <w:rPr>
          <w:spacing w:val="-3"/>
        </w:rPr>
        <w:t>55.7。其中，制造业</w:t>
      </w:r>
      <w:r>
        <w:rPr>
          <w:spacing w:val="-47"/>
        </w:rPr>
        <w:t xml:space="preserve"> </w:t>
      </w:r>
      <w:r>
        <w:rPr>
          <w:spacing w:val="-4"/>
        </w:rPr>
        <w:t>PMI</w:t>
      </w:r>
      <w:r>
        <w:rPr>
          <w:spacing w:val="-44"/>
        </w:rPr>
        <w:t xml:space="preserve"> </w:t>
      </w:r>
      <w:r>
        <w:rPr>
          <w:spacing w:val="-4"/>
        </w:rPr>
        <w:t>分别为</w:t>
      </w:r>
      <w:r>
        <w:rPr>
          <w:spacing w:val="-40"/>
        </w:rPr>
        <w:t xml:space="preserve"> </w:t>
      </w:r>
      <w:r>
        <w:rPr>
          <w:spacing w:val="-4"/>
        </w:rPr>
        <w:t>53.6、52.2</w:t>
      </w:r>
      <w:r>
        <w:rPr>
          <w:spacing w:val="-45"/>
        </w:rPr>
        <w:t xml:space="preserve"> </w:t>
      </w:r>
      <w:r>
        <w:rPr>
          <w:spacing w:val="-4"/>
        </w:rPr>
        <w:t>和</w:t>
      </w:r>
      <w:r>
        <w:rPr>
          <w:spacing w:val="-40"/>
        </w:rPr>
        <w:t xml:space="preserve"> </w:t>
      </w:r>
      <w:r>
        <w:rPr>
          <w:spacing w:val="-4"/>
        </w:rPr>
        <w:t>56.2，服务业</w:t>
      </w:r>
      <w:r>
        <w:rPr>
          <w:spacing w:val="-47"/>
        </w:rPr>
        <w:t xml:space="preserve"> </w:t>
      </w:r>
      <w:r>
        <w:rPr>
          <w:spacing w:val="-4"/>
        </w:rPr>
        <w:t>PMI</w:t>
      </w:r>
      <w:r>
        <w:t xml:space="preserve"> </w:t>
      </w:r>
      <w:r>
        <w:rPr>
          <w:spacing w:val="-2"/>
        </w:rPr>
        <w:t>分别为</w:t>
      </w:r>
      <w:r>
        <w:rPr>
          <w:spacing w:val="-27"/>
        </w:rPr>
        <w:t xml:space="preserve"> </w:t>
      </w:r>
      <w:r>
        <w:rPr>
          <w:spacing w:val="-2"/>
        </w:rPr>
        <w:t>53.8、53.8</w:t>
      </w:r>
      <w:r>
        <w:rPr>
          <w:spacing w:val="-45"/>
        </w:rPr>
        <w:t xml:space="preserve"> </w:t>
      </w:r>
      <w:r>
        <w:rPr>
          <w:spacing w:val="-2"/>
        </w:rPr>
        <w:t>和</w:t>
      </w:r>
      <w:r>
        <w:rPr>
          <w:spacing w:val="-39"/>
        </w:rPr>
        <w:t xml:space="preserve"> </w:t>
      </w:r>
      <w:r>
        <w:rPr>
          <w:spacing w:val="-2"/>
        </w:rPr>
        <w:t>54.6，反映俄罗斯经济景气度相对较高。国际货币基金组织最新报告</w:t>
      </w:r>
      <w:r>
        <w:t xml:space="preserve"> </w:t>
      </w:r>
      <w:r>
        <w:rPr>
          <w:spacing w:val="-3"/>
        </w:rPr>
        <w:t>预测， 2023</w:t>
      </w:r>
      <w:r>
        <w:rPr>
          <w:spacing w:val="-35"/>
        </w:rPr>
        <w:t xml:space="preserve"> </w:t>
      </w:r>
      <w:r>
        <w:rPr>
          <w:spacing w:val="-3"/>
        </w:rPr>
        <w:t>年俄罗斯经济增速为</w:t>
      </w:r>
      <w:r>
        <w:rPr>
          <w:spacing w:val="-36"/>
        </w:rPr>
        <w:t xml:space="preserve"> </w:t>
      </w:r>
      <w:r>
        <w:rPr>
          <w:spacing w:val="-3"/>
        </w:rPr>
        <w:t>2.2%。虽然重回增长，但俄罗斯长期经济挑战仍大。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巴西</w:t>
      </w:r>
      <w:r>
        <w:t xml:space="preserve"> 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经济继续缓慢复苏</w:t>
      </w:r>
      <w:r>
        <w:rPr>
          <w:spacing w:val="-2"/>
        </w:rPr>
        <w:t>。卢拉政府的一系列改革措施为巴西经济</w:t>
      </w:r>
      <w:r>
        <w:rPr>
          <w:spacing w:val="-3"/>
        </w:rPr>
        <w:t>注入动力，净出口改善推动巴西</w:t>
      </w:r>
      <w:r>
        <w:t xml:space="preserve"> </w:t>
      </w:r>
      <w:r>
        <w:rPr>
          <w:spacing w:val="-4"/>
        </w:rPr>
        <w:t>经济缓慢复苏。</w:t>
      </w:r>
      <w:r>
        <w:rPr>
          <w:spacing w:val="-29"/>
        </w:rPr>
        <w:t xml:space="preserve"> </w:t>
      </w:r>
      <w:r>
        <w:rPr>
          <w:spacing w:val="-4"/>
        </w:rPr>
        <w:t>2023</w:t>
      </w:r>
      <w:r>
        <w:rPr>
          <w:spacing w:val="-33"/>
        </w:rPr>
        <w:t xml:space="preserve"> </w:t>
      </w:r>
      <w:r>
        <w:rPr>
          <w:spacing w:val="-4"/>
        </w:rPr>
        <w:t>年三季度巴西实际</w:t>
      </w:r>
      <w:r>
        <w:rPr>
          <w:spacing w:val="-35"/>
        </w:rPr>
        <w:t xml:space="preserve"> </w:t>
      </w:r>
      <w:r>
        <w:rPr>
          <w:spacing w:val="-4"/>
        </w:rPr>
        <w:t>GDP 同比增速为</w:t>
      </w:r>
      <w:r>
        <w:rPr>
          <w:spacing w:val="-29"/>
        </w:rPr>
        <w:t xml:space="preserve"> </w:t>
      </w:r>
      <w:r>
        <w:rPr>
          <w:spacing w:val="-4"/>
        </w:rPr>
        <w:t>2%，环比</w:t>
      </w:r>
      <w:r>
        <w:rPr>
          <w:spacing w:val="-5"/>
        </w:rPr>
        <w:t>增长</w:t>
      </w:r>
      <w:r>
        <w:rPr>
          <w:spacing w:val="-31"/>
        </w:rPr>
        <w:t xml:space="preserve"> </w:t>
      </w:r>
      <w:r>
        <w:rPr>
          <w:spacing w:val="-5"/>
        </w:rPr>
        <w:t>0.1%；进入四季度，</w:t>
      </w:r>
      <w:r>
        <w:t xml:space="preserve"> </w:t>
      </w:r>
      <w:r>
        <w:rPr>
          <w:spacing w:val="-1"/>
        </w:rPr>
        <w:t>巴西制造业</w:t>
      </w:r>
      <w:r>
        <w:rPr>
          <w:spacing w:val="-45"/>
        </w:rPr>
        <w:t xml:space="preserve"> </w:t>
      </w:r>
      <w:r>
        <w:rPr>
          <w:spacing w:val="-1"/>
        </w:rPr>
        <w:t>PMI</w:t>
      </w:r>
      <w:r>
        <w:rPr>
          <w:spacing w:val="-41"/>
        </w:rPr>
        <w:t xml:space="preserve"> </w:t>
      </w:r>
      <w:r>
        <w:rPr>
          <w:spacing w:val="-1"/>
        </w:rPr>
        <w:t>有所下降，但服务业</w:t>
      </w:r>
      <w:r>
        <w:rPr>
          <w:spacing w:val="-45"/>
        </w:rPr>
        <w:t xml:space="preserve"> </w:t>
      </w:r>
      <w:r>
        <w:rPr>
          <w:spacing w:val="-1"/>
        </w:rPr>
        <w:t>PMI</w:t>
      </w:r>
      <w:r>
        <w:rPr>
          <w:spacing w:val="-39"/>
        </w:rPr>
        <w:t xml:space="preserve"> </w:t>
      </w:r>
      <w:r>
        <w:rPr>
          <w:spacing w:val="-1"/>
        </w:rPr>
        <w:t>持续增强。最新数据显示，</w:t>
      </w:r>
      <w:r>
        <w:rPr>
          <w:spacing w:val="-2"/>
        </w:rPr>
        <w:t>巴西</w:t>
      </w:r>
      <w:r>
        <w:rPr>
          <w:spacing w:val="-42"/>
        </w:rPr>
        <w:t xml:space="preserve"> </w:t>
      </w:r>
      <w:r>
        <w:rPr>
          <w:spacing w:val="-2"/>
        </w:rPr>
        <w:t>2023</w:t>
      </w:r>
      <w:r>
        <w:rPr>
          <w:spacing w:val="-40"/>
        </w:rPr>
        <w:t xml:space="preserve"> </w:t>
      </w:r>
      <w:r>
        <w:rPr>
          <w:spacing w:val="-2"/>
        </w:rPr>
        <w:t>年第四季度</w:t>
      </w:r>
      <w:r>
        <w:t xml:space="preserve"> </w:t>
      </w:r>
      <w:r>
        <w:rPr>
          <w:spacing w:val="-4"/>
        </w:rPr>
        <w:t>失业率降至近</w:t>
      </w:r>
      <w:r>
        <w:rPr>
          <w:spacing w:val="-43"/>
        </w:rPr>
        <w:t xml:space="preserve"> </w:t>
      </w:r>
      <w:r>
        <w:rPr>
          <w:spacing w:val="-4"/>
        </w:rPr>
        <w:t>8</w:t>
      </w:r>
      <w:r>
        <w:rPr>
          <w:spacing w:val="-46"/>
        </w:rPr>
        <w:t xml:space="preserve"> </w:t>
      </w:r>
      <w:r>
        <w:rPr>
          <w:spacing w:val="-4"/>
        </w:rPr>
        <w:t>年来的最低点</w:t>
      </w:r>
      <w:r>
        <w:rPr>
          <w:spacing w:val="-38"/>
        </w:rPr>
        <w:t xml:space="preserve"> </w:t>
      </w:r>
      <w:r>
        <w:rPr>
          <w:spacing w:val="-4"/>
        </w:rPr>
        <w:t>7.4%，2023</w:t>
      </w:r>
      <w:r>
        <w:rPr>
          <w:spacing w:val="-46"/>
        </w:rPr>
        <w:t xml:space="preserve"> </w:t>
      </w:r>
      <w:r>
        <w:rPr>
          <w:spacing w:val="-4"/>
        </w:rPr>
        <w:t>年的巴西经济</w:t>
      </w:r>
      <w:r>
        <w:rPr>
          <w:spacing w:val="-5"/>
        </w:rPr>
        <w:t>增长率将在</w:t>
      </w:r>
      <w:r>
        <w:rPr>
          <w:spacing w:val="-39"/>
        </w:rPr>
        <w:t xml:space="preserve"> </w:t>
      </w:r>
      <w:r>
        <w:rPr>
          <w:spacing w:val="-5"/>
        </w:rPr>
        <w:t xml:space="preserve">3%左右。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印度经济继续</w:t>
      </w:r>
      <w:r>
        <w:t xml:space="preserve"> </w:t>
      </w:r>
      <w:r>
        <w:rPr>
          <w:spacing w:val="-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强劲增长</w:t>
      </w:r>
      <w:r>
        <w:rPr>
          <w:spacing w:val="-1"/>
        </w:rPr>
        <w:t>。2023</w:t>
      </w:r>
      <w:r>
        <w:rPr>
          <w:spacing w:val="-43"/>
        </w:rPr>
        <w:t xml:space="preserve"> </w:t>
      </w:r>
      <w:r>
        <w:rPr>
          <w:spacing w:val="-1"/>
        </w:rPr>
        <w:t>年前三季度印度实际</w:t>
      </w:r>
      <w:r>
        <w:rPr>
          <w:spacing w:val="-44"/>
        </w:rPr>
        <w:t xml:space="preserve"> </w:t>
      </w:r>
      <w:r>
        <w:rPr>
          <w:spacing w:val="-1"/>
        </w:rPr>
        <w:t>GDP</w:t>
      </w:r>
      <w:r>
        <w:rPr>
          <w:spacing w:val="-21"/>
        </w:rPr>
        <w:t xml:space="preserve"> </w:t>
      </w:r>
      <w:r>
        <w:rPr>
          <w:spacing w:val="-1"/>
        </w:rPr>
        <w:t>同比增长</w:t>
      </w:r>
      <w:r>
        <w:rPr>
          <w:spacing w:val="-38"/>
        </w:rPr>
        <w:t xml:space="preserve"> </w:t>
      </w:r>
      <w:r>
        <w:rPr>
          <w:spacing w:val="-1"/>
        </w:rPr>
        <w:t>7.1%，增长较为强劲</w:t>
      </w:r>
      <w:r>
        <w:rPr>
          <w:spacing w:val="-2"/>
        </w:rPr>
        <w:t>，其中投资是印度</w:t>
      </w:r>
      <w:r>
        <w:t xml:space="preserve"> </w:t>
      </w:r>
      <w:r>
        <w:rPr>
          <w:spacing w:val="-7"/>
        </w:rPr>
        <w:t>经济增长的主要拉动项。2023</w:t>
      </w:r>
      <w:r>
        <w:rPr>
          <w:spacing w:val="-43"/>
        </w:rPr>
        <w:t xml:space="preserve"> </w:t>
      </w:r>
      <w:r>
        <w:rPr>
          <w:spacing w:val="-7"/>
        </w:rPr>
        <w:t>年</w:t>
      </w:r>
      <w:r>
        <w:rPr>
          <w:spacing w:val="-30"/>
        </w:rPr>
        <w:t xml:space="preserve"> </w:t>
      </w:r>
      <w:r>
        <w:rPr>
          <w:spacing w:val="-7"/>
        </w:rPr>
        <w:t>10、11、</w:t>
      </w:r>
      <w:r>
        <w:rPr>
          <w:spacing w:val="-8"/>
        </w:rPr>
        <w:t>12</w:t>
      </w:r>
      <w:r>
        <w:rPr>
          <w:spacing w:val="-42"/>
        </w:rPr>
        <w:t xml:space="preserve"> </w:t>
      </w:r>
      <w:r>
        <w:rPr>
          <w:spacing w:val="-8"/>
        </w:rPr>
        <w:t>月，</w:t>
      </w:r>
      <w:r>
        <w:rPr>
          <w:spacing w:val="-62"/>
        </w:rPr>
        <w:t xml:space="preserve"> </w:t>
      </w:r>
      <w:r>
        <w:rPr>
          <w:spacing w:val="-8"/>
        </w:rPr>
        <w:t>印度制造业</w:t>
      </w:r>
      <w:r>
        <w:rPr>
          <w:spacing w:val="-47"/>
        </w:rPr>
        <w:t xml:space="preserve"> </w:t>
      </w:r>
      <w:r>
        <w:rPr>
          <w:spacing w:val="-8"/>
        </w:rPr>
        <w:t>PMI</w:t>
      </w:r>
      <w:r>
        <w:rPr>
          <w:spacing w:val="-44"/>
        </w:rPr>
        <w:t xml:space="preserve"> </w:t>
      </w:r>
      <w:r>
        <w:rPr>
          <w:spacing w:val="-8"/>
        </w:rPr>
        <w:t>分别为</w:t>
      </w:r>
      <w:r>
        <w:rPr>
          <w:spacing w:val="-40"/>
        </w:rPr>
        <w:t xml:space="preserve"> </w:t>
      </w:r>
      <w:r>
        <w:rPr>
          <w:spacing w:val="-8"/>
        </w:rPr>
        <w:t>55.5、56.0、54.9，</w:t>
      </w:r>
      <w:r>
        <w:t xml:space="preserve"> </w:t>
      </w:r>
      <w:r>
        <w:rPr>
          <w:spacing w:val="-1"/>
        </w:rPr>
        <w:t>服务业</w:t>
      </w:r>
      <w:r>
        <w:rPr>
          <w:spacing w:val="-45"/>
        </w:rPr>
        <w:t xml:space="preserve"> </w:t>
      </w:r>
      <w:r>
        <w:rPr>
          <w:spacing w:val="-1"/>
        </w:rPr>
        <w:t>PMI</w:t>
      </w:r>
      <w:r>
        <w:rPr>
          <w:spacing w:val="-39"/>
        </w:rPr>
        <w:t xml:space="preserve"> </w:t>
      </w:r>
      <w:r>
        <w:rPr>
          <w:spacing w:val="-1"/>
        </w:rPr>
        <w:t>分别为</w:t>
      </w:r>
      <w:r>
        <w:rPr>
          <w:spacing w:val="-38"/>
        </w:rPr>
        <w:t xml:space="preserve"> </w:t>
      </w:r>
      <w:r>
        <w:rPr>
          <w:spacing w:val="-1"/>
        </w:rPr>
        <w:t>58.4、56.9、59.0，综合</w:t>
      </w:r>
      <w:r>
        <w:rPr>
          <w:spacing w:val="-47"/>
        </w:rPr>
        <w:t xml:space="preserve"> </w:t>
      </w:r>
      <w:r>
        <w:rPr>
          <w:spacing w:val="-1"/>
        </w:rPr>
        <w:t>PMI</w:t>
      </w:r>
      <w:r>
        <w:rPr>
          <w:spacing w:val="-42"/>
        </w:rPr>
        <w:t xml:space="preserve"> </w:t>
      </w:r>
      <w:r>
        <w:rPr>
          <w:spacing w:val="-1"/>
        </w:rPr>
        <w:t>分别为</w:t>
      </w:r>
      <w:r>
        <w:rPr>
          <w:spacing w:val="-39"/>
        </w:rPr>
        <w:t xml:space="preserve"> </w:t>
      </w:r>
      <w:r>
        <w:rPr>
          <w:spacing w:val="-1"/>
        </w:rPr>
        <w:t>58.4、57.4、58.5，均较三</w:t>
      </w:r>
      <w:r>
        <w:rPr>
          <w:spacing w:val="-2"/>
        </w:rPr>
        <w:t>季度明</w:t>
      </w:r>
      <w:r>
        <w:t xml:space="preserve"> </w:t>
      </w:r>
      <w:r>
        <w:rPr>
          <w:spacing w:val="-6"/>
        </w:rPr>
        <w:t>显下降，但仍处于高景气区间。据世界银行最新预测，202</w:t>
      </w:r>
      <w:r>
        <w:rPr>
          <w:spacing w:val="-7"/>
        </w:rPr>
        <w:t>3-2024</w:t>
      </w:r>
      <w:r>
        <w:rPr>
          <w:spacing w:val="-45"/>
        </w:rPr>
        <w:t xml:space="preserve"> </w:t>
      </w:r>
      <w:r>
        <w:rPr>
          <w:spacing w:val="-7"/>
        </w:rPr>
        <w:t>财年印度</w:t>
      </w:r>
      <w:r>
        <w:rPr>
          <w:spacing w:val="-47"/>
        </w:rPr>
        <w:t xml:space="preserve"> </w:t>
      </w:r>
      <w:r>
        <w:rPr>
          <w:spacing w:val="-7"/>
        </w:rPr>
        <w:t>GDP</w:t>
      </w:r>
      <w:r>
        <w:rPr>
          <w:spacing w:val="-48"/>
        </w:rPr>
        <w:t xml:space="preserve"> </w:t>
      </w:r>
      <w:r>
        <w:rPr>
          <w:spacing w:val="-7"/>
        </w:rPr>
        <w:t>将增长</w:t>
      </w:r>
      <w:r>
        <w:rPr>
          <w:spacing w:val="-42"/>
        </w:rPr>
        <w:t xml:space="preserve"> </w:t>
      </w:r>
      <w:r>
        <w:rPr>
          <w:spacing w:val="-7"/>
        </w:rPr>
        <w:t>6.3%。</w:t>
      </w:r>
      <w:r>
        <w:t xml:space="preserve"> 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南非经济增长低于预期</w:t>
      </w:r>
      <w:r>
        <w:rPr>
          <w:spacing w:val="-2"/>
        </w:rPr>
        <w:t>。受国家大宗商品价格下跌和国内结</w:t>
      </w:r>
      <w:r>
        <w:rPr>
          <w:spacing w:val="-3"/>
        </w:rPr>
        <w:t>构性问题等因素影响，南非经济</w:t>
      </w:r>
      <w:r>
        <w:t xml:space="preserve"> </w:t>
      </w:r>
      <w:r>
        <w:rPr>
          <w:spacing w:val="-2"/>
        </w:rPr>
        <w:t>表现不及预期。南非财政部预计，2023</w:t>
      </w:r>
      <w:r>
        <w:rPr>
          <w:spacing w:val="-43"/>
        </w:rPr>
        <w:t xml:space="preserve"> </w:t>
      </w:r>
      <w:r>
        <w:rPr>
          <w:spacing w:val="-2"/>
        </w:rPr>
        <w:t>年南非实际</w:t>
      </w:r>
      <w:r>
        <w:rPr>
          <w:spacing w:val="-3"/>
        </w:rPr>
        <w:t>国内生产总值（GDP）增长率为</w:t>
      </w:r>
      <w:r>
        <w:rPr>
          <w:spacing w:val="-42"/>
        </w:rPr>
        <w:t xml:space="preserve"> </w:t>
      </w:r>
      <w:r>
        <w:rPr>
          <w:spacing w:val="-3"/>
        </w:rPr>
        <w:t>0.6%，低</w:t>
      </w:r>
    </w:p>
    <w:p>
      <w:pPr>
        <w:pStyle w:val="BodyText"/>
        <w:spacing w:line="220" w:lineRule="auto"/>
        <w:ind w:left="40"/>
      </w:pPr>
      <w:r>
        <w:rPr>
          <w:spacing w:val="-1"/>
        </w:rPr>
        <w:t>于此前预测的</w:t>
      </w:r>
      <w:r>
        <w:rPr>
          <w:spacing w:val="-42"/>
        </w:rPr>
        <w:t xml:space="preserve"> </w:t>
      </w:r>
      <w:r>
        <w:rPr>
          <w:spacing w:val="-1"/>
        </w:rPr>
        <w:t>0.8%，原因是</w:t>
      </w:r>
      <w:r>
        <w:rPr>
          <w:spacing w:val="-41"/>
        </w:rPr>
        <w:t xml:space="preserve"> </w:t>
      </w:r>
      <w:r>
        <w:rPr>
          <w:spacing w:val="-1"/>
        </w:rPr>
        <w:t>2023</w:t>
      </w:r>
      <w:r>
        <w:rPr>
          <w:spacing w:val="-44"/>
        </w:rPr>
        <w:t xml:space="preserve"> </w:t>
      </w:r>
      <w:r>
        <w:rPr>
          <w:spacing w:val="-1"/>
        </w:rPr>
        <w:t>年第三季度</w:t>
      </w:r>
      <w:r>
        <w:rPr>
          <w:spacing w:val="-2"/>
        </w:rPr>
        <w:t>经济数据弱于预期。</w:t>
      </w:r>
    </w:p>
    <w:p>
      <w:pPr>
        <w:pStyle w:val="BodyText"/>
        <w:spacing w:before="293" w:line="343" w:lineRule="auto"/>
        <w:ind w:left="36" w:right="71" w:firstLine="430"/>
      </w:pPr>
      <w:r>
        <w:rPr>
          <w:spacing w:val="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东盟地区经济增长总体低于预期</w:t>
      </w:r>
      <w:r>
        <w:rPr>
          <w:spacing w:val="3"/>
        </w:rPr>
        <w:t>。受地缘政治动荡和经</w:t>
      </w:r>
      <w:r>
        <w:rPr>
          <w:spacing w:val="2"/>
        </w:rPr>
        <w:t>济不确定性等多重不利因素影</w:t>
      </w:r>
      <w:r>
        <w:t xml:space="preserve"> </w:t>
      </w:r>
      <w:r>
        <w:rPr>
          <w:spacing w:val="-4"/>
        </w:rPr>
        <w:t>响，</w:t>
      </w:r>
      <w:r>
        <w:rPr>
          <w:spacing w:val="-56"/>
        </w:rPr>
        <w:t xml:space="preserve"> </w:t>
      </w:r>
      <w:r>
        <w:rPr>
          <w:spacing w:val="-4"/>
        </w:rPr>
        <w:t>尽管东盟各国</w:t>
      </w:r>
      <w:r>
        <w:rPr>
          <w:spacing w:val="-42"/>
        </w:rPr>
        <w:t xml:space="preserve"> </w:t>
      </w:r>
      <w:r>
        <w:rPr>
          <w:spacing w:val="-4"/>
        </w:rPr>
        <w:t>2023</w:t>
      </w:r>
      <w:r>
        <w:rPr>
          <w:spacing w:val="-45"/>
        </w:rPr>
        <w:t xml:space="preserve"> </w:t>
      </w:r>
      <w:r>
        <w:rPr>
          <w:spacing w:val="-4"/>
        </w:rPr>
        <w:t>年均实现了正增长，但增速普遍低于</w:t>
      </w:r>
      <w:r>
        <w:rPr>
          <w:spacing w:val="-41"/>
        </w:rPr>
        <w:t xml:space="preserve"> </w:t>
      </w:r>
      <w:r>
        <w:rPr>
          <w:spacing w:val="-4"/>
        </w:rPr>
        <w:t>202</w:t>
      </w:r>
      <w:r>
        <w:rPr>
          <w:spacing w:val="-5"/>
        </w:rPr>
        <w:t>2</w:t>
      </w:r>
      <w:r>
        <w:rPr>
          <w:spacing w:val="-46"/>
        </w:rPr>
        <w:t xml:space="preserve"> </w:t>
      </w:r>
      <w:r>
        <w:rPr>
          <w:spacing w:val="-5"/>
        </w:rPr>
        <w:t>年或预期。根据新加坡贸</w:t>
      </w:r>
      <w:r>
        <w:t xml:space="preserve"> </w:t>
      </w:r>
      <w:r>
        <w:rPr>
          <w:spacing w:val="-6"/>
        </w:rPr>
        <w:t>易与工业部数据，新加坡</w:t>
      </w:r>
      <w:r>
        <w:rPr>
          <w:spacing w:val="-31"/>
        </w:rPr>
        <w:t xml:space="preserve"> </w:t>
      </w:r>
      <w:r>
        <w:rPr>
          <w:spacing w:val="-6"/>
        </w:rPr>
        <w:t>2023</w:t>
      </w:r>
      <w:r>
        <w:rPr>
          <w:spacing w:val="-43"/>
        </w:rPr>
        <w:t xml:space="preserve"> </w:t>
      </w:r>
      <w:r>
        <w:rPr>
          <w:spacing w:val="-6"/>
        </w:rPr>
        <w:t>年全年经济增长</w:t>
      </w:r>
      <w:r>
        <w:rPr>
          <w:spacing w:val="-31"/>
        </w:rPr>
        <w:t xml:space="preserve"> </w:t>
      </w:r>
      <w:r>
        <w:rPr>
          <w:spacing w:val="-6"/>
        </w:rPr>
        <w:t>1.2%，低于</w:t>
      </w:r>
      <w:r>
        <w:rPr>
          <w:spacing w:val="-42"/>
        </w:rPr>
        <w:t xml:space="preserve"> </w:t>
      </w:r>
      <w:r>
        <w:rPr>
          <w:spacing w:val="-6"/>
        </w:rPr>
        <w:t>2022</w:t>
      </w:r>
      <w:r>
        <w:rPr>
          <w:spacing w:val="-45"/>
        </w:rPr>
        <w:t xml:space="preserve"> </w:t>
      </w:r>
      <w:r>
        <w:rPr>
          <w:spacing w:val="-6"/>
        </w:rPr>
        <w:t>年的</w:t>
      </w:r>
      <w:r>
        <w:rPr>
          <w:spacing w:val="-42"/>
        </w:rPr>
        <w:t xml:space="preserve"> </w:t>
      </w:r>
      <w:r>
        <w:rPr>
          <w:spacing w:val="-6"/>
        </w:rPr>
        <w:t>3.6%；世界银行预测，</w:t>
      </w:r>
      <w:r>
        <w:t xml:space="preserve"> </w:t>
      </w:r>
      <w:r>
        <w:rPr>
          <w:spacing w:val="-2"/>
        </w:rPr>
        <w:t>泰国 2023 年经济增长约为 2.3%，低于此前预测的 3.4%；马来西亚阿哈姆资产管理公司预</w:t>
      </w:r>
      <w:r>
        <w:t xml:space="preserve"> </w:t>
      </w:r>
      <w:r>
        <w:rPr>
          <w:spacing w:val="-1"/>
        </w:rPr>
        <w:t>测，马来西亚</w:t>
      </w:r>
      <w:r>
        <w:rPr>
          <w:spacing w:val="-41"/>
        </w:rPr>
        <w:t xml:space="preserve"> </w:t>
      </w:r>
      <w:r>
        <w:rPr>
          <w:spacing w:val="-1"/>
        </w:rPr>
        <w:t>2023</w:t>
      </w:r>
      <w:r>
        <w:rPr>
          <w:spacing w:val="-41"/>
        </w:rPr>
        <w:t xml:space="preserve"> </w:t>
      </w:r>
      <w:r>
        <w:rPr>
          <w:spacing w:val="-1"/>
        </w:rPr>
        <w:t>年国内生产总值将增长</w:t>
      </w:r>
      <w:r>
        <w:rPr>
          <w:spacing w:val="-37"/>
        </w:rPr>
        <w:t xml:space="preserve"> </w:t>
      </w:r>
      <w:r>
        <w:rPr>
          <w:spacing w:val="-1"/>
        </w:rPr>
        <w:t>3.9%，</w:t>
      </w:r>
      <w:r>
        <w:rPr>
          <w:spacing w:val="-2"/>
        </w:rPr>
        <w:t>远低于</w:t>
      </w:r>
      <w:r>
        <w:rPr>
          <w:spacing w:val="-41"/>
        </w:rPr>
        <w:t xml:space="preserve"> </w:t>
      </w:r>
      <w:r>
        <w:rPr>
          <w:spacing w:val="-2"/>
        </w:rPr>
        <w:t>2022</w:t>
      </w:r>
      <w:r>
        <w:rPr>
          <w:spacing w:val="-41"/>
        </w:rPr>
        <w:t xml:space="preserve"> </w:t>
      </w:r>
      <w:r>
        <w:rPr>
          <w:spacing w:val="-2"/>
        </w:rPr>
        <w:t>年的</w:t>
      </w:r>
      <w:r>
        <w:rPr>
          <w:spacing w:val="-41"/>
        </w:rPr>
        <w:t xml:space="preserve"> </w:t>
      </w:r>
      <w:r>
        <w:rPr>
          <w:spacing w:val="-2"/>
        </w:rPr>
        <w:t>8.7%。越南国家统计局</w:t>
      </w:r>
      <w:r>
        <w:t xml:space="preserve"> </w:t>
      </w:r>
      <w:r>
        <w:rPr>
          <w:spacing w:val="-2"/>
        </w:rPr>
        <w:t>数据显示，2023</w:t>
      </w:r>
      <w:r>
        <w:rPr>
          <w:spacing w:val="-45"/>
        </w:rPr>
        <w:t xml:space="preserve"> </w:t>
      </w:r>
      <w:r>
        <w:rPr>
          <w:spacing w:val="-2"/>
        </w:rPr>
        <w:t>年越南国内生产总值增长</w:t>
      </w:r>
      <w:r>
        <w:rPr>
          <w:spacing w:val="-41"/>
        </w:rPr>
        <w:t xml:space="preserve"> </w:t>
      </w:r>
      <w:r>
        <w:rPr>
          <w:spacing w:val="-2"/>
        </w:rPr>
        <w:t>5.05%，低于</w:t>
      </w:r>
      <w:r>
        <w:rPr>
          <w:spacing w:val="-41"/>
        </w:rPr>
        <w:t xml:space="preserve"> </w:t>
      </w:r>
      <w:r>
        <w:rPr>
          <w:spacing w:val="-2"/>
        </w:rPr>
        <w:t>6.5%的目标。印度尼西亚</w:t>
      </w:r>
      <w:r>
        <w:rPr>
          <w:spacing w:val="-41"/>
        </w:rPr>
        <w:t xml:space="preserve"> </w:t>
      </w:r>
      <w:r>
        <w:rPr>
          <w:spacing w:val="-2"/>
        </w:rPr>
        <w:t>202</w:t>
      </w:r>
      <w:r>
        <w:rPr>
          <w:spacing w:val="-3"/>
        </w:rPr>
        <w:t>3</w:t>
      </w:r>
      <w:r>
        <w:rPr>
          <w:spacing w:val="-44"/>
        </w:rPr>
        <w:t xml:space="preserve"> </w:t>
      </w:r>
      <w:r>
        <w:rPr>
          <w:spacing w:val="-3"/>
        </w:rPr>
        <w:t>年的</w:t>
      </w:r>
    </w:p>
    <w:p>
      <w:pPr>
        <w:pStyle w:val="BodyText"/>
        <w:spacing w:line="220" w:lineRule="auto"/>
        <w:ind w:left="38"/>
      </w:pPr>
      <w:r>
        <w:rPr>
          <w:spacing w:val="-2"/>
        </w:rPr>
        <w:t>经济增长预计维持在</w:t>
      </w:r>
      <w:r>
        <w:rPr>
          <w:spacing w:val="-41"/>
        </w:rPr>
        <w:t xml:space="preserve"> </w:t>
      </w:r>
      <w:r>
        <w:rPr>
          <w:spacing w:val="-2"/>
        </w:rPr>
        <w:t>5%左右，也低于</w:t>
      </w:r>
      <w:r>
        <w:rPr>
          <w:spacing w:val="-42"/>
        </w:rPr>
        <w:t xml:space="preserve"> </w:t>
      </w:r>
      <w:r>
        <w:rPr>
          <w:spacing w:val="-2"/>
        </w:rPr>
        <w:t>2022</w:t>
      </w:r>
      <w:r>
        <w:rPr>
          <w:spacing w:val="-43"/>
        </w:rPr>
        <w:t xml:space="preserve"> </w:t>
      </w:r>
      <w:r>
        <w:rPr>
          <w:spacing w:val="-2"/>
        </w:rPr>
        <w:t>年的</w:t>
      </w:r>
      <w:r>
        <w:rPr>
          <w:spacing w:val="-40"/>
        </w:rPr>
        <w:t xml:space="preserve"> </w:t>
      </w:r>
      <w:r>
        <w:rPr>
          <w:spacing w:val="-2"/>
        </w:rPr>
        <w:t>5.3%。</w:t>
      </w:r>
    </w:p>
    <w:p>
      <w:pPr>
        <w:pStyle w:val="BodyText"/>
        <w:spacing w:before="294" w:line="343" w:lineRule="auto"/>
        <w:ind w:left="37" w:firstLine="425"/>
      </w:pPr>
      <w:r>
        <w:t>总体来看，2023 年四季度，全球经济仍处于艰难复苏进程，世</w:t>
      </w:r>
      <w:r>
        <w:rPr>
          <w:spacing w:val="-1"/>
        </w:rPr>
        <w:t xml:space="preserve">界各国都在力争寻求新 </w:t>
      </w:r>
      <w:r>
        <w:rPr>
          <w:spacing w:val="-3"/>
        </w:rPr>
        <w:t xml:space="preserve">的经济增长点，而作为当下信息革命的核心领域，全球通信行业及其相关的现代信息技术及 </w:t>
      </w:r>
      <w:r>
        <w:rPr>
          <w:spacing w:val="1"/>
        </w:rPr>
        <w:t>产业都获得了多国政府及市场主体的重视和青睐。尤其是在经济增长普遍承压的情况下，</w:t>
      </w:r>
      <w:r>
        <w:rPr>
          <w:spacing w:val="7"/>
        </w:rPr>
        <w:t xml:space="preserve">  </w:t>
      </w:r>
      <w:r>
        <w:rPr>
          <w:spacing w:val="-4"/>
        </w:rPr>
        <w:t>5G/6G（包括 5G</w:t>
      </w:r>
      <w:r>
        <w:rPr>
          <w:spacing w:val="-22"/>
        </w:rPr>
        <w:t xml:space="preserve"> </w:t>
      </w:r>
      <w:r>
        <w:rPr>
          <w:spacing w:val="-4"/>
        </w:rPr>
        <w:t>轻量化）、IPv6</w:t>
      </w:r>
      <w:r>
        <w:rPr>
          <w:spacing w:val="-20"/>
        </w:rPr>
        <w:t xml:space="preserve"> </w:t>
      </w:r>
      <w:r>
        <w:rPr>
          <w:spacing w:val="-4"/>
        </w:rPr>
        <w:t>等新一代移动通信技术加速演进及应用</w:t>
      </w:r>
      <w:r>
        <w:rPr>
          <w:spacing w:val="-5"/>
        </w:rPr>
        <w:t>，大数据、云计算、</w:t>
      </w:r>
      <w:r>
        <w:t xml:space="preserve"> </w:t>
      </w:r>
      <w:r>
        <w:rPr>
          <w:spacing w:val="-2"/>
        </w:rPr>
        <w:t>物联网、人工智能等新兴业务和市场不断扩大，都将</w:t>
      </w:r>
      <w:r>
        <w:rPr>
          <w:spacing w:val="-3"/>
        </w:rPr>
        <w:t>成为推动全球通信行业转型升级和持续</w:t>
      </w:r>
    </w:p>
    <w:p>
      <w:pPr>
        <w:pStyle w:val="BodyText"/>
        <w:spacing w:before="1" w:line="220" w:lineRule="auto"/>
        <w:ind w:left="40"/>
      </w:pPr>
      <w:r>
        <w:rPr>
          <w:spacing w:val="-2"/>
        </w:rPr>
        <w:t>发展的重要动力。</w:t>
      </w:r>
    </w:p>
    <w:p>
      <w:pPr>
        <w:pStyle w:val="BodyText"/>
        <w:spacing w:before="280" w:line="220" w:lineRule="auto"/>
        <w:ind w:left="55"/>
        <w:outlineLvl w:val="0"/>
        <w:rPr>
          <w:sz w:val="24"/>
          <w:szCs w:val="24"/>
        </w:rPr>
      </w:pPr>
      <w:bookmarkStart w:id="3" w:name="bookmark4"/>
      <w:bookmarkEnd w:id="3"/>
      <w:r>
        <w:rPr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1.1.2</w:t>
      </w:r>
      <w:r>
        <w:rPr>
          <w:spacing w:val="18"/>
          <w:sz w:val="24"/>
          <w:szCs w:val="24"/>
        </w:rPr>
        <w:t xml:space="preserve">  </w:t>
      </w:r>
      <w:r>
        <w:rPr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国内经济形势分析</w:t>
      </w:r>
    </w:p>
    <w:p>
      <w:pPr>
        <w:pStyle w:val="BodyText"/>
        <w:spacing w:before="275" w:line="343" w:lineRule="auto"/>
        <w:ind w:left="37" w:right="71" w:firstLine="421"/>
        <w:sectPr>
          <w:headerReference w:type="default" r:id="rId18"/>
          <w:footerReference w:type="default" r:id="rId19"/>
          <w:pgSz w:w="11907" w:h="16839"/>
          <w:pgMar w:top="1118" w:right="1721" w:bottom="1153" w:left="1771" w:header="877" w:footer="995" w:gutter="0"/>
          <w:pgNumType w:start="9"/>
          <w:cols w:space="708"/>
        </w:sectPr>
      </w:pPr>
      <w:r>
        <w:t>2023 年以来，面对复杂严峻的国际环境和艰巨繁重的国内改革发展稳定任务，我国坚</w:t>
      </w:r>
      <w:r>
        <w:rPr>
          <w:spacing w:val="2"/>
        </w:rPr>
        <w:t xml:space="preserve"> </w:t>
      </w:r>
      <w:r>
        <w:rPr>
          <w:spacing w:val="-6"/>
        </w:rPr>
        <w:t>持坚持稳中求进工作总基调，</w:t>
      </w:r>
      <w:r>
        <w:rPr>
          <w:spacing w:val="-26"/>
        </w:rPr>
        <w:t xml:space="preserve"> </w:t>
      </w:r>
      <w:r>
        <w:rPr>
          <w:spacing w:val="-6"/>
        </w:rPr>
        <w:t>完整、准确、全面贯彻新发展理念，</w:t>
      </w:r>
      <w:r>
        <w:rPr>
          <w:spacing w:val="-42"/>
        </w:rPr>
        <w:t xml:space="preserve"> </w:t>
      </w:r>
      <w:r>
        <w:rPr>
          <w:spacing w:val="-6"/>
        </w:rPr>
        <w:t>加快构建新发展格局，全</w:t>
      </w:r>
      <w:r>
        <w:t xml:space="preserve"> </w:t>
      </w:r>
    </w:p>
    <w:p>
      <w:pPr>
        <w:pStyle w:val="BodyText"/>
        <w:spacing w:before="275" w:line="343" w:lineRule="auto"/>
        <w:ind w:left="37" w:right="71" w:firstLine="421"/>
      </w:pPr>
      <w:r>
        <w:rPr>
          <w:spacing w:val="-9"/>
        </w:rPr>
        <w:t>面深化改革开放，加大宏观调控力度，着力扩大内需、优化结构、提振信心、防范化解风险，</w:t>
      </w:r>
      <w:r>
        <w:rPr>
          <w:spacing w:val="11"/>
        </w:rPr>
        <w:t xml:space="preserve"> </w:t>
      </w:r>
      <w:r>
        <w:rPr>
          <w:spacing w:val="-9"/>
        </w:rPr>
        <w:t>我国经济回升向好，</w:t>
      </w:r>
      <w:r>
        <w:rPr>
          <w:spacing w:val="-42"/>
        </w:rPr>
        <w:t xml:space="preserve"> </w:t>
      </w:r>
      <w:r>
        <w:rPr>
          <w:spacing w:val="-9"/>
        </w:rPr>
        <w:t>供给需求稳步改善，</w:t>
      </w:r>
      <w:r>
        <w:rPr>
          <w:spacing w:val="-46"/>
        </w:rPr>
        <w:t xml:space="preserve"> </w:t>
      </w:r>
      <w:r>
        <w:rPr>
          <w:spacing w:val="-9"/>
        </w:rPr>
        <w:t>转型升级积极推进，</w:t>
      </w:r>
      <w:r>
        <w:rPr>
          <w:spacing w:val="-45"/>
        </w:rPr>
        <w:t xml:space="preserve"> </w:t>
      </w:r>
      <w:r>
        <w:rPr>
          <w:spacing w:val="-9"/>
        </w:rPr>
        <w:t>就业物价总体稳定，</w:t>
      </w:r>
      <w:r>
        <w:rPr>
          <w:spacing w:val="-25"/>
        </w:rPr>
        <w:t xml:space="preserve"> </w:t>
      </w:r>
      <w:r>
        <w:rPr>
          <w:spacing w:val="-9"/>
        </w:rPr>
        <w:t>民生保障</w:t>
      </w:r>
    </w:p>
    <w:p>
      <w:pPr>
        <w:pStyle w:val="BodyText"/>
        <w:spacing w:line="220" w:lineRule="auto"/>
        <w:ind w:left="37"/>
      </w:pPr>
      <w:r>
        <w:rPr>
          <w:spacing w:val="-4"/>
        </w:rPr>
        <w:t>有力有效， 高质量发展扎实推进，主要预期目标圆满实现。</w:t>
      </w:r>
    </w:p>
    <w:p>
      <w:pPr>
        <w:spacing w:line="220" w:lineRule="auto"/>
        <w:sectPr>
          <w:headerReference w:type="default" r:id="rId20"/>
          <w:footerReference w:type="default" r:id="rId21"/>
          <w:type w:val="nextPage"/>
          <w:pgSz w:w="11907" w:h="16839"/>
          <w:pgMar w:top="1118" w:right="1721" w:bottom="1153" w:left="1771" w:header="877" w:footer="995" w:gutter="0"/>
          <w:pgNumType w:start="10"/>
          <w:cols w:space="708"/>
          <w:titlePg w:val="0"/>
        </w:sectPr>
      </w:pPr>
    </w:p>
    <w:p>
      <w:pPr>
        <w:spacing w:line="340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70528" behindDoc="1" locked="0" layoutInCell="0" allowOverlap="1">
                <wp:simplePos x="0" y="0"/>
                <wp:positionH relativeFrom="page">
                  <wp:posOffset>1987481</wp:posOffset>
                </wp:positionH>
                <wp:positionV relativeFrom="page">
                  <wp:posOffset>4058367</wp:posOffset>
                </wp:positionV>
                <wp:extent cx="4448809" cy="8889"/>
                <wp:effectExtent l="0" t="0" r="0" b="0"/>
                <wp:wrapNone/>
                <wp:docPr id="4" name="Rect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987481" y="4058367"/>
                          <a:ext cx="4448809" cy="888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4" o:spid="_x0000_s1026" style="width:350.3pt;height:0.7pt;margin-top:319.56pt;margin-left:156.49pt;mso-position-horizontal-relative:page;mso-position-vertical-relative:page;mso-wrap-distance-bottom:0;mso-wrap-distance-left:0;mso-wrap-distance-right:0;mso-wrap-distance-top:0;position:absolute;v-text-anchor:top;z-index:-251646976" o:allowincell="f" fillcolor="black" stroked="f"/>
            </w:pict>
          </mc:Fallback>
        </mc:AlternateContent>
      </w:r>
    </w:p>
    <w:p>
      <w:pPr>
        <w:pStyle w:val="BodyText"/>
        <w:spacing w:before="69" w:line="343" w:lineRule="auto"/>
        <w:ind w:left="36" w:right="71" w:firstLine="419"/>
      </w:pPr>
      <w:r>
        <w:rPr>
          <w:spacing w:val="-3"/>
        </w:rPr>
        <w:t>据国家统计局初步核算，</w:t>
      </w:r>
      <w:r>
        <w:rPr>
          <w:spacing w:val="-20"/>
        </w:rPr>
        <w:t xml:space="preserve"> </w:t>
      </w:r>
      <w:r>
        <w:rPr>
          <w:spacing w:val="-3"/>
        </w:rPr>
        <w:t>2023</w:t>
      </w:r>
      <w:r>
        <w:rPr>
          <w:spacing w:val="-24"/>
        </w:rPr>
        <w:t xml:space="preserve"> </w:t>
      </w:r>
      <w:r>
        <w:rPr>
          <w:spacing w:val="-3"/>
        </w:rPr>
        <w:t>年全年国内生产总值 1260582</w:t>
      </w:r>
      <w:r>
        <w:rPr>
          <w:spacing w:val="-24"/>
        </w:rPr>
        <w:t xml:space="preserve"> </w:t>
      </w:r>
      <w:r>
        <w:rPr>
          <w:spacing w:val="-3"/>
        </w:rPr>
        <w:t>亿元，按</w:t>
      </w:r>
      <w:r>
        <w:rPr>
          <w:spacing w:val="-4"/>
        </w:rPr>
        <w:t>不变价格计算，</w:t>
      </w:r>
      <w:r>
        <w:t xml:space="preserve"> </w:t>
      </w:r>
      <w:r>
        <w:rPr>
          <w:spacing w:val="-1"/>
        </w:rPr>
        <w:t>比上年增长</w:t>
      </w:r>
      <w:r>
        <w:rPr>
          <w:spacing w:val="-33"/>
        </w:rPr>
        <w:t xml:space="preserve"> </w:t>
      </w:r>
      <w:r>
        <w:rPr>
          <w:spacing w:val="-1"/>
        </w:rPr>
        <w:t>5.2%。分产业看，第一产业增加值</w:t>
      </w:r>
      <w:r>
        <w:rPr>
          <w:spacing w:val="-43"/>
        </w:rPr>
        <w:t xml:space="preserve"> </w:t>
      </w:r>
      <w:r>
        <w:rPr>
          <w:spacing w:val="-1"/>
        </w:rPr>
        <w:t>89755</w:t>
      </w:r>
      <w:r>
        <w:rPr>
          <w:spacing w:val="-40"/>
        </w:rPr>
        <w:t xml:space="preserve"> </w:t>
      </w:r>
      <w:r>
        <w:rPr>
          <w:spacing w:val="-1"/>
        </w:rPr>
        <w:t>亿元，比上年增长</w:t>
      </w:r>
      <w:r>
        <w:rPr>
          <w:spacing w:val="-43"/>
        </w:rPr>
        <w:t xml:space="preserve"> </w:t>
      </w:r>
      <w:r>
        <w:rPr>
          <w:spacing w:val="-1"/>
        </w:rPr>
        <w:t>4.1%；第二产业增</w:t>
      </w:r>
      <w:r>
        <w:t xml:space="preserve"> </w:t>
      </w:r>
      <w:r>
        <w:rPr>
          <w:spacing w:val="-1"/>
        </w:rPr>
        <w:t>加值</w:t>
      </w:r>
      <w:r>
        <w:rPr>
          <w:spacing w:val="-44"/>
        </w:rPr>
        <w:t xml:space="preserve"> </w:t>
      </w:r>
      <w:r>
        <w:rPr>
          <w:spacing w:val="-1"/>
        </w:rPr>
        <w:t>482589</w:t>
      </w:r>
      <w:r>
        <w:rPr>
          <w:spacing w:val="-44"/>
        </w:rPr>
        <w:t xml:space="preserve"> </w:t>
      </w:r>
      <w:r>
        <w:rPr>
          <w:spacing w:val="-1"/>
        </w:rPr>
        <w:t>亿元，增长</w:t>
      </w:r>
      <w:r>
        <w:rPr>
          <w:spacing w:val="-42"/>
        </w:rPr>
        <w:t xml:space="preserve"> </w:t>
      </w:r>
      <w:r>
        <w:rPr>
          <w:spacing w:val="-1"/>
        </w:rPr>
        <w:t>4.7%；第三产业增加值</w:t>
      </w:r>
      <w:r>
        <w:rPr>
          <w:spacing w:val="-39"/>
        </w:rPr>
        <w:t xml:space="preserve"> </w:t>
      </w:r>
      <w:r>
        <w:rPr>
          <w:spacing w:val="-1"/>
        </w:rPr>
        <w:t>688238</w:t>
      </w:r>
      <w:r>
        <w:rPr>
          <w:spacing w:val="-43"/>
        </w:rPr>
        <w:t xml:space="preserve"> </w:t>
      </w:r>
      <w:r>
        <w:rPr>
          <w:spacing w:val="-1"/>
        </w:rPr>
        <w:t>亿元，增长</w:t>
      </w:r>
      <w:r>
        <w:rPr>
          <w:spacing w:val="-38"/>
        </w:rPr>
        <w:t xml:space="preserve"> </w:t>
      </w:r>
      <w:r>
        <w:rPr>
          <w:spacing w:val="-1"/>
        </w:rPr>
        <w:t>5</w:t>
      </w:r>
      <w:r>
        <w:rPr>
          <w:spacing w:val="-2"/>
        </w:rPr>
        <w:t>.8%。分季度看，一季</w:t>
      </w:r>
      <w:r>
        <w:t xml:space="preserve"> </w:t>
      </w:r>
      <w:r>
        <w:rPr>
          <w:spacing w:val="-3"/>
        </w:rPr>
        <w:t>度国内生产总值同比增长</w:t>
      </w:r>
      <w:r>
        <w:rPr>
          <w:spacing w:val="-47"/>
        </w:rPr>
        <w:t xml:space="preserve"> </w:t>
      </w:r>
      <w:r>
        <w:rPr>
          <w:spacing w:val="-3"/>
        </w:rPr>
        <w:t>4.5%，二季度增长</w:t>
      </w:r>
      <w:r>
        <w:rPr>
          <w:spacing w:val="-42"/>
        </w:rPr>
        <w:t xml:space="preserve"> </w:t>
      </w:r>
      <w:r>
        <w:rPr>
          <w:spacing w:val="-3"/>
        </w:rPr>
        <w:t>6.3%，三季度增长</w:t>
      </w:r>
      <w:r>
        <w:rPr>
          <w:spacing w:val="-45"/>
        </w:rPr>
        <w:t xml:space="preserve"> </w:t>
      </w:r>
      <w:r>
        <w:rPr>
          <w:spacing w:val="-3"/>
        </w:rPr>
        <w:t>4.9%，四季度增长</w:t>
      </w:r>
      <w:r>
        <w:rPr>
          <w:spacing w:val="-39"/>
        </w:rPr>
        <w:t xml:space="preserve"> </w:t>
      </w:r>
      <w:r>
        <w:rPr>
          <w:spacing w:val="-3"/>
        </w:rPr>
        <w:t>5.2</w:t>
      </w:r>
      <w:r>
        <w:rPr>
          <w:spacing w:val="-4"/>
        </w:rPr>
        <w:t>%。从</w:t>
      </w:r>
    </w:p>
    <w:p>
      <w:pPr>
        <w:pStyle w:val="BodyText"/>
        <w:spacing w:line="220" w:lineRule="auto"/>
        <w:ind w:left="37"/>
      </w:pPr>
      <w:bookmarkStart w:id="4" w:name="bookmark53"/>
      <w:bookmarkEnd w:id="4"/>
      <w:r>
        <w:rPr>
          <w:spacing w:val="-2"/>
        </w:rPr>
        <w:t>环比看，四季度国内生产总值增长</w:t>
      </w:r>
      <w:r>
        <w:rPr>
          <w:spacing w:val="-18"/>
        </w:rPr>
        <w:t xml:space="preserve"> </w:t>
      </w:r>
      <w:r>
        <w:rPr>
          <w:spacing w:val="-2"/>
        </w:rPr>
        <w:t>1.0%。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58" w:line="220" w:lineRule="auto"/>
        <w:ind w:left="1203"/>
        <w:rPr>
          <w:sz w:val="18"/>
          <w:szCs w:val="18"/>
        </w:rPr>
      </w:pP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z w:val="18"/>
          <w:szCs w:val="18"/>
        </w:rPr>
        <w:t xml:space="preserve"> 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2022</w:t>
      </w:r>
      <w:r>
        <w:rPr>
          <w:spacing w:val="-35"/>
          <w:sz w:val="18"/>
          <w:szCs w:val="18"/>
        </w:rPr>
        <w:t xml:space="preserve">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年四季度-2023</w:t>
      </w:r>
      <w:r>
        <w:rPr>
          <w:spacing w:val="-35"/>
          <w:sz w:val="18"/>
          <w:szCs w:val="18"/>
        </w:rPr>
        <w:t xml:space="preserve">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年四季度我国各产业累计增加值及同比增长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情况</w:t>
      </w:r>
    </w:p>
    <w:p>
      <w:pPr>
        <w:spacing w:before="154"/>
      </w:pPr>
    </w:p>
    <w:tbl>
      <w:tblPr>
        <w:tblStyle w:val="TableNormal0"/>
        <w:tblW w:w="8322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352"/>
        <w:gridCol w:w="207"/>
        <w:gridCol w:w="244"/>
        <w:gridCol w:w="244"/>
        <w:gridCol w:w="263"/>
        <w:gridCol w:w="452"/>
        <w:gridCol w:w="220"/>
        <w:gridCol w:w="186"/>
        <w:gridCol w:w="281"/>
        <w:gridCol w:w="232"/>
        <w:gridCol w:w="328"/>
        <w:gridCol w:w="865"/>
        <w:gridCol w:w="171"/>
        <w:gridCol w:w="220"/>
        <w:gridCol w:w="220"/>
        <w:gridCol w:w="247"/>
        <w:gridCol w:w="574"/>
        <w:gridCol w:w="262"/>
        <w:gridCol w:w="219"/>
        <w:gridCol w:w="195"/>
        <w:gridCol w:w="208"/>
        <w:gridCol w:w="249"/>
        <w:gridCol w:w="293"/>
        <w:gridCol w:w="403"/>
        <w:gridCol w:w="187"/>
      </w:tblGrid>
      <w:tr>
        <w:tblPrEx>
          <w:tblW w:w="8322" w:type="dxa"/>
          <w:tblInd w:w="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86"/>
        </w:trPr>
        <w:tc>
          <w:tcPr>
            <w:tcW w:w="1352" w:type="dxa"/>
            <w:vMerge w:val="restart"/>
            <w:tcBorders>
              <w:bottom w:val="nil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pStyle w:val="TableText"/>
              <w:spacing w:line="245" w:lineRule="auto"/>
              <w:rPr>
                <w:sz w:val="21"/>
              </w:rPr>
            </w:pPr>
          </w:p>
          <w:p>
            <w:pPr>
              <w:spacing w:before="65" w:line="230" w:lineRule="auto"/>
              <w:ind w:left="48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2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时间</w:t>
            </w:r>
          </w:p>
        </w:tc>
        <w:tc>
          <w:tcPr>
            <w:tcW w:w="1816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47" w:line="211" w:lineRule="auto"/>
              <w:ind w:left="33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3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国内生产总值</w:t>
            </w:r>
          </w:p>
        </w:tc>
        <w:tc>
          <w:tcPr>
            <w:tcW w:w="170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47" w:line="211" w:lineRule="auto"/>
              <w:ind w:left="47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2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第一产业</w:t>
            </w:r>
          </w:p>
        </w:tc>
        <w:tc>
          <w:tcPr>
            <w:tcW w:w="1694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47" w:line="211" w:lineRule="auto"/>
              <w:ind w:left="48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1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第二产业</w:t>
            </w:r>
          </w:p>
        </w:tc>
        <w:tc>
          <w:tcPr>
            <w:tcW w:w="1754" w:type="dxa"/>
            <w:gridSpan w:val="7"/>
            <w:shd w:val="clear" w:color="auto" w:fill="2F5E7E"/>
            <w:vAlign w:val="top"/>
          </w:tcPr>
          <w:p>
            <w:pPr>
              <w:spacing w:before="47" w:line="211" w:lineRule="auto"/>
              <w:ind w:left="50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1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第三产业</w:t>
            </w:r>
          </w:p>
        </w:tc>
      </w:tr>
      <w:tr>
        <w:tblPrEx>
          <w:tblW w:w="8322" w:type="dxa"/>
          <w:tblInd w:w="50" w:type="dxa"/>
          <w:tblLayout w:type="fixed"/>
        </w:tblPrEx>
        <w:trPr>
          <w:trHeight w:val="264"/>
        </w:trPr>
        <w:tc>
          <w:tcPr>
            <w:tcW w:w="1352" w:type="dxa"/>
            <w:vMerge/>
            <w:tcBorders>
              <w:top w:val="nil"/>
              <w:bottom w:val="nil"/>
              <w:right w:val="single" w:sz="4" w:space="0" w:color="BFBFBF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173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1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绝对数</w:t>
            </w:r>
          </w:p>
        </w:tc>
        <w:tc>
          <w:tcPr>
            <w:tcW w:w="85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6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4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同比增长</w:t>
            </w:r>
          </w:p>
        </w:tc>
        <w:tc>
          <w:tcPr>
            <w:tcW w:w="84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14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1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绝对数</w:t>
            </w:r>
          </w:p>
        </w:tc>
        <w:tc>
          <w:tcPr>
            <w:tcW w:w="8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70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4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同比增长</w:t>
            </w:r>
          </w:p>
        </w:tc>
        <w:tc>
          <w:tcPr>
            <w:tcW w:w="85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15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1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绝对数</w:t>
            </w:r>
          </w:p>
        </w:tc>
        <w:tc>
          <w:tcPr>
            <w:tcW w:w="83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63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4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同比增长</w:t>
            </w:r>
          </w:p>
        </w:tc>
        <w:tc>
          <w:tcPr>
            <w:tcW w:w="87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17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1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绝对数</w:t>
            </w:r>
          </w:p>
        </w:tc>
        <w:tc>
          <w:tcPr>
            <w:tcW w:w="88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16" w:line="219" w:lineRule="auto"/>
              <w:ind w:left="7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4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同比增长</w:t>
            </w:r>
          </w:p>
        </w:tc>
      </w:tr>
      <w:tr>
        <w:tblPrEx>
          <w:tblW w:w="8322" w:type="dxa"/>
          <w:tblInd w:w="50" w:type="dxa"/>
          <w:tblLayout w:type="fixed"/>
        </w:tblPrEx>
        <w:trPr>
          <w:trHeight w:val="264"/>
        </w:trPr>
        <w:tc>
          <w:tcPr>
            <w:tcW w:w="1352" w:type="dxa"/>
            <w:vMerge/>
            <w:tcBorders>
              <w:top w:val="nil"/>
              <w:bottom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268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0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亿元</w:t>
            </w:r>
          </w:p>
        </w:tc>
        <w:tc>
          <w:tcPr>
            <w:tcW w:w="85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36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%</w:t>
            </w:r>
          </w:p>
        </w:tc>
        <w:tc>
          <w:tcPr>
            <w:tcW w:w="84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22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0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亿元</w:t>
            </w:r>
          </w:p>
        </w:tc>
        <w:tc>
          <w:tcPr>
            <w:tcW w:w="8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38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%</w:t>
            </w:r>
          </w:p>
        </w:tc>
        <w:tc>
          <w:tcPr>
            <w:tcW w:w="85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23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0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亿元</w:t>
            </w:r>
          </w:p>
        </w:tc>
        <w:tc>
          <w:tcPr>
            <w:tcW w:w="83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37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%</w:t>
            </w:r>
          </w:p>
        </w:tc>
        <w:tc>
          <w:tcPr>
            <w:tcW w:w="87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258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pacing w:val="-10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亿元</w:t>
            </w:r>
          </w:p>
        </w:tc>
        <w:tc>
          <w:tcPr>
            <w:tcW w:w="883" w:type="dxa"/>
            <w:gridSpan w:val="3"/>
            <w:tcBorders>
              <w:top w:val="single" w:sz="4" w:space="0" w:color="BFBFBF"/>
              <w:left w:val="single" w:sz="4" w:space="0" w:color="BFBFBF"/>
            </w:tcBorders>
            <w:shd w:val="clear" w:color="auto" w:fill="2F5E7E"/>
            <w:vAlign w:val="top"/>
          </w:tcPr>
          <w:p>
            <w:pPr>
              <w:spacing w:before="7" w:line="228" w:lineRule="auto"/>
              <w:ind w:left="382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FFFFFF"/>
                <w:sz w:val="20"/>
                <w:szCs w:val="20"/>
                <w14:textOutline w14:w="3790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%</w:t>
            </w:r>
          </w:p>
        </w:tc>
      </w:tr>
      <w:tr>
        <w:tblPrEx>
          <w:tblW w:w="8322" w:type="dxa"/>
          <w:tblInd w:w="50" w:type="dxa"/>
          <w:tblLayout w:type="fixed"/>
        </w:tblPrEx>
        <w:trPr>
          <w:trHeight w:val="235"/>
        </w:trPr>
        <w:tc>
          <w:tcPr>
            <w:tcW w:w="13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top"/>
          </w:tcPr>
          <w:p>
            <w:pPr>
              <w:spacing w:line="207" w:lineRule="auto"/>
              <w:ind w:left="8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  <w14:textOutline w14:w="379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2022年Q1-Q4</w:t>
            </w:r>
          </w:p>
        </w:tc>
        <w:tc>
          <w:tcPr>
            <w:tcW w:w="958" w:type="dxa"/>
            <w:gridSpan w:val="4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tabs>
                <w:tab w:val="left" w:pos="108"/>
              </w:tabs>
              <w:spacing w:before="32" w:line="195" w:lineRule="auto"/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-15948</wp:posOffset>
                  </wp:positionH>
                  <wp:positionV relativeFrom="paragraph">
                    <wp:posOffset>-11421</wp:posOffset>
                  </wp:positionV>
                  <wp:extent cx="582430" cy="132684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30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2F5E7E"/>
              </w:rPr>
              <w:tab/>
            </w:r>
            <w:r>
              <w:rPr>
                <w:spacing w:val="-19"/>
                <w:u w:val="single" w:color="2F5E7E"/>
              </w:rPr>
              <w:t>1210207.0</w:t>
            </w:r>
            <w:r>
              <w:rPr>
                <w:u w:val="single" w:color="2F5E7E"/>
              </w:rPr>
              <w:t xml:space="preserve">   </w:t>
            </w:r>
          </w:p>
        </w:tc>
        <w:tc>
          <w:tcPr>
            <w:tcW w:w="452" w:type="dxa"/>
            <w:tcBorders>
              <w:top w:val="single" w:sz="4" w:space="0" w:color="39BE7F"/>
              <w:left w:val="single" w:sz="4" w:space="0" w:color="39BE7F"/>
              <w:bottom w:val="single" w:sz="4" w:space="0" w:color="39BE7F"/>
              <w:right w:val="single" w:sz="4" w:space="0" w:color="39BE7F"/>
            </w:tcBorders>
            <w:vAlign w:val="top"/>
          </w:tcPr>
          <w:p>
            <w:pPr>
              <w:pStyle w:val="TableText"/>
              <w:tabs>
                <w:tab w:val="left" w:pos="287"/>
              </w:tabs>
              <w:spacing w:before="33" w:line="195" w:lineRule="auto"/>
              <w:ind w:left="5"/>
            </w:pPr>
            <w: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column">
                    <wp:posOffset>3477</wp:posOffset>
                  </wp:positionH>
                  <wp:positionV relativeFrom="paragraph">
                    <wp:posOffset>-11362</wp:posOffset>
                  </wp:positionV>
                  <wp:extent cx="287564" cy="132684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64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39BE7F"/>
              </w:rPr>
              <w:tab/>
            </w:r>
            <w:r>
              <w:rPr>
                <w:spacing w:val="-17"/>
                <w:u w:val="single" w:color="39BE7F"/>
              </w:rPr>
              <w:t>3.</w:t>
            </w:r>
            <w:r>
              <w:rPr>
                <w:u w:val="single" w:color="39BE7F"/>
              </w:rPr>
              <w:t xml:space="preserve"> </w:t>
            </w:r>
          </w:p>
        </w:tc>
        <w:tc>
          <w:tcPr>
            <w:tcW w:w="406" w:type="dxa"/>
            <w:gridSpan w:val="2"/>
            <w:vAlign w:val="top"/>
          </w:tcPr>
          <w:p>
            <w:pPr>
              <w:pStyle w:val="TableText"/>
              <w:spacing w:before="32" w:line="195" w:lineRule="auto"/>
            </w:pPr>
            <w:r>
              <w:t>0</w:t>
            </w:r>
          </w:p>
        </w:tc>
        <w:tc>
          <w:tcPr>
            <w:tcW w:w="841" w:type="dxa"/>
            <w:gridSpan w:val="3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tabs>
                <w:tab w:val="left" w:pos="130"/>
              </w:tabs>
              <w:spacing w:before="33" w:line="195" w:lineRule="auto"/>
              <w:ind w:left="5"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3357</wp:posOffset>
                  </wp:positionH>
                  <wp:positionV relativeFrom="paragraph">
                    <wp:posOffset>-11362</wp:posOffset>
                  </wp:positionV>
                  <wp:extent cx="521996" cy="132684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2F5E7E"/>
              </w:rPr>
              <w:tab/>
            </w:r>
            <w:r>
              <w:rPr>
                <w:spacing w:val="-16"/>
                <w:u w:val="single" w:color="2F5E7E"/>
              </w:rPr>
              <w:t>88345.0</w:t>
            </w:r>
            <w:r>
              <w:rPr>
                <w:spacing w:val="1"/>
                <w:u w:val="single" w:color="2F5E7E"/>
              </w:rPr>
              <w:t xml:space="preserve">    </w:t>
            </w:r>
          </w:p>
        </w:tc>
        <w:tc>
          <w:tcPr>
            <w:tcW w:w="865" w:type="dxa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line="237" w:lineRule="auto"/>
              <w:ind w:right="10"/>
              <w:jc w:val="right"/>
            </w:pPr>
            <w:r>
              <w:drawing>
                <wp:anchor distT="0" distB="0" distL="0" distR="0" simplePos="0" relativeHeight="251685888" behindDoc="1" locked="0" layoutInCell="1" allowOverlap="1">
                  <wp:simplePos x="0" y="0"/>
                  <wp:positionH relativeFrom="column">
                    <wp:posOffset>13931</wp:posOffset>
                  </wp:positionH>
                  <wp:positionV relativeFrom="paragraph">
                    <wp:posOffset>-10999</wp:posOffset>
                  </wp:positionV>
                  <wp:extent cx="521996" cy="132684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rect id="_x0000_s1027" style="width:41.15pt;height:0.7pt;margin-top:8.85pt;margin-left:-41.65pt;mso-position-horizontal-relative:right-margin-area;mso-position-vertical-relative:top-margin-area;position:absolute;z-index:251701248" filled="t" fillcolor="#39be7f" stroked="f"/>
              </w:pict>
            </w:r>
            <w:r>
              <w:rPr>
                <w:spacing w:val="-12"/>
              </w:rPr>
              <w:t>4.1</w:t>
            </w:r>
            <w:r>
              <w:rPr>
                <w:spacing w:val="1"/>
              </w:rPr>
              <w:t xml:space="preserve">      </w:t>
            </w:r>
            <w:r>
              <w:rPr>
                <w:position w:val="-1"/>
              </w:rPr>
              <w:drawing>
                <wp:inline distT="0" distB="0" distL="0" distR="0">
                  <wp:extent cx="7554" cy="112408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  <w:gridSpan w:val="4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line="237" w:lineRule="auto"/>
              <w:ind w:right="11"/>
              <w:jc w:val="right"/>
            </w:pPr>
            <w:r>
              <w:drawing>
                <wp:anchor distT="0" distB="0" distL="0" distR="0" simplePos="0" relativeHeight="251686912" behindDoc="1" locked="0" layoutInCell="1" allowOverlap="1">
                  <wp:simplePos x="0" y="0"/>
                  <wp:positionH relativeFrom="column">
                    <wp:posOffset>9365</wp:posOffset>
                  </wp:positionH>
                  <wp:positionV relativeFrom="paragraph">
                    <wp:posOffset>-10999</wp:posOffset>
                  </wp:positionV>
                  <wp:extent cx="521996" cy="132684"/>
                  <wp:effectExtent l="0" t="0" r="0" b="0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rect id="_x0000_s1028" style="width:41.15pt;height:0.7pt;margin-top:8.85pt;margin-left:-41.66pt;mso-position-horizontal-relative:right-margin-area;mso-position-vertical-relative:top-margin-area;position:absolute;z-index:251702272" filled="t" fillcolor="#2f5e7e" stroked="f"/>
              </w:pict>
            </w:r>
            <w:r>
              <w:rPr>
                <w:spacing w:val="-15"/>
              </w:rPr>
              <w:t>483164.0</w:t>
            </w:r>
            <w:r>
              <w:rPr>
                <w:spacing w:val="2"/>
              </w:rPr>
              <w:t xml:space="preserve">  </w:t>
            </w:r>
            <w:r>
              <w:rPr>
                <w:position w:val="-1"/>
              </w:rPr>
              <w:drawing>
                <wp:inline distT="0" distB="0" distL="0" distR="0">
                  <wp:extent cx="7554" cy="112408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gridSpan w:val="2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line="190" w:lineRule="exact"/>
              <w:ind w:firstLine="14"/>
            </w:pPr>
            <w:r>
              <w:pict>
                <v:rect id="_x0000_s1029" style="width:33.35pt;height:0.7pt;margin-top:8.85pt;margin-left:-40.56pt;mso-position-horizontal-relative:right-margin-area;mso-position-vertical-relative:top-margin-area;position:absolute;z-index:251710464" filled="t" fillcolor="#39be7f" stroked="f"/>
              </w:pict>
            </w:r>
            <w:r>
              <w:rPr>
                <w:position w:val="-3"/>
              </w:rPr>
              <w:pict>
                <v:group id="_x0000_i1030" style="width:33.4pt;height:10.45pt;mso-position-horizontal-relative:char;mso-position-vertical-relative:line" coordorigin="0,0" coordsize="668,208" filled="f" stroked="f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1" type="#_x0000_t75" style="width:666;height:208;position:absolute" filled="f" stroked="f">
                    <v:imagedata r:id="rId2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width:708;height:248;left:-20;position:absolute;top:-20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34"/>
                            <w:ind w:right="2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4"/>
                              <w:sz w:val="18"/>
                              <w:szCs w:val="18"/>
                            </w:rPr>
                            <w:t>3.8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position w:val="-1"/>
                              <w:sz w:val="18"/>
                              <w:szCs w:val="18"/>
                            </w:rPr>
                            <w:drawing>
                              <wp:inline distT="0" distB="0" distL="0" distR="0">
                                <wp:extent cx="7554" cy="114817"/>
                                <wp:effectExtent l="0" t="0" r="0" b="0"/>
                                <wp:docPr id="20" name="IM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IM 20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4" cy="1148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w10:wrap type="none"/>
                </v:group>
              </w:pict>
            </w:r>
          </w:p>
        </w:tc>
        <w:tc>
          <w:tcPr>
            <w:tcW w:w="871" w:type="dxa"/>
            <w:gridSpan w:val="4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line="237" w:lineRule="auto"/>
              <w:ind w:left="36"/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23195</wp:posOffset>
                  </wp:positionH>
                  <wp:positionV relativeFrom="paragraph">
                    <wp:posOffset>-10999</wp:posOffset>
                  </wp:positionV>
                  <wp:extent cx="483973" cy="132684"/>
                  <wp:effectExtent l="0" t="0" r="0" b="0"/>
                  <wp:wrapNone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973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1"/>
              </w:rPr>
              <w:drawing>
                <wp:inline distT="0" distB="0" distL="0" distR="0">
                  <wp:extent cx="7554" cy="112408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1"/>
                <w:w w:val="101"/>
                <w:u w:val="single" w:color="2F5E7E"/>
              </w:rPr>
              <w:t xml:space="preserve"> </w:t>
            </w:r>
            <w:r>
              <w:rPr>
                <w:spacing w:val="-15"/>
                <w:u w:val="single" w:color="2F5E7E"/>
              </w:rPr>
              <w:t xml:space="preserve">638698.0 </w:t>
            </w:r>
            <w:r>
              <w:rPr>
                <w:position w:val="-1"/>
              </w:rPr>
              <w:drawing>
                <wp:inline distT="0" distB="0" distL="0" distR="0">
                  <wp:extent cx="7554" cy="112408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" w:type="dxa"/>
            <w:tcBorders>
              <w:top w:val="single" w:sz="4" w:space="0" w:color="39BE7F"/>
              <w:left w:val="single" w:sz="4" w:space="0" w:color="39BE7F"/>
              <w:bottom w:val="single" w:sz="4" w:space="0" w:color="39BE7F"/>
              <w:right w:val="single" w:sz="4" w:space="0" w:color="39BE7F"/>
            </w:tcBorders>
            <w:vAlign w:val="top"/>
          </w:tcPr>
          <w:p>
            <w:pPr>
              <w:spacing w:line="190" w:lineRule="exact"/>
              <w:ind w:firstLine="23"/>
            </w:pPr>
            <w:r>
              <w:rPr>
                <w:position w:val="-3"/>
              </w:rPr>
              <w:drawing>
                <wp:inline distT="0" distB="0" distL="0" distR="0">
                  <wp:extent cx="164884" cy="121195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84" cy="1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" w:type="dxa"/>
            <w:gridSpan w:val="2"/>
            <w:vAlign w:val="top"/>
          </w:tcPr>
          <w:p>
            <w:pPr>
              <w:pStyle w:val="TableText"/>
              <w:spacing w:before="33" w:line="195" w:lineRule="auto"/>
              <w:ind w:left="20"/>
            </w:pPr>
            <w:r>
              <w:rPr>
                <w:spacing w:val="-10"/>
              </w:rPr>
              <w:t>2.3</w:t>
            </w:r>
          </w:p>
        </w:tc>
      </w:tr>
      <w:tr>
        <w:tblPrEx>
          <w:tblW w:w="8322" w:type="dxa"/>
          <w:tblInd w:w="50" w:type="dxa"/>
          <w:tblLayout w:type="fixed"/>
        </w:tblPrEx>
        <w:trPr>
          <w:trHeight w:val="192"/>
        </w:trPr>
        <w:tc>
          <w:tcPr>
            <w:tcW w:w="13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top"/>
          </w:tcPr>
          <w:p>
            <w:pPr>
              <w:spacing w:before="17" w:line="164" w:lineRule="exact"/>
              <w:ind w:left="251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5"/>
                <w:position w:val="-2"/>
                <w:sz w:val="20"/>
                <w:szCs w:val="20"/>
                <w14:textOutline w14:w="379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2023年Q1</w:t>
            </w:r>
          </w:p>
        </w:tc>
        <w:tc>
          <w:tcPr>
            <w:tcW w:w="207" w:type="dxa"/>
            <w:tcBorders>
              <w:top w:val="single" w:sz="4" w:space="0" w:color="2F5E7E"/>
              <w:left w:val="single" w:sz="4" w:space="0" w:color="2F5E7E"/>
              <w:bottom w:val="single" w:sz="4" w:space="0" w:color="2F5E7E"/>
              <w:right w:val="single" w:sz="4" w:space="0" w:color="2F5E7E"/>
            </w:tcBorders>
            <w:vAlign w:val="top"/>
          </w:tcPr>
          <w:p>
            <w:pPr>
              <w:pStyle w:val="TableText"/>
              <w:spacing w:before="52" w:line="129" w:lineRule="exact"/>
              <w:jc w:val="right"/>
            </w:pPr>
            <w:r>
              <w:drawing>
                <wp:anchor distT="0" distB="0" distL="0" distR="0" simplePos="0" relativeHeight="251687936" behindDoc="1" locked="0" layoutInCell="1" allowOverlap="1">
                  <wp:simplePos x="0" y="0"/>
                  <wp:positionH relativeFrom="column">
                    <wp:posOffset>-15948</wp:posOffset>
                  </wp:positionH>
                  <wp:positionV relativeFrom="paragraph">
                    <wp:posOffset>1061</wp:posOffset>
                  </wp:positionV>
                  <wp:extent cx="136227" cy="132684"/>
                  <wp:effectExtent l="0" t="0" r="0" b="0"/>
                  <wp:wrapNone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27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8"/>
                <w:w w:val="82"/>
                <w:position w:val="-3"/>
              </w:rPr>
              <w:t>2</w:t>
            </w:r>
          </w:p>
        </w:tc>
        <w:tc>
          <w:tcPr>
            <w:tcW w:w="751" w:type="dxa"/>
            <w:gridSpan w:val="3"/>
            <w:vAlign w:val="top"/>
          </w:tcPr>
          <w:p>
            <w:pPr>
              <w:pStyle w:val="TableText"/>
              <w:spacing w:before="52" w:line="129" w:lineRule="exact"/>
            </w:pPr>
            <w:r>
              <w:rPr>
                <w:spacing w:val="-14"/>
                <w:position w:val="-2"/>
              </w:rPr>
              <w:t>84996.6</w:t>
            </w:r>
          </w:p>
        </w:tc>
        <w:tc>
          <w:tcPr>
            <w:tcW w:w="672" w:type="dxa"/>
            <w:gridSpan w:val="2"/>
            <w:tcBorders>
              <w:top w:val="single" w:sz="4" w:space="0" w:color="39BE7F"/>
              <w:left w:val="single" w:sz="4" w:space="0" w:color="39BE7F"/>
              <w:bottom w:val="single" w:sz="4" w:space="0" w:color="39BE7F"/>
              <w:right w:val="single" w:sz="4" w:space="0" w:color="39BE7F"/>
            </w:tcBorders>
            <w:vAlign w:val="top"/>
          </w:tcPr>
          <w:p>
            <w:pPr>
              <w:pStyle w:val="TableText"/>
              <w:spacing w:before="53" w:line="128" w:lineRule="exact"/>
              <w:ind w:left="293"/>
            </w:pPr>
            <w:r>
              <w:drawing>
                <wp:anchor distT="0" distB="0" distL="0" distR="0" simplePos="0" relativeHeight="251688960" behindDoc="1" locked="0" layoutInCell="1" allowOverlap="1">
                  <wp:simplePos x="0" y="0"/>
                  <wp:positionH relativeFrom="column">
                    <wp:posOffset>3477</wp:posOffset>
                  </wp:positionH>
                  <wp:positionV relativeFrom="paragraph">
                    <wp:posOffset>1061</wp:posOffset>
                  </wp:positionV>
                  <wp:extent cx="423791" cy="132684"/>
                  <wp:effectExtent l="0" t="0" r="0" b="0"/>
                  <wp:wrapNone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791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9"/>
                <w:position w:val="-2"/>
              </w:rPr>
              <w:t>4.5</w:t>
            </w:r>
          </w:p>
        </w:tc>
        <w:tc>
          <w:tcPr>
            <w:tcW w:w="186" w:type="dxa"/>
            <w:vAlign w:val="top"/>
          </w:tcPr>
          <w:p>
            <w:pPr>
              <w:pStyle w:val="TableText"/>
              <w:spacing w:line="181" w:lineRule="exact"/>
              <w:rPr>
                <w:sz w:val="15"/>
              </w:rPr>
            </w:pPr>
          </w:p>
        </w:tc>
        <w:tc>
          <w:tcPr>
            <w:tcW w:w="841" w:type="dxa"/>
            <w:gridSpan w:val="3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1" w:line="209" w:lineRule="auto"/>
              <w:ind w:left="5"/>
            </w:pPr>
            <w:r>
              <w:rPr>
                <w:position w:val="-2"/>
              </w:rPr>
              <w:drawing>
                <wp:inline distT="0" distB="0" distL="0" distR="0">
                  <wp:extent cx="68239" cy="114507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9" cy="11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2"/>
              </w:rPr>
              <w:t>11575.0</w:t>
            </w:r>
          </w:p>
        </w:tc>
        <w:tc>
          <w:tcPr>
            <w:tcW w:w="865" w:type="dxa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1" w:line="180" w:lineRule="exact"/>
              <w:ind w:firstLine="21"/>
            </w:pPr>
            <w:r>
              <w:rPr>
                <w:position w:val="-6"/>
              </w:rPr>
              <w:pict>
                <v:group id="_x0000_i1033" style="width:36.95pt;height:10.45pt;mso-position-horizontal-relative:char;mso-position-vertical-relative:line" coordorigin="0,0" coordsize="739,208" filled="f" stroked="f">
                  <v:shape id="_x0000_s1034" type="#_x0000_t75" style="width:739;height:208;position:absolute" filled="f" stroked="f">
                    <v:imagedata r:id="rId37" o:title=""/>
                  </v:shape>
                  <v:shape id="_x0000_s1035" type="#_x0000_t202" style="width:779;height:248;left:-20;position:absolute;top:-20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33"/>
                            <w:ind w:right="2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4"/>
                              <w:sz w:val="18"/>
                              <w:szCs w:val="18"/>
                            </w:rPr>
                            <w:t>3.7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position w:val="-1"/>
                              <w:sz w:val="18"/>
                              <w:szCs w:val="18"/>
                            </w:rPr>
                            <w:drawing>
                              <wp:inline distT="0" distB="0" distL="0" distR="0">
                                <wp:extent cx="7554" cy="115110"/>
                                <wp:effectExtent l="0" t="0" r="0" b="0"/>
                                <wp:docPr id="36" name="IM 3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" name="IM 3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4" cy="1151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w10:wrap type="none"/>
                </v:group>
              </w:pict>
            </w:r>
          </w:p>
        </w:tc>
        <w:tc>
          <w:tcPr>
            <w:tcW w:w="171" w:type="dxa"/>
            <w:tcBorders>
              <w:top w:val="single" w:sz="4" w:space="0" w:color="2F5E7E"/>
              <w:left w:val="single" w:sz="4" w:space="0" w:color="2F5E7E"/>
              <w:bottom w:val="single" w:sz="4" w:space="0" w:color="2F5E7E"/>
              <w:right w:val="single" w:sz="4" w:space="0" w:color="2F5E7E"/>
            </w:tcBorders>
            <w:vAlign w:val="top"/>
          </w:tcPr>
          <w:p>
            <w:pPr>
              <w:pStyle w:val="TableText"/>
              <w:spacing w:before="52" w:line="129" w:lineRule="exact"/>
              <w:jc w:val="right"/>
            </w:pPr>
            <w:r>
              <w:drawing>
                <wp:anchor distT="0" distB="0" distL="0" distR="0" simplePos="0" relativeHeight="251689984" behindDoc="1" locked="0" layoutInCell="1" allowOverlap="1">
                  <wp:simplePos x="0" y="0"/>
                  <wp:positionH relativeFrom="column">
                    <wp:posOffset>9365</wp:posOffset>
                  </wp:positionH>
                  <wp:positionV relativeFrom="paragraph">
                    <wp:posOffset>1061</wp:posOffset>
                  </wp:positionV>
                  <wp:extent cx="113565" cy="132684"/>
                  <wp:effectExtent l="0" t="0" r="0" b="0"/>
                  <wp:wrapNone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65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6"/>
                <w:w w:val="93"/>
                <w:position w:val="-3"/>
              </w:rPr>
              <w:t>1</w:t>
            </w:r>
          </w:p>
        </w:tc>
        <w:tc>
          <w:tcPr>
            <w:tcW w:w="687" w:type="dxa"/>
            <w:gridSpan w:val="3"/>
            <w:vAlign w:val="top"/>
          </w:tcPr>
          <w:p>
            <w:pPr>
              <w:pStyle w:val="TableText"/>
              <w:spacing w:before="52" w:line="129" w:lineRule="exact"/>
              <w:ind w:left="5"/>
            </w:pPr>
            <w:r>
              <w:rPr>
                <w:spacing w:val="-14"/>
                <w:position w:val="-2"/>
              </w:rPr>
              <w:t>07946.7</w:t>
            </w:r>
          </w:p>
        </w:tc>
        <w:tc>
          <w:tcPr>
            <w:tcW w:w="574" w:type="dxa"/>
            <w:tcBorders>
              <w:top w:val="single" w:sz="4" w:space="0" w:color="39BE7F"/>
              <w:left w:val="single" w:sz="4" w:space="0" w:color="39BE7F"/>
              <w:bottom w:val="single" w:sz="4" w:space="0" w:color="39BE7F"/>
              <w:right w:val="single" w:sz="4" w:space="0" w:color="39BE7F"/>
            </w:tcBorders>
            <w:vAlign w:val="top"/>
          </w:tcPr>
          <w:p>
            <w:pPr>
              <w:pStyle w:val="TableText"/>
              <w:spacing w:before="52" w:line="129" w:lineRule="exact"/>
              <w:ind w:left="307"/>
            </w:pPr>
            <w:r>
              <w:drawing>
                <wp:anchor distT="0" distB="0" distL="0" distR="0" simplePos="0" relativeHeight="251691008" behindDoc="1" locked="0" layoutInCell="1" allowOverlap="1">
                  <wp:simplePos x="0" y="0"/>
                  <wp:positionH relativeFrom="column">
                    <wp:posOffset>9346</wp:posOffset>
                  </wp:positionH>
                  <wp:positionV relativeFrom="paragraph">
                    <wp:posOffset>1061</wp:posOffset>
                  </wp:positionV>
                  <wp:extent cx="363106" cy="132684"/>
                  <wp:effectExtent l="0" t="0" r="0" b="0"/>
                  <wp:wrapNone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0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1"/>
                <w:position w:val="-2"/>
              </w:rPr>
              <w:t>3.3</w:t>
            </w:r>
          </w:p>
        </w:tc>
        <w:tc>
          <w:tcPr>
            <w:tcW w:w="262" w:type="dxa"/>
            <w:vAlign w:val="top"/>
          </w:tcPr>
          <w:p>
            <w:pPr>
              <w:pStyle w:val="TableText"/>
              <w:spacing w:line="181" w:lineRule="exact"/>
              <w:rPr>
                <w:sz w:val="15"/>
              </w:rPr>
            </w:pPr>
          </w:p>
        </w:tc>
        <w:tc>
          <w:tcPr>
            <w:tcW w:w="219" w:type="dxa"/>
            <w:vAlign w:val="top"/>
          </w:tcPr>
          <w:p>
            <w:pPr>
              <w:pStyle w:val="TableText"/>
              <w:spacing w:before="15" w:line="193" w:lineRule="auto"/>
              <w:jc w:val="right"/>
            </w:pPr>
            <w:r>
              <w:drawing>
                <wp:anchor distT="0" distB="0" distL="0" distR="0" simplePos="0" relativeHeight="251692032" behindDoc="1" locked="0" layoutInCell="1" allowOverlap="1">
                  <wp:simplePos x="0" y="0"/>
                  <wp:positionH relativeFrom="column">
                    <wp:posOffset>23195</wp:posOffset>
                  </wp:positionH>
                  <wp:positionV relativeFrom="paragraph">
                    <wp:posOffset>1087</wp:posOffset>
                  </wp:positionV>
                  <wp:extent cx="128422" cy="132684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22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1"/>
              </w:rPr>
              <w:drawing>
                <wp:inline distT="0" distB="0" distL="0" distR="0">
                  <wp:extent cx="7554" cy="105720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xmlns:r="http://schemas.openxmlformats.org/officeDocument/2006/relationships"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0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6"/>
              </w:rPr>
              <w:t xml:space="preserve"> </w:t>
            </w:r>
            <w:r>
              <w:rPr>
                <w:spacing w:val="-31"/>
              </w:rPr>
              <w:t>1</w:t>
            </w:r>
          </w:p>
        </w:tc>
        <w:tc>
          <w:tcPr>
            <w:tcW w:w="652" w:type="dxa"/>
            <w:gridSpan w:val="3"/>
            <w:vAlign w:val="top"/>
          </w:tcPr>
          <w:p>
            <w:pPr>
              <w:pStyle w:val="TableText"/>
              <w:spacing w:before="52" w:line="129" w:lineRule="exact"/>
            </w:pPr>
            <w:r>
              <w:rPr>
                <w:spacing w:val="-13"/>
                <w:w w:val="96"/>
                <w:position w:val="-2"/>
              </w:rPr>
              <w:t>65474.9</w:t>
            </w:r>
          </w:p>
        </w:tc>
        <w:tc>
          <w:tcPr>
            <w:tcW w:w="696" w:type="dxa"/>
            <w:gridSpan w:val="2"/>
            <w:tcBorders>
              <w:top w:val="single" w:sz="4" w:space="0" w:color="39BE7F"/>
              <w:left w:val="single" w:sz="4" w:space="0" w:color="39BE7F"/>
              <w:bottom w:val="single" w:sz="4" w:space="0" w:color="39BE7F"/>
              <w:right w:val="single" w:sz="4" w:space="0" w:color="39BE7F"/>
            </w:tcBorders>
            <w:vAlign w:val="top"/>
          </w:tcPr>
          <w:p>
            <w:pPr>
              <w:pStyle w:val="TableText"/>
              <w:spacing w:before="53" w:line="128" w:lineRule="exact"/>
              <w:ind w:left="315"/>
            </w:pPr>
            <w:r>
              <w:drawing>
                <wp:anchor distT="0" distB="0" distL="0" distR="0" simplePos="0" relativeHeight="251693056" behindDoc="1" locked="0" layoutInCell="1" allowOverlap="1">
                  <wp:simplePos x="0" y="0"/>
                  <wp:positionH relativeFrom="column">
                    <wp:posOffset>14820</wp:posOffset>
                  </wp:positionH>
                  <wp:positionV relativeFrom="paragraph">
                    <wp:posOffset>1061</wp:posOffset>
                  </wp:positionV>
                  <wp:extent cx="438648" cy="132684"/>
                  <wp:effectExtent l="0" t="0" r="0" b="0"/>
                  <wp:wrapNone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648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1"/>
                <w:position w:val="-2"/>
              </w:rPr>
              <w:t>5.4</w:t>
            </w:r>
          </w:p>
        </w:tc>
        <w:tc>
          <w:tcPr>
            <w:tcW w:w="187" w:type="dxa"/>
            <w:vAlign w:val="top"/>
          </w:tcPr>
          <w:p>
            <w:pPr>
              <w:pStyle w:val="TableText"/>
              <w:spacing w:line="181" w:lineRule="exact"/>
              <w:rPr>
                <w:sz w:val="15"/>
              </w:rPr>
            </w:pPr>
          </w:p>
        </w:tc>
      </w:tr>
      <w:tr>
        <w:tblPrEx>
          <w:tblW w:w="8322" w:type="dxa"/>
          <w:tblInd w:w="50" w:type="dxa"/>
          <w:tblLayout w:type="fixed"/>
        </w:tblPrEx>
        <w:trPr>
          <w:trHeight w:val="264"/>
        </w:trPr>
        <w:tc>
          <w:tcPr>
            <w:tcW w:w="13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top"/>
          </w:tcPr>
          <w:p>
            <w:pPr>
              <w:spacing w:before="79" w:line="161" w:lineRule="auto"/>
              <w:ind w:left="8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  <w14:textOutline w14:w="379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2023年Q1-Q2</w:t>
            </w:r>
          </w:p>
        </w:tc>
        <w:tc>
          <w:tcPr>
            <w:tcW w:w="451" w:type="dxa"/>
            <w:gridSpan w:val="2"/>
            <w:vAlign w:val="top"/>
          </w:tcPr>
          <w:p>
            <w:pPr>
              <w:pStyle w:val="TableText"/>
              <w:spacing w:before="115" w:line="161" w:lineRule="auto"/>
              <w:jc w:val="right"/>
            </w:pPr>
            <w:r>
              <w:drawing>
                <wp:anchor distT="0" distB="0" distL="0" distR="0" simplePos="0" relativeHeight="251694080" behindDoc="1" locked="0" layoutInCell="1" allowOverlap="1">
                  <wp:simplePos x="0" y="0"/>
                  <wp:positionH relativeFrom="column">
                    <wp:posOffset>-15948</wp:posOffset>
                  </wp:positionH>
                  <wp:positionV relativeFrom="paragraph">
                    <wp:posOffset>41066</wp:posOffset>
                  </wp:positionV>
                  <wp:extent cx="287312" cy="132684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xmlns:r="http://schemas.openxmlformats.org/officeDocument/2006/relationships"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12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36" style="width:22.65pt;height:0.7pt;margin-top:3.22pt;margin-left:-23.31pt;mso-position-horizontal-relative:right-margin-area;mso-position-vertical-relative:top-margin-area;position:absolute;z-index:251706368" coordorigin="0,0" coordsize="452,13" path="m,13l452,13l452,l,l,13xe" filled="t" fillcolor="#2f5e7e" stroked="f"/>
              </w:pict>
            </w:r>
            <w:r>
              <w:rPr>
                <w:spacing w:val="-15"/>
                <w:w w:val="92"/>
              </w:rPr>
              <w:t>5</w:t>
            </w:r>
            <w:r>
              <w:rPr>
                <w:spacing w:val="-14"/>
                <w:w w:val="92"/>
              </w:rPr>
              <w:t>93</w:t>
            </w:r>
            <w:r>
              <w:rPr>
                <w:spacing w:val="-9"/>
                <w:w w:val="92"/>
              </w:rPr>
              <w:t>0</w:t>
            </w:r>
          </w:p>
        </w:tc>
        <w:tc>
          <w:tcPr>
            <w:tcW w:w="507" w:type="dxa"/>
            <w:gridSpan w:val="2"/>
            <w:vAlign w:val="top"/>
          </w:tcPr>
          <w:p>
            <w:pPr>
              <w:pStyle w:val="TableText"/>
              <w:spacing w:before="115" w:line="161" w:lineRule="auto"/>
              <w:ind w:left="6"/>
            </w:pPr>
            <w:r>
              <w:rPr>
                <w:spacing w:val="-12"/>
              </w:rPr>
              <w:t>34.0</w:t>
            </w:r>
          </w:p>
        </w:tc>
        <w:tc>
          <w:tcPr>
            <w:tcW w:w="858" w:type="dxa"/>
            <w:gridSpan w:val="3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116" w:line="159" w:lineRule="auto"/>
              <w:ind w:left="298"/>
            </w:pPr>
            <w:r>
              <w:drawing>
                <wp:anchor distT="0" distB="0" distL="0" distR="0" simplePos="0" relativeHeight="251695104" behindDoc="1" locked="0" layoutInCell="1" allowOverlap="1">
                  <wp:simplePos x="0" y="0"/>
                  <wp:positionH relativeFrom="column">
                    <wp:posOffset>3477</wp:posOffset>
                  </wp:positionH>
                  <wp:positionV relativeFrom="paragraph">
                    <wp:posOffset>40665</wp:posOffset>
                  </wp:positionV>
                  <wp:extent cx="521996" cy="132684"/>
                  <wp:effectExtent l="0" t="0" r="0" b="0"/>
                  <wp:wrapNone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xmlns:r="http://schemas.openxmlformats.org/officeDocument/2006/relationships"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37" style="width:41.15pt;height:0.7pt;margin-top:3.22pt;margin-left:-42.13pt;mso-position-horizontal-relative:right-margin-area;mso-position-vertical-relative:top-margin-area;position:absolute;z-index:251703296" coordorigin="0,0" coordsize="823,13" path="m,13l822,13l822,l,l,13xe" filled="t" fillcolor="#39be7f" stroked="f"/>
              </w:pict>
            </w:r>
            <w:r>
              <w:rPr>
                <w:spacing w:val="-11"/>
              </w:rPr>
              <w:t>5.5</w:t>
            </w:r>
          </w:p>
        </w:tc>
        <w:tc>
          <w:tcPr>
            <w:tcW w:w="281" w:type="dxa"/>
            <w:tcBorders>
              <w:top w:val="single" w:sz="4" w:space="0" w:color="2F5E7E"/>
              <w:left w:val="single" w:sz="4" w:space="0" w:color="2F5E7E"/>
              <w:bottom w:val="single" w:sz="4" w:space="0" w:color="2F5E7E"/>
              <w:right w:val="single" w:sz="4" w:space="0" w:color="2F5E7E"/>
            </w:tcBorders>
            <w:vAlign w:val="top"/>
          </w:tcPr>
          <w:p>
            <w:pPr>
              <w:pStyle w:val="TableText"/>
              <w:spacing w:before="115" w:line="161" w:lineRule="auto"/>
              <w:jc w:val="right"/>
            </w:pPr>
            <w:r>
              <w:drawing>
                <wp:anchor distT="0" distB="0" distL="0" distR="0" simplePos="0" relativeHeight="251696128" behindDoc="1" locked="0" layoutInCell="1" allowOverlap="1">
                  <wp:simplePos x="0" y="0"/>
                  <wp:positionH relativeFrom="column">
                    <wp:posOffset>3357</wp:posOffset>
                  </wp:positionH>
                  <wp:positionV relativeFrom="paragraph">
                    <wp:posOffset>41066</wp:posOffset>
                  </wp:positionV>
                  <wp:extent cx="181553" cy="132684"/>
                  <wp:effectExtent l="0" t="0" r="0" b="0"/>
                  <wp:wrapNone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xmlns:r="http://schemas.openxmlformats.org/officeDocument/2006/relationships"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53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38" style="width:14.3pt;height:0.7pt;margin-top:3.22pt;margin-left:-13.29pt;mso-position-horizontal-relative:right-margin-area;mso-position-vertical-relative:top-margin-area;position:absolute;z-index:251709440" coordorigin="0,0" coordsize="286,13" path="m,13l285,13l285,l,l,13xe" filled="t" fillcolor="#2f5e7e" stroked="f"/>
              </w:pict>
            </w:r>
            <w:r>
              <w:rPr>
                <w:spacing w:val="-15"/>
                <w:w w:val="81"/>
              </w:rPr>
              <w:t>3</w:t>
            </w:r>
            <w:r>
              <w:rPr>
                <w:spacing w:val="-9"/>
                <w:w w:val="81"/>
              </w:rPr>
              <w:t>0</w:t>
            </w:r>
          </w:p>
        </w:tc>
        <w:tc>
          <w:tcPr>
            <w:tcW w:w="560" w:type="dxa"/>
            <w:gridSpan w:val="2"/>
            <w:vAlign w:val="top"/>
          </w:tcPr>
          <w:p>
            <w:pPr>
              <w:pStyle w:val="TableText"/>
              <w:spacing w:before="115" w:line="161" w:lineRule="auto"/>
              <w:ind w:left="12"/>
            </w:pPr>
            <w:r>
              <w:rPr>
                <w:spacing w:val="-12"/>
              </w:rPr>
              <w:t>416.0</w:t>
            </w:r>
          </w:p>
        </w:tc>
        <w:tc>
          <w:tcPr>
            <w:tcW w:w="865" w:type="dxa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64" w:line="190" w:lineRule="exact"/>
              <w:ind w:firstLine="21"/>
            </w:pPr>
            <w:r>
              <w:rPr>
                <w:position w:val="-5"/>
              </w:rPr>
              <w:pict>
                <v:group id="_x0000_i1039" style="width:36.95pt;height:10.45pt;mso-position-horizontal-relative:char;mso-position-vertical-relative:line" coordorigin="0,0" coordsize="739,208" filled="f" stroked="f">
                  <v:shape id="_x0000_s1040" type="#_x0000_t75" style="width:739;height:208;position:absolute" filled="f" stroked="f">
                    <v:imagedata r:id="rId37" o:title=""/>
                  </v:shape>
                  <v:shape id="_x0000_s1041" type="#_x0000_t202" style="width:487;height:221;left:272;position:absolute;top:-6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20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4"/>
                              <w:sz w:val="18"/>
                              <w:szCs w:val="18"/>
                            </w:rPr>
                            <w:t>3.7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position w:val="-1"/>
                              <w:sz w:val="18"/>
                              <w:szCs w:val="18"/>
                            </w:rPr>
                            <w:drawing>
                              <wp:inline distT="0" distB="0" distL="0" distR="0">
                                <wp:extent cx="7554" cy="114817"/>
                                <wp:effectExtent l="0" t="0" r="0" b="0"/>
                                <wp:docPr id="54" name="IM 5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" name="IM 5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4" cy="1148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042" style="width:739;height:13;position:absolute" coordorigin="0,0" coordsize="739,13" path="m,13l738,13l738,l,l,13xe" filled="t" fillcolor="#39be7f" stroked="f"/>
                  <w10:wrap type="none"/>
                </v:group>
              </w:pict>
            </w:r>
          </w:p>
        </w:tc>
        <w:tc>
          <w:tcPr>
            <w:tcW w:w="391" w:type="dxa"/>
            <w:gridSpan w:val="2"/>
            <w:tcBorders>
              <w:top w:val="single" w:sz="4" w:space="0" w:color="2F5E7E"/>
              <w:left w:val="single" w:sz="4" w:space="0" w:color="2F5E7E"/>
              <w:bottom w:val="single" w:sz="4" w:space="0" w:color="2F5E7E"/>
              <w:right w:val="single" w:sz="4" w:space="0" w:color="2F5E7E"/>
            </w:tcBorders>
            <w:vAlign w:val="top"/>
          </w:tcPr>
          <w:p>
            <w:pPr>
              <w:pStyle w:val="TableText"/>
              <w:spacing w:before="115" w:line="161" w:lineRule="auto"/>
              <w:jc w:val="right"/>
            </w:pPr>
            <w:r>
              <w:drawing>
                <wp:anchor distT="0" distB="0" distL="0" distR="0" simplePos="0" relativeHeight="251673600" behindDoc="1" locked="0" layoutInCell="1" allowOverlap="1">
                  <wp:simplePos x="0" y="0"/>
                  <wp:positionH relativeFrom="column">
                    <wp:posOffset>9365</wp:posOffset>
                  </wp:positionH>
                  <wp:positionV relativeFrom="paragraph">
                    <wp:posOffset>41066</wp:posOffset>
                  </wp:positionV>
                  <wp:extent cx="249792" cy="132684"/>
                  <wp:effectExtent l="0" t="0" r="0" b="0"/>
                  <wp:wrapNone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xmlns:r="http://schemas.openxmlformats.org/officeDocument/2006/relationships"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92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3" style="width:19.7pt;height:0.7pt;margin-top:3.22pt;margin-left:-18.31pt;mso-position-horizontal-relative:right-margin-area;mso-position-vertical-relative:top-margin-area;position:absolute;z-index:251707392" coordorigin="0,0" coordsize="394,13" path="m,13l393,13l393,l,l,13xe" filled="t" fillcolor="#2f5e7e" stroked="f"/>
              </w:pict>
            </w:r>
            <w:r>
              <w:rPr>
                <w:spacing w:val="-11"/>
                <w:w w:val="82"/>
              </w:rPr>
              <w:t>2</w:t>
            </w:r>
            <w:r>
              <w:rPr>
                <w:spacing w:val="-10"/>
                <w:w w:val="82"/>
              </w:rPr>
              <w:t>30</w:t>
            </w:r>
            <w:r>
              <w:rPr>
                <w:spacing w:val="-9"/>
                <w:w w:val="82"/>
              </w:rPr>
              <w:t>6</w:t>
            </w:r>
          </w:p>
        </w:tc>
        <w:tc>
          <w:tcPr>
            <w:tcW w:w="467" w:type="dxa"/>
            <w:gridSpan w:val="2"/>
            <w:vAlign w:val="top"/>
          </w:tcPr>
          <w:p>
            <w:pPr>
              <w:pStyle w:val="TableText"/>
              <w:spacing w:before="115" w:line="161" w:lineRule="auto"/>
              <w:ind w:left="34"/>
            </w:pPr>
            <w:r>
              <w:rPr>
                <w:spacing w:val="-12"/>
              </w:rPr>
              <w:t>82.0</w:t>
            </w:r>
          </w:p>
        </w:tc>
        <w:tc>
          <w:tcPr>
            <w:tcW w:w="836" w:type="dxa"/>
            <w:gridSpan w:val="2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78" w:line="204" w:lineRule="auto"/>
              <w:ind w:left="302"/>
            </w:pPr>
            <w:r>
              <w:drawing>
                <wp:anchor distT="0" distB="0" distL="0" distR="0" simplePos="0" relativeHeight="251674624" behindDoc="1" locked="0" layoutInCell="1" allowOverlap="1">
                  <wp:simplePos x="0" y="0"/>
                  <wp:positionH relativeFrom="column">
                    <wp:posOffset>9346</wp:posOffset>
                  </wp:positionH>
                  <wp:positionV relativeFrom="paragraph">
                    <wp:posOffset>40784</wp:posOffset>
                  </wp:positionV>
                  <wp:extent cx="476419" cy="132684"/>
                  <wp:effectExtent l="0" t="0" r="0" b="0"/>
                  <wp:wrapNone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xmlns:r="http://schemas.openxmlformats.org/officeDocument/2006/relationships"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19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4" style="width:37.55pt;height:0.7pt;margin-top:3.22pt;margin-left:-40.56pt;mso-position-horizontal-relative:right-margin-area;mso-position-vertical-relative:top-margin-area;position:absolute;z-index:251705344" coordorigin="0,0" coordsize="750,13" path="m,13l750,13l750,l,l,13xe" filled="t" fillcolor="#39be7f" stroked="f"/>
              </w:pict>
            </w:r>
            <w:r>
              <w:rPr>
                <w:spacing w:val="-12"/>
              </w:rPr>
              <w:t>4.3</w:t>
            </w:r>
            <w:r>
              <w:rPr>
                <w:spacing w:val="8"/>
              </w:rPr>
              <w:t xml:space="preserve">    </w:t>
            </w:r>
            <w:r>
              <w:rPr>
                <w:position w:val="-1"/>
              </w:rPr>
              <w:drawing>
                <wp:inline distT="0" distB="0" distL="0" distR="0">
                  <wp:extent cx="7554" cy="111584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xmlns:r="http://schemas.openxmlformats.org/officeDocument/2006/relationships"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" w:type="dxa"/>
            <w:gridSpan w:val="2"/>
            <w:vAlign w:val="top"/>
          </w:tcPr>
          <w:p>
            <w:pPr>
              <w:pStyle w:val="TableText"/>
              <w:spacing w:before="78" w:line="204" w:lineRule="auto"/>
              <w:jc w:val="right"/>
            </w:pPr>
            <w:r>
              <w:drawing>
                <wp:anchor distT="0" distB="0" distL="0" distR="0" simplePos="0" relativeHeight="251672576" behindDoc="1" locked="0" layoutInCell="1" allowOverlap="1">
                  <wp:simplePos x="0" y="0"/>
                  <wp:positionH relativeFrom="column">
                    <wp:posOffset>23195</wp:posOffset>
                  </wp:positionH>
                  <wp:positionV relativeFrom="paragraph">
                    <wp:posOffset>40784</wp:posOffset>
                  </wp:positionV>
                  <wp:extent cx="249541" cy="132684"/>
                  <wp:effectExtent l="0" t="0" r="0" b="0"/>
                  <wp:wrapNone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xmlns:r="http://schemas.openxmlformats.org/officeDocument/2006/relationships"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41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5" style="width:19.65pt;height:0.7pt;margin-top:3.22pt;margin-left:-18.37pt;mso-position-horizontal-relative:right-margin-area;mso-position-vertical-relative:top-margin-area;position:absolute;z-index:251708416" coordorigin="0,0" coordsize="392,13" path="m,13l392,13l392,l,l,13xe" filled="t" fillcolor="#2f5e7e" stroked="f"/>
              </w:pict>
            </w:r>
            <w:r>
              <w:rPr>
                <w:position w:val="-1"/>
              </w:rPr>
              <w:drawing>
                <wp:inline distT="0" distB="0" distL="0" distR="0">
                  <wp:extent cx="6809" cy="111584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xmlns:r="http://schemas.openxmlformats.org/officeDocument/2006/relationships"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" cy="11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</w:t>
            </w:r>
            <w:r>
              <w:rPr>
                <w:spacing w:val="-23"/>
                <w:w w:val="93"/>
              </w:rPr>
              <w:t>33</w:t>
            </w:r>
            <w:r>
              <w:rPr>
                <w:spacing w:val="-22"/>
                <w:w w:val="93"/>
              </w:rPr>
              <w:t>1</w:t>
            </w:r>
            <w:r>
              <w:rPr>
                <w:spacing w:val="-8"/>
                <w:w w:val="93"/>
              </w:rPr>
              <w:t>9</w:t>
            </w:r>
          </w:p>
        </w:tc>
        <w:tc>
          <w:tcPr>
            <w:tcW w:w="457" w:type="dxa"/>
            <w:gridSpan w:val="2"/>
            <w:vAlign w:val="top"/>
          </w:tcPr>
          <w:p>
            <w:pPr>
              <w:pStyle w:val="TableText"/>
              <w:spacing w:before="115" w:line="161" w:lineRule="auto"/>
              <w:ind w:left="33"/>
            </w:pPr>
            <w:r>
              <w:rPr>
                <w:spacing w:val="-12"/>
              </w:rPr>
              <w:t>37.0</w:t>
            </w:r>
          </w:p>
        </w:tc>
        <w:tc>
          <w:tcPr>
            <w:tcW w:w="883" w:type="dxa"/>
            <w:gridSpan w:val="3"/>
            <w:vAlign w:val="top"/>
          </w:tcPr>
          <w:p>
            <w:pPr>
              <w:pStyle w:val="TableText"/>
              <w:spacing w:before="115" w:line="161" w:lineRule="auto"/>
              <w:ind w:left="315"/>
            </w:pPr>
            <w:r>
              <w:drawing>
                <wp:anchor distT="0" distB="0" distL="0" distR="0" simplePos="0" relativeHeight="251675648" behindDoc="1" locked="0" layoutInCell="1" allowOverlap="1">
                  <wp:simplePos x="0" y="0"/>
                  <wp:positionH relativeFrom="column">
                    <wp:posOffset>14820</wp:posOffset>
                  </wp:positionH>
                  <wp:positionV relativeFrom="paragraph">
                    <wp:posOffset>41066</wp:posOffset>
                  </wp:positionV>
                  <wp:extent cx="521996" cy="132684"/>
                  <wp:effectExtent l="0" t="0" r="0" b="0"/>
                  <wp:wrapNone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6" style="width:41.15pt;height:0.7pt;margin-top:3.22pt;margin-left:-42.48pt;mso-position-horizontal-relative:right-margin-area;mso-position-vertical-relative:top-margin-area;position:absolute;z-index:251700224" coordorigin="0,0" coordsize="823,13" path="m,13l822,13l822,l,l,13xe" filled="t" fillcolor="#39be7f" stroked="f"/>
              </w:pict>
            </w:r>
            <w:r>
              <w:rPr>
                <w:spacing w:val="-10"/>
              </w:rPr>
              <w:t>6.4</w:t>
            </w:r>
          </w:p>
        </w:tc>
      </w:tr>
      <w:tr>
        <w:tblPrEx>
          <w:tblW w:w="8322" w:type="dxa"/>
          <w:tblInd w:w="50" w:type="dxa"/>
          <w:tblLayout w:type="fixed"/>
        </w:tblPrEx>
        <w:trPr>
          <w:trHeight w:val="307"/>
        </w:trPr>
        <w:tc>
          <w:tcPr>
            <w:tcW w:w="13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top"/>
          </w:tcPr>
          <w:p>
            <w:pPr>
              <w:spacing w:before="70" w:line="209" w:lineRule="auto"/>
              <w:ind w:left="8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4"/>
                <w:sz w:val="20"/>
                <w:szCs w:val="20"/>
                <w14:textOutline w14:w="379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2023年Q1-Q3</w:t>
            </w:r>
          </w:p>
        </w:tc>
        <w:tc>
          <w:tcPr>
            <w:tcW w:w="695" w:type="dxa"/>
            <w:gridSpan w:val="3"/>
            <w:vAlign w:val="top"/>
          </w:tcPr>
          <w:p>
            <w:pPr>
              <w:pStyle w:val="TableText"/>
              <w:tabs>
                <w:tab w:val="left" w:pos="143"/>
              </w:tabs>
              <w:spacing w:before="105" w:line="195" w:lineRule="auto"/>
            </w:pPr>
            <w:r>
              <w:drawing>
                <wp:anchor distT="0" distB="0" distL="0" distR="0" simplePos="0" relativeHeight="251676672" behindDoc="1" locked="0" layoutInCell="1" allowOverlap="1">
                  <wp:simplePos x="0" y="0"/>
                  <wp:positionH relativeFrom="column">
                    <wp:posOffset>-15948</wp:posOffset>
                  </wp:positionH>
                  <wp:positionV relativeFrom="paragraph">
                    <wp:posOffset>34888</wp:posOffset>
                  </wp:positionV>
                  <wp:extent cx="438648" cy="132684"/>
                  <wp:effectExtent l="0" t="0" r="0" b="0"/>
                  <wp:wrapNone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xmlns:r="http://schemas.openxmlformats.org/officeDocument/2006/relationships"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648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2F5E7E"/>
              </w:rPr>
              <w:tab/>
            </w:r>
            <w:r>
              <w:rPr>
                <w:spacing w:val="-18"/>
                <w:u w:val="single" w:color="2F5E7E"/>
              </w:rPr>
              <w:t>913027.</w:t>
            </w:r>
          </w:p>
        </w:tc>
        <w:tc>
          <w:tcPr>
            <w:tcW w:w="263" w:type="dxa"/>
            <w:vAlign w:val="top"/>
          </w:tcPr>
          <w:p>
            <w:pPr>
              <w:pStyle w:val="TableText"/>
              <w:spacing w:before="105" w:line="156" w:lineRule="exac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8" w:type="dxa"/>
            <w:gridSpan w:val="3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tabs>
                <w:tab w:val="left" w:pos="297"/>
              </w:tabs>
              <w:spacing w:before="69"/>
              <w:ind w:left="5"/>
            </w:pPr>
            <w:r>
              <w:drawing>
                <wp:anchor distT="0" distB="0" distL="0" distR="0" simplePos="0" relativeHeight="251678720" behindDoc="1" locked="0" layoutInCell="1" allowOverlap="1">
                  <wp:simplePos x="0" y="0"/>
                  <wp:positionH relativeFrom="column">
                    <wp:posOffset>3477</wp:posOffset>
                  </wp:positionH>
                  <wp:positionV relativeFrom="paragraph">
                    <wp:posOffset>34761</wp:posOffset>
                  </wp:positionV>
                  <wp:extent cx="491779" cy="132684"/>
                  <wp:effectExtent l="0" t="0" r="0" b="0"/>
                  <wp:wrapNone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xmlns:r="http://schemas.openxmlformats.org/officeDocument/2006/relationships"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779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39BE7F"/>
              </w:rPr>
              <w:tab/>
            </w:r>
            <w:r>
              <w:rPr>
                <w:spacing w:val="-14"/>
                <w:u w:val="single" w:color="39BE7F"/>
              </w:rPr>
              <w:t>5.2</w:t>
            </w:r>
            <w:r>
              <w:rPr>
                <w:spacing w:val="2"/>
                <w:u w:val="single" w:color="39BE7F"/>
              </w:rPr>
              <w:t xml:space="preserve">     </w:t>
            </w:r>
            <w:r>
              <w:rPr>
                <w:position w:val="-1"/>
              </w:rPr>
              <w:drawing>
                <wp:inline distT="0" distB="0" distL="0" distR="0">
                  <wp:extent cx="7554" cy="114817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" w:type="dxa"/>
            <w:gridSpan w:val="2"/>
            <w:tcBorders>
              <w:top w:val="single" w:sz="4" w:space="0" w:color="2F5E7E"/>
              <w:left w:val="single" w:sz="4" w:space="0" w:color="2F5E7E"/>
              <w:bottom w:val="single" w:sz="4" w:space="0" w:color="2F5E7E"/>
              <w:right w:val="single" w:sz="4" w:space="0" w:color="2F5E7E"/>
            </w:tcBorders>
            <w:vAlign w:val="top"/>
          </w:tcPr>
          <w:p>
            <w:pPr>
              <w:pStyle w:val="TableText"/>
              <w:tabs>
                <w:tab w:val="left" w:pos="121"/>
              </w:tabs>
              <w:spacing w:before="105" w:line="195" w:lineRule="auto"/>
              <w:ind w:left="5"/>
            </w:pPr>
            <w:r>
              <w:drawing>
                <wp:anchor distT="0" distB="0" distL="0" distR="0" simplePos="0" relativeHeight="251680768" behindDoc="1" locked="0" layoutInCell="1" allowOverlap="1">
                  <wp:simplePos x="0" y="0"/>
                  <wp:positionH relativeFrom="column">
                    <wp:posOffset>3357</wp:posOffset>
                  </wp:positionH>
                  <wp:positionV relativeFrom="paragraph">
                    <wp:posOffset>34888</wp:posOffset>
                  </wp:positionV>
                  <wp:extent cx="325334" cy="132684"/>
                  <wp:effectExtent l="0" t="0" r="0" b="0"/>
                  <wp:wrapNone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xmlns:r="http://schemas.openxmlformats.org/officeDocument/2006/relationships"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34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2F5E7E"/>
              </w:rPr>
              <w:tab/>
            </w:r>
            <w:r>
              <w:rPr>
                <w:spacing w:val="-11"/>
                <w:w w:val="86"/>
                <w:u w:val="single" w:color="2F5E7E"/>
              </w:rPr>
              <w:t>5</w:t>
            </w:r>
            <w:r>
              <w:rPr>
                <w:spacing w:val="-10"/>
                <w:w w:val="86"/>
                <w:u w:val="single" w:color="2F5E7E"/>
              </w:rPr>
              <w:t>637</w:t>
            </w:r>
            <w:r>
              <w:rPr>
                <w:spacing w:val="-9"/>
                <w:w w:val="86"/>
                <w:u w:val="single" w:color="2F5E7E"/>
              </w:rPr>
              <w:t>4</w:t>
            </w:r>
          </w:p>
        </w:tc>
        <w:tc>
          <w:tcPr>
            <w:tcW w:w="328" w:type="dxa"/>
            <w:vAlign w:val="top"/>
          </w:tcPr>
          <w:p>
            <w:pPr>
              <w:pStyle w:val="TableText"/>
              <w:spacing w:before="105" w:line="195" w:lineRule="auto"/>
              <w:ind w:left="41"/>
            </w:pPr>
            <w:r>
              <w:rPr>
                <w:spacing w:val="-11"/>
              </w:rPr>
              <w:t>.0</w:t>
            </w:r>
          </w:p>
        </w:tc>
        <w:tc>
          <w:tcPr>
            <w:tcW w:w="865" w:type="dxa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tabs>
                <w:tab w:val="left" w:pos="308"/>
              </w:tabs>
              <w:spacing w:before="69"/>
              <w:ind w:left="21"/>
            </w:pPr>
            <w:r>
              <w:drawing>
                <wp:anchor distT="0" distB="0" distL="0" distR="0" simplePos="0" relativeHeight="251677696" behindDoc="1" locked="0" layoutInCell="1" allowOverlap="1">
                  <wp:simplePos x="0" y="0"/>
                  <wp:positionH relativeFrom="column">
                    <wp:posOffset>13931</wp:posOffset>
                  </wp:positionH>
                  <wp:positionV relativeFrom="paragraph">
                    <wp:posOffset>34761</wp:posOffset>
                  </wp:positionV>
                  <wp:extent cx="506888" cy="132684"/>
                  <wp:effectExtent l="0" t="0" r="0" b="0"/>
                  <wp:wrapNone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xmlns:r="http://schemas.openxmlformats.org/officeDocument/2006/relationships"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888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39BE7F"/>
              </w:rPr>
              <w:tab/>
            </w:r>
            <w:r>
              <w:rPr>
                <w:spacing w:val="-12"/>
                <w:u w:val="single" w:color="39BE7F"/>
              </w:rPr>
              <w:t>4.0</w:t>
            </w:r>
            <w:r>
              <w:rPr>
                <w:spacing w:val="6"/>
                <w:u w:val="single" w:color="39BE7F"/>
              </w:rPr>
              <w:t xml:space="preserve">     </w:t>
            </w:r>
            <w:r>
              <w:rPr>
                <w:position w:val="-1"/>
              </w:rPr>
              <w:drawing>
                <wp:inline distT="0" distB="0" distL="0" distR="0">
                  <wp:extent cx="7554" cy="114817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gridSpan w:val="3"/>
            <w:tcBorders>
              <w:top w:val="single" w:sz="4" w:space="0" w:color="2F5E7E"/>
              <w:left w:val="single" w:sz="4" w:space="0" w:color="2F5E7E"/>
              <w:bottom w:val="single" w:sz="4" w:space="0" w:color="2F5E7E"/>
              <w:right w:val="single" w:sz="4" w:space="0" w:color="2F5E7E"/>
            </w:tcBorders>
            <w:vAlign w:val="top"/>
          </w:tcPr>
          <w:p>
            <w:pPr>
              <w:pStyle w:val="TableText"/>
              <w:tabs>
                <w:tab w:val="left" w:pos="88"/>
              </w:tabs>
              <w:spacing w:before="105" w:line="195" w:lineRule="auto"/>
              <w:ind w:left="14"/>
            </w:pPr>
            <w:r>
              <w:drawing>
                <wp:anchor distT="0" distB="0" distL="0" distR="0" simplePos="0" relativeHeight="251679744" behindDoc="1" locked="0" layoutInCell="1" allowOverlap="1">
                  <wp:simplePos x="0" y="0"/>
                  <wp:positionH relativeFrom="column">
                    <wp:posOffset>9365</wp:posOffset>
                  </wp:positionH>
                  <wp:positionV relativeFrom="paragraph">
                    <wp:posOffset>34888</wp:posOffset>
                  </wp:positionV>
                  <wp:extent cx="386021" cy="132684"/>
                  <wp:effectExtent l="0" t="0" r="0" b="0"/>
                  <wp:wrapNone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xmlns:r="http://schemas.openxmlformats.org/officeDocument/2006/relationships"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21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2F5E7E"/>
              </w:rPr>
              <w:tab/>
            </w:r>
            <w:r>
              <w:rPr>
                <w:spacing w:val="-16"/>
                <w:w w:val="95"/>
                <w:u w:val="single" w:color="2F5E7E"/>
              </w:rPr>
              <w:t>353659</w:t>
            </w:r>
            <w:r>
              <w:rPr>
                <w:spacing w:val="-16"/>
                <w:w w:val="95"/>
              </w:rPr>
              <w:t>.</w:t>
            </w:r>
          </w:p>
        </w:tc>
        <w:tc>
          <w:tcPr>
            <w:tcW w:w="247" w:type="dxa"/>
            <w:vAlign w:val="top"/>
          </w:tcPr>
          <w:p>
            <w:pPr>
              <w:pStyle w:val="TableText"/>
              <w:spacing w:before="105" w:line="195" w:lineRule="auto"/>
              <w:ind w:left="28"/>
            </w:pPr>
            <w:r>
              <w:t>0</w:t>
            </w:r>
          </w:p>
        </w:tc>
        <w:tc>
          <w:tcPr>
            <w:tcW w:w="836" w:type="dxa"/>
            <w:gridSpan w:val="2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tabs>
                <w:tab w:val="left" w:pos="302"/>
              </w:tabs>
              <w:spacing w:before="105" w:line="195" w:lineRule="auto"/>
              <w:ind w:left="14"/>
            </w:pPr>
            <w:r>
              <w:drawing>
                <wp:anchor distT="0" distB="0" distL="0" distR="0" simplePos="0" relativeHeight="251681792" behindDoc="1" locked="0" layoutInCell="1" allowOverlap="1">
                  <wp:simplePos x="0" y="0"/>
                  <wp:positionH relativeFrom="column">
                    <wp:posOffset>9346</wp:posOffset>
                  </wp:positionH>
                  <wp:positionV relativeFrom="paragraph">
                    <wp:posOffset>34612</wp:posOffset>
                  </wp:positionV>
                  <wp:extent cx="491527" cy="132684"/>
                  <wp:effectExtent l="0" t="0" r="0" b="0"/>
                  <wp:wrapNone/>
                  <wp:docPr id="82" name="IM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 82"/>
                          <pic:cNvPicPr/>
                        </pic:nvPicPr>
                        <pic:blipFill>
                          <a:blip xmlns:r="http://schemas.openxmlformats.org/officeDocument/2006/relationships"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527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39BE7F"/>
              </w:rPr>
              <w:tab/>
            </w:r>
            <w:r>
              <w:rPr>
                <w:spacing w:val="-12"/>
                <w:u w:val="single" w:color="39BE7F"/>
              </w:rPr>
              <w:t>4.4</w:t>
            </w:r>
            <w:r>
              <w:rPr>
                <w:u w:val="single" w:color="39BE7F"/>
              </w:rPr>
              <w:t xml:space="preserve">      </w:t>
            </w:r>
          </w:p>
        </w:tc>
        <w:tc>
          <w:tcPr>
            <w:tcW w:w="622" w:type="dxa"/>
            <w:gridSpan w:val="3"/>
            <w:vAlign w:val="top"/>
          </w:tcPr>
          <w:p>
            <w:pPr>
              <w:pStyle w:val="TableText"/>
              <w:spacing w:before="69"/>
              <w:jc w:val="right"/>
            </w:pPr>
            <w:r>
              <w:drawing>
                <wp:anchor distT="0" distB="0" distL="0" distR="0" simplePos="0" relativeHeight="251682816" behindDoc="1" locked="0" layoutInCell="1" allowOverlap="1">
                  <wp:simplePos x="0" y="0"/>
                  <wp:positionH relativeFrom="column">
                    <wp:posOffset>23195</wp:posOffset>
                  </wp:positionH>
                  <wp:positionV relativeFrom="paragraph">
                    <wp:posOffset>34761</wp:posOffset>
                  </wp:positionV>
                  <wp:extent cx="378214" cy="132684"/>
                  <wp:effectExtent l="0" t="0" r="0" b="0"/>
                  <wp:wrapNone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xmlns:r="http://schemas.openxmlformats.org/officeDocument/2006/relationships"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14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1"/>
              </w:rPr>
              <w:drawing>
                <wp:inline distT="0" distB="0" distL="0" distR="0">
                  <wp:extent cx="7554" cy="114817"/>
                  <wp:effectExtent l="0" t="0" r="0" b="0"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xmlns:r="http://schemas.openxmlformats.org/officeDocument/2006/relationships"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8"/>
                <w:w w:val="101"/>
                <w:u w:val="single" w:color="2F5E7E"/>
              </w:rPr>
              <w:t xml:space="preserve"> </w:t>
            </w:r>
            <w:r>
              <w:rPr>
                <w:spacing w:val="-14"/>
                <w:w w:val="95"/>
                <w:u w:val="single" w:color="2F5E7E"/>
              </w:rPr>
              <w:t>5029</w:t>
            </w:r>
            <w:r>
              <w:rPr>
                <w:spacing w:val="-13"/>
                <w:w w:val="95"/>
                <w:u w:val="single" w:color="2F5E7E"/>
              </w:rPr>
              <w:t>9</w:t>
            </w:r>
            <w:r>
              <w:rPr>
                <w:spacing w:val="-9"/>
                <w:w w:val="95"/>
                <w:u w:val="single" w:color="2F5E7E"/>
              </w:rPr>
              <w:t>3</w:t>
            </w:r>
          </w:p>
        </w:tc>
        <w:tc>
          <w:tcPr>
            <w:tcW w:w="249" w:type="dxa"/>
            <w:vAlign w:val="top"/>
          </w:tcPr>
          <w:p>
            <w:pPr>
              <w:pStyle w:val="TableText"/>
              <w:spacing w:before="105" w:line="195" w:lineRule="auto"/>
            </w:pPr>
            <w:r>
              <w:rPr>
                <w:spacing w:val="-11"/>
              </w:rPr>
              <w:t>.0</w:t>
            </w:r>
          </w:p>
        </w:tc>
        <w:tc>
          <w:tcPr>
            <w:tcW w:w="883" w:type="dxa"/>
            <w:gridSpan w:val="3"/>
            <w:vAlign w:val="top"/>
          </w:tcPr>
          <w:p>
            <w:pPr>
              <w:pStyle w:val="TableText"/>
              <w:tabs>
                <w:tab w:val="left" w:pos="315"/>
              </w:tabs>
              <w:spacing w:before="69"/>
              <w:ind w:left="23"/>
            </w:pPr>
            <w:r>
              <w:drawing>
                <wp:anchor distT="0" distB="0" distL="0" distR="0" simplePos="0" relativeHeight="251684864" behindDoc="1" locked="0" layoutInCell="1" allowOverlap="1">
                  <wp:simplePos x="0" y="0"/>
                  <wp:positionH relativeFrom="column">
                    <wp:posOffset>14820</wp:posOffset>
                  </wp:positionH>
                  <wp:positionV relativeFrom="paragraph">
                    <wp:posOffset>34761</wp:posOffset>
                  </wp:positionV>
                  <wp:extent cx="491527" cy="132684"/>
                  <wp:effectExtent l="0" t="0" r="0" b="0"/>
                  <wp:wrapNone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xmlns:r="http://schemas.openxmlformats.org/officeDocument/2006/relationships"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527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39BE7F"/>
              </w:rPr>
              <w:tab/>
            </w:r>
            <w:r>
              <w:rPr>
                <w:spacing w:val="-13"/>
                <w:u w:val="single" w:color="39BE7F"/>
              </w:rPr>
              <w:t>6.0</w:t>
            </w:r>
            <w:r>
              <w:rPr>
                <w:spacing w:val="1"/>
                <w:u w:val="single" w:color="39BE7F"/>
              </w:rPr>
              <w:t xml:space="preserve">     </w:t>
            </w:r>
            <w:r>
              <w:rPr>
                <w:position w:val="-1"/>
              </w:rPr>
              <w:drawing>
                <wp:inline distT="0" distB="0" distL="0" distR="0">
                  <wp:extent cx="7554" cy="114817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xmlns:r="http://schemas.openxmlformats.org/officeDocument/2006/relationships"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8322" w:type="dxa"/>
          <w:tblInd w:w="50" w:type="dxa"/>
          <w:tblLayout w:type="fixed"/>
        </w:tblPrEx>
        <w:trPr>
          <w:trHeight w:val="258"/>
        </w:trPr>
        <w:tc>
          <w:tcPr>
            <w:tcW w:w="1352" w:type="dxa"/>
            <w:tcBorders>
              <w:top w:val="single" w:sz="4" w:space="0" w:color="BFBFBF"/>
              <w:right w:val="single" w:sz="4" w:space="0" w:color="BFBFBF"/>
            </w:tcBorders>
            <w:vAlign w:val="top"/>
          </w:tcPr>
          <w:p>
            <w:pPr>
              <w:tabs>
                <w:tab w:val="left" w:pos="83"/>
              </w:tabs>
              <w:spacing w:before="18" w:line="212" w:lineRule="auto"/>
              <w:ind w:left="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z w:val="20"/>
                <w:szCs w:val="20"/>
                <w:u w:val="single" w:color="BFBFBF"/>
              </w:rPr>
              <w:tab/>
            </w:r>
            <w:r>
              <w:rPr>
                <w:rFonts w:ascii="SimSun" w:eastAsia="SimSun" w:hAnsi="SimSun" w:cs="SimSun"/>
                <w:spacing w:val="2"/>
                <w:sz w:val="20"/>
                <w:szCs w:val="20"/>
                <w:u w:val="single" w:color="BFBFBF"/>
                <w14:textOutline w14:w="379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2023年Q1-Q4</w:t>
            </w:r>
            <w:r>
              <w:rPr>
                <w:rFonts w:ascii="SimSun" w:eastAsia="SimSun" w:hAnsi="SimSun" w:cs="SimSun"/>
                <w:spacing w:val="2"/>
                <w:sz w:val="20"/>
                <w:szCs w:val="20"/>
                <w:u w:val="single" w:color="BFBFBF"/>
              </w:rPr>
              <w:t xml:space="preserve"> </w:t>
            </w:r>
          </w:p>
        </w:tc>
        <w:tc>
          <w:tcPr>
            <w:tcW w:w="958" w:type="dxa"/>
            <w:gridSpan w:val="4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tabs>
                <w:tab w:val="left" w:pos="108"/>
              </w:tabs>
              <w:spacing w:before="53" w:line="195" w:lineRule="auto"/>
            </w:pPr>
            <w: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column">
                    <wp:posOffset>-15948</wp:posOffset>
                  </wp:positionH>
                  <wp:positionV relativeFrom="paragraph">
                    <wp:posOffset>1656</wp:posOffset>
                  </wp:positionV>
                  <wp:extent cx="605093" cy="132684"/>
                  <wp:effectExtent l="0" t="0" r="0" b="0"/>
                  <wp:wrapNone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xmlns:r="http://schemas.openxmlformats.org/officeDocument/2006/relationships"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093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2F5E7E"/>
              </w:rPr>
              <w:tab/>
            </w:r>
            <w:r>
              <w:rPr>
                <w:spacing w:val="-18"/>
                <w:w w:val="99"/>
                <w:u w:val="single" w:color="2F5E7E"/>
              </w:rPr>
              <w:t>1260582.0</w:t>
            </w:r>
            <w:r>
              <w:rPr>
                <w:u w:val="single" w:color="2F5E7E"/>
              </w:rPr>
              <w:t xml:space="preserve">   </w:t>
            </w:r>
          </w:p>
        </w:tc>
        <w:tc>
          <w:tcPr>
            <w:tcW w:w="858" w:type="dxa"/>
            <w:gridSpan w:val="3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16"/>
              <w:ind w:left="298"/>
            </w:pPr>
            <w:r>
              <w:drawing>
                <wp:anchor distT="0" distB="0" distL="0" distR="0" simplePos="0" relativeHeight="251683840" behindDoc="1" locked="0" layoutInCell="1" allowOverlap="1">
                  <wp:simplePos x="0" y="0"/>
                  <wp:positionH relativeFrom="column">
                    <wp:posOffset>3477</wp:posOffset>
                  </wp:positionH>
                  <wp:positionV relativeFrom="paragraph">
                    <wp:posOffset>1588</wp:posOffset>
                  </wp:positionV>
                  <wp:extent cx="491779" cy="132684"/>
                  <wp:effectExtent l="0" t="0" r="0" b="0"/>
                  <wp:wrapNone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xmlns:r="http://schemas.openxmlformats.org/officeDocument/2006/relationships"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779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rect id="_x0000_s1047" style="width:38.75pt;height:0.7pt;margin-top:9.88pt;margin-left:-42.13pt;mso-position-horizontal-relative:right-margin-area;mso-position-vertical-relative:top-margin-area;position:absolute;z-index:251704320" filled="t" fillcolor="#39be7f" stroked="f"/>
              </w:pict>
            </w:r>
            <w:r>
              <w:rPr>
                <w:spacing w:val="-14"/>
              </w:rPr>
              <w:t>5.2</w:t>
            </w:r>
            <w:r>
              <w:rPr>
                <w:spacing w:val="2"/>
              </w:rPr>
              <w:t xml:space="preserve">     </w:t>
            </w:r>
            <w:r>
              <w:rPr>
                <w:position w:val="-1"/>
              </w:rPr>
              <w:drawing>
                <wp:inline distT="0" distB="0" distL="0" distR="0">
                  <wp:extent cx="7554" cy="115110"/>
                  <wp:effectExtent l="0" t="0" r="0" b="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gridSpan w:val="3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tabs>
                <w:tab w:val="left" w:pos="130"/>
              </w:tabs>
              <w:spacing w:before="53" w:line="195" w:lineRule="auto"/>
              <w:ind w:left="5"/>
            </w:pPr>
            <w:r>
              <w:drawing>
                <wp:anchor distT="0" distB="0" distL="0" distR="0" simplePos="0" relativeHeight="251664384" behindDoc="1" locked="0" layoutInCell="1" allowOverlap="1">
                  <wp:simplePos x="0" y="0"/>
                  <wp:positionH relativeFrom="column">
                    <wp:posOffset>3357</wp:posOffset>
                  </wp:positionH>
                  <wp:positionV relativeFrom="paragraph">
                    <wp:posOffset>1656</wp:posOffset>
                  </wp:positionV>
                  <wp:extent cx="521996" cy="132684"/>
                  <wp:effectExtent l="0" t="0" r="0" b="0"/>
                  <wp:wrapNone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u w:val="single" w:color="2F5E7E"/>
              </w:rPr>
              <w:tab/>
            </w:r>
            <w:r>
              <w:rPr>
                <w:spacing w:val="-16"/>
                <w:u w:val="single" w:color="2F5E7E"/>
              </w:rPr>
              <w:t>89755.0</w:t>
            </w:r>
            <w:r>
              <w:rPr>
                <w:spacing w:val="1"/>
                <w:u w:val="single" w:color="2F5E7E"/>
              </w:rPr>
              <w:t xml:space="preserve">    </w:t>
            </w:r>
          </w:p>
        </w:tc>
        <w:tc>
          <w:tcPr>
            <w:tcW w:w="865" w:type="dxa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16"/>
              <w:ind w:right="10"/>
              <w:jc w:val="right"/>
            </w:pPr>
            <w:r>
              <w:drawing>
                <wp:anchor distT="0" distB="0" distL="0" distR="0" simplePos="0" relativeHeight="251666432" behindDoc="1" locked="0" layoutInCell="1" allowOverlap="1">
                  <wp:simplePos x="0" y="0"/>
                  <wp:positionH relativeFrom="column">
                    <wp:posOffset>13931</wp:posOffset>
                  </wp:positionH>
                  <wp:positionV relativeFrom="paragraph">
                    <wp:posOffset>1588</wp:posOffset>
                  </wp:positionV>
                  <wp:extent cx="521996" cy="132684"/>
                  <wp:effectExtent l="0" t="0" r="0" b="0"/>
                  <wp:wrapNone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rect id="_x0000_s1048" style="width:41.15pt;height:0.7pt;margin-top:9.88pt;margin-left:-41.65pt;mso-position-horizontal-relative:right-margin-area;mso-position-vertical-relative:top-margin-area;position:absolute;z-index:251698176" filled="t" fillcolor="#39be7f" stroked="f"/>
              </w:pict>
            </w:r>
            <w:r>
              <w:rPr>
                <w:spacing w:val="-12"/>
              </w:rPr>
              <w:t>4.1</w:t>
            </w:r>
            <w:r>
              <w:rPr>
                <w:spacing w:val="1"/>
              </w:rPr>
              <w:t xml:space="preserve">      </w:t>
            </w:r>
            <w:r>
              <w:rPr>
                <w:position w:val="-1"/>
              </w:rPr>
              <w:drawing>
                <wp:inline distT="0" distB="0" distL="0" distR="0">
                  <wp:extent cx="7554" cy="115110"/>
                  <wp:effectExtent l="0" t="0" r="0" b="0"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  <w:gridSpan w:val="4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16"/>
              <w:ind w:right="11"/>
              <w:jc w:val="right"/>
            </w:pPr>
            <w:r>
              <w:drawing>
                <wp:anchor distT="0" distB="0" distL="0" distR="0" simplePos="0" relativeHeight="251667456" behindDoc="1" locked="0" layoutInCell="1" allowOverlap="1">
                  <wp:simplePos x="0" y="0"/>
                  <wp:positionH relativeFrom="column">
                    <wp:posOffset>9365</wp:posOffset>
                  </wp:positionH>
                  <wp:positionV relativeFrom="paragraph">
                    <wp:posOffset>1588</wp:posOffset>
                  </wp:positionV>
                  <wp:extent cx="521996" cy="132684"/>
                  <wp:effectExtent l="0" t="0" r="0" b="0"/>
                  <wp:wrapNone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rect id="_x0000_s1049" style="width:41.15pt;height:0.7pt;margin-top:9.88pt;margin-left:-41.66pt;mso-position-horizontal-relative:right-margin-area;mso-position-vertical-relative:top-margin-area;position:absolute;z-index:251699200" filled="t" fillcolor="#2f5e7e" stroked="f"/>
              </w:pict>
            </w:r>
            <w:r>
              <w:rPr>
                <w:spacing w:val="-15"/>
              </w:rPr>
              <w:t>482589.0</w:t>
            </w:r>
            <w:r>
              <w:rPr>
                <w:spacing w:val="2"/>
              </w:rPr>
              <w:t xml:space="preserve">  </w:t>
            </w:r>
            <w:r>
              <w:rPr>
                <w:position w:val="-1"/>
              </w:rPr>
              <w:drawing>
                <wp:inline distT="0" distB="0" distL="0" distR="0">
                  <wp:extent cx="7554" cy="115110"/>
                  <wp:effectExtent l="0" t="0" r="0" b="0"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xmlns:r="http://schemas.openxmlformats.org/officeDocument/2006/relationships"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gridSpan w:val="2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53" w:line="195" w:lineRule="auto"/>
              <w:ind w:left="302"/>
            </w:pPr>
            <w:r>
              <w:drawing>
                <wp:anchor distT="0" distB="0" distL="0" distR="0" simplePos="0" relativeHeight="251671552" behindDoc="1" locked="0" layoutInCell="1" allowOverlap="1">
                  <wp:simplePos x="0" y="0"/>
                  <wp:positionH relativeFrom="column">
                    <wp:posOffset>9346</wp:posOffset>
                  </wp:positionH>
                  <wp:positionV relativeFrom="paragraph">
                    <wp:posOffset>1439</wp:posOffset>
                  </wp:positionV>
                  <wp:extent cx="521996" cy="132684"/>
                  <wp:effectExtent l="0" t="0" r="0" b="0"/>
                  <wp:wrapNone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xmlns:r="http://schemas.openxmlformats.org/officeDocument/2006/relationships"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9"/>
              </w:rPr>
              <w:t>4.7</w:t>
            </w:r>
          </w:p>
        </w:tc>
        <w:tc>
          <w:tcPr>
            <w:tcW w:w="871" w:type="dxa"/>
            <w:gridSpan w:val="4"/>
            <w:tcBorders>
              <w:left w:val="single" w:sz="4" w:space="0" w:color="BFBFBF"/>
              <w:right w:val="single" w:sz="4" w:space="0" w:color="BFBFBF"/>
            </w:tcBorders>
            <w:vAlign w:val="top"/>
          </w:tcPr>
          <w:p>
            <w:pPr>
              <w:pStyle w:val="TableText"/>
              <w:spacing w:before="16"/>
              <w:ind w:left="36"/>
            </w:pPr>
            <w:r>
              <w:drawing>
                <wp:anchor distT="0" distB="0" distL="0" distR="0" simplePos="0" relativeHeight="251668480" behindDoc="1" locked="0" layoutInCell="1" allowOverlap="1">
                  <wp:simplePos x="0" y="0"/>
                  <wp:positionH relativeFrom="column">
                    <wp:posOffset>23195</wp:posOffset>
                  </wp:positionH>
                  <wp:positionV relativeFrom="paragraph">
                    <wp:posOffset>1588</wp:posOffset>
                  </wp:positionV>
                  <wp:extent cx="521997" cy="132684"/>
                  <wp:effectExtent l="0" t="0" r="0" b="0"/>
                  <wp:wrapNone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xmlns:r="http://schemas.openxmlformats.org/officeDocument/2006/relationships"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7" cy="1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rect id="_x0000_s1050" style="width:41.15pt;height:0.7pt;margin-top:9.88pt;margin-left:-41.22pt;mso-position-horizontal-relative:right-margin-area;mso-position-vertical-relative:top-margin-area;position:absolute;z-index:251697152" filled="t" fillcolor="#2f5e7e" stroked="f"/>
              </w:pict>
            </w:r>
            <w:r>
              <w:rPr>
                <w:position w:val="-1"/>
              </w:rPr>
              <w:drawing>
                <wp:inline distT="0" distB="0" distL="0" distR="0">
                  <wp:extent cx="7554" cy="115110"/>
                  <wp:effectExtent l="0" t="0" r="0" b="0"/>
                  <wp:docPr id="112" name="IM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 112"/>
                          <pic:cNvPicPr/>
                        </pic:nvPicPr>
                        <pic:blipFill>
                          <a:blip xmlns:r="http://schemas.openxmlformats.org/officeDocument/2006/relationships"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" cy="1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 xml:space="preserve"> </w:t>
            </w:r>
            <w:r>
              <w:rPr>
                <w:spacing w:val="-15"/>
              </w:rPr>
              <w:t>688238.0</w:t>
            </w:r>
          </w:p>
        </w:tc>
        <w:tc>
          <w:tcPr>
            <w:tcW w:w="883" w:type="dxa"/>
            <w:gridSpan w:val="3"/>
            <w:vAlign w:val="top"/>
          </w:tcPr>
          <w:p>
            <w:pPr>
              <w:pStyle w:val="TableText"/>
              <w:spacing w:before="2" w:line="209" w:lineRule="exact"/>
              <w:ind w:firstLine="23"/>
            </w:pPr>
            <w:r>
              <w:pict>
                <v:rect id="_x0000_s1051" style="width:37.55pt;height:0.7pt;margin-top:9.88pt;margin-left:-42.48pt;mso-position-horizontal-relative:right-margin-area;mso-position-vertical-relative:top-margin-area;position:absolute;z-index:251711488" filled="t" fillcolor="#39be7f" stroked="f"/>
              </w:pict>
            </w:r>
            <w:r>
              <w:rPr>
                <w:position w:val="-4"/>
              </w:rPr>
              <w:pict>
                <v:group id="_x0000_i1052" style="width:37.55pt;height:10.45pt;mso-position-horizontal-relative:char;mso-position-vertical-relative:line" coordorigin="0,0" coordsize="750,208" filled="f" stroked="f">
                  <v:shape id="_x0000_s1053" type="#_x0000_t75" style="width:750;height:208;position:absolute" filled="f" stroked="f">
                    <v:imagedata r:id="rId67" o:title=""/>
                  </v:shape>
                  <v:shape id="_x0000_s1054" type="#_x0000_t202" style="width:790;height:248;left:-20;position:absolute;top:-20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33"/>
                            <w:ind w:right="2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4"/>
                              <w:sz w:val="18"/>
                              <w:szCs w:val="18"/>
                            </w:rPr>
                            <w:t>5.8</w:t>
                          </w:r>
                          <w:r>
                            <w:rPr>
                              <w:rFonts w:ascii="Arial" w:eastAsia="Arial" w:hAnsi="Arial" w:cs="Arial"/>
                              <w:spacing w:val="9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position w:val="-1"/>
                              <w:sz w:val="18"/>
                              <w:szCs w:val="18"/>
                            </w:rPr>
                            <w:drawing>
                              <wp:inline distT="0" distB="0" distL="0" distR="0">
                                <wp:extent cx="7554" cy="115110"/>
                                <wp:effectExtent l="0" t="0" r="0" b="0"/>
                                <wp:docPr id="114" name="IM 11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" name="IM 11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4" cy="1151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w10:wrap type="none"/>
                </v:group>
              </w:pict>
            </w:r>
          </w:p>
        </w:tc>
      </w:tr>
    </w:tbl>
    <w:p>
      <w:pPr>
        <w:spacing w:line="368" w:lineRule="auto"/>
        <w:rPr>
          <w:rFonts w:ascii="Arial"/>
          <w:sz w:val="21"/>
        </w:rPr>
      </w:pPr>
    </w:p>
    <w:p>
      <w:pPr>
        <w:pStyle w:val="BodyText"/>
        <w:spacing w:before="58" w:line="220" w:lineRule="auto"/>
        <w:ind w:left="397"/>
        <w:rPr>
          <w:sz w:val="18"/>
          <w:szCs w:val="18"/>
        </w:rPr>
      </w:pPr>
      <w:r>
        <w:rPr>
          <w:spacing w:val="-1"/>
          <w:sz w:val="18"/>
          <w:szCs w:val="18"/>
        </w:rPr>
        <w:t>数据来源：国家统计局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59" w:line="220" w:lineRule="auto"/>
        <w:ind w:left="1402"/>
        <w:rPr>
          <w:sz w:val="18"/>
          <w:szCs w:val="18"/>
        </w:rPr>
      </w:pPr>
      <w:bookmarkStart w:id="5" w:name="bookmark40"/>
      <w:bookmarkEnd w:id="5"/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图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z w:val="18"/>
          <w:szCs w:val="18"/>
        </w:rPr>
        <w:t xml:space="preserve"> 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2021</w:t>
      </w:r>
      <w:r>
        <w:rPr>
          <w:spacing w:val="-36"/>
          <w:sz w:val="18"/>
          <w:szCs w:val="18"/>
        </w:rPr>
        <w:t xml:space="preserve">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年二季度-2023</w:t>
      </w:r>
      <w:r>
        <w:rPr>
          <w:spacing w:val="-35"/>
          <w:sz w:val="18"/>
          <w:szCs w:val="18"/>
        </w:rPr>
        <w:t xml:space="preserve"> </w:t>
      </w:r>
      <w:r>
        <w:rPr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年四季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度各产业累计增加值同比增长率变动趋势</w:t>
      </w:r>
    </w:p>
    <w:tbl>
      <w:tblPr>
        <w:tblStyle w:val="TableNormal0"/>
        <w:tblW w:w="7307" w:type="dxa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2F2F2"/>
        <w:tblLayout w:type="fixed"/>
      </w:tblPr>
      <w:tblGrid>
        <w:gridCol w:w="7307"/>
      </w:tblGrid>
      <w:tr>
        <w:tblPrEx>
          <w:tblW w:w="7307" w:type="dxa"/>
          <w:tblInd w:w="73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shd w:val="clear" w:color="auto" w:fill="F2F2F2"/>
          <w:tblLayout w:type="fixed"/>
        </w:tblPrEx>
        <w:trPr>
          <w:trHeight w:val="4223"/>
        </w:trPr>
        <w:tc>
          <w:tcPr>
            <w:tcW w:w="7307" w:type="dxa"/>
            <w:shd w:val="clear" w:color="auto" w:fill="F2F2F2"/>
            <w:vAlign w:val="top"/>
          </w:tcPr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6" w:lineRule="auto"/>
              <w:rPr>
                <w:sz w:val="21"/>
              </w:rPr>
            </w:pPr>
          </w:p>
          <w:p>
            <w:pPr>
              <w:pStyle w:val="TableText"/>
              <w:spacing w:line="257" w:lineRule="auto"/>
              <w:rPr>
                <w:sz w:val="21"/>
              </w:rPr>
            </w:pPr>
          </w:p>
          <w:p>
            <w:pPr>
              <w:spacing w:line="2427" w:lineRule="exact"/>
              <w:ind w:firstLine="667"/>
            </w:pPr>
            <w:r>
              <w:rPr>
                <w:position w:val="-48"/>
              </w:rPr>
              <w:pict>
                <v:group id="_x0000_i1055" style="width:301.8pt;height:121.35pt;mso-position-horizontal-relative:char;mso-position-vertical-relative:line" coordorigin="0,0" coordsize="6035,2426" filled="f" stroked="f">
                  <v:shape id="_x0000_s1056" style="width:6035;height:1911;position:absolute;top:381" coordorigin="0,0" coordsize="6035,1911" path="m21,22c221,197,421,409,620,549c820,688,1020,706,1220,858c1419,1009,1619,1288,1819,1458c2018,1627,2218,1821,2418,1876c2618,1930,2817,1800,3017,1785c3217,1770,3417,1830,3617,1785c3816,1739,4016,1588,4216,1512c4415,1436,4615,1352,4815,1330c5015,1309,5214,1376,5414,1385c5614,1394,5814,1385,6014,1385e" filled="f" strokecolor="red" strokeweight="2.18pt">
                    <v:stroke endcap="round"/>
                  </v:shape>
                  <v:shape id="_x0000_s1057" style="width:6035;height:789;position:absolute;top:1277" coordorigin="0,0" coordsize="6035,789" path="m14,14c214,39,414,66,615,87c815,109,1015,100,1215,142c1415,185,1616,280,1816,344c2016,408,2216,472,2417,527c2617,582,2817,646,3017,674c3217,701,3418,677,3618,692c3818,707,4018,753,4219,766c4419,778,4619,775,4819,766c5019,756,5220,723,5420,711c5620,698,5820,698,6021,692e" filled="f" strokecolor="#1f497d" strokeweight="1.45pt">
                    <v:stroke endcap="round"/>
                  </v:shape>
                  <v:shape id="_x0000_s1058" style="width:6035;height:2171;position:absolute" coordorigin="0,0" coordsize="6035,2171" path="m21,22c221,277,421,587,620,787c820,988,1020,1079,1220,1225c1419,1371,1619,1511,1819,1663c2018,1815,2218,2079,2418,2137c2618,2195,2817,2027,3017,2009c3217,1991,3417,2009,3617,2027c3816,2046,4016,2134,4216,2119c4415,2103,4615,1970,4815,1936c5015,1903,5214,1930,5414,1918c5614,1906,5814,1882,6014,1863e" filled="f" strokecolor="#00b050" strokeweight="2.18pt">
                    <v:stroke endcap="round"/>
                  </v:shape>
                  <v:shape id="_x0000_s1059" style="width:6035;height:1883;position:absolute;top:543" coordorigin="0,0" coordsize="6035,1883" path="m21,22c221,162,421,332,620,442c820,552,1020,512,1220,679c1419,847,1619,1252,1819,1447c2018,1642,2218,1797,2418,1849c2618,1901,2817,1773,3017,1758c3217,1743,3417,1852,3617,1758c3816,1663,4016,1316,4216,1191c4415,1066,4615,1027,4815,1008c5015,990,5214,1063,5414,1082c5614,1100,5814,1106,6014,1118e" filled="f" strokecolor="#95b3d7" strokeweight="2.18pt">
                    <v:stroke endcap="round"/>
                  </v:shape>
                  <w10:wrap type="none"/>
                </v:group>
              </w:pict>
            </w:r>
          </w:p>
          <w:p>
            <w:pPr>
              <w:pStyle w:val="TableText"/>
              <w:spacing w:line="368" w:lineRule="auto"/>
              <w:rPr>
                <w:sz w:val="21"/>
              </w:rPr>
            </w:pPr>
          </w:p>
        </w:tc>
      </w:tr>
    </w:tbl>
    <w:p>
      <w:pPr>
        <w:sectPr>
          <w:headerReference w:type="default" r:id="rId68"/>
          <w:footerReference w:type="default" r:id="rId69"/>
          <w:pgSz w:w="11907" w:h="16839"/>
          <w:pgMar w:top="1118" w:right="1723" w:bottom="1156" w:left="1771" w:header="877" w:footer="995" w:gutter="0"/>
          <w:pgNumType w:start="11"/>
          <w:cols w:space="708"/>
        </w:sectPr>
      </w:pPr>
    </w:p>
    <w:tbl>
      <w:tblPr>
        <w:tblStyle w:val="TableNormal1"/>
        <w:tblW w:w="7307" w:type="dxa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2F2F2"/>
        <w:tblLayout w:type="fixed"/>
      </w:tblPr>
      <w:tblGrid>
        <w:gridCol w:w="7307"/>
      </w:tblGrid>
      <w:tr>
        <w:tblPrEx>
          <w:tblW w:w="7307" w:type="dxa"/>
          <w:tblInd w:w="73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shd w:val="clear" w:color="auto" w:fill="F2F2F2"/>
          <w:tblLayout w:type="fixed"/>
        </w:tblPrEx>
        <w:trPr>
          <w:trHeight w:val="4223"/>
        </w:trPr>
        <w:tc>
          <w:tcPr>
            <w:tcW w:w="7307" w:type="dxa"/>
            <w:shd w:val="clear" w:color="auto" w:fill="F2F2F2"/>
            <w:vAlign w:val="top"/>
          </w:tcPr>
          <w:p>
            <w:pPr>
              <w:spacing w:before="56" w:line="227" w:lineRule="auto"/>
              <w:ind w:left="1391"/>
              <w:rPr>
                <w:rFonts w:ascii="SimSun" w:eastAsia="SimSun" w:hAnsi="SimSun" w:cs="SimSun"/>
                <w:sz w:val="17"/>
                <w:szCs w:val="17"/>
              </w:rPr>
            </w:pPr>
            <w:r>
              <w:pict>
                <v:shape id="_x0000_s1060" type="#_x0000_t202" style="width:38.45pt;height:12.5pt;margin-top:-181.88pt;margin-left:150.9pt;position:absolute;z-index:251713536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12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第一产业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1" type="#_x0000_t202" style="width:38.55pt;height:12.5pt;margin-top:-181.88pt;margin-left:221.31pt;position:absolute;z-index:251712512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12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第二产业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2" type="#_x0000_t202" style="width:38.55pt;height:12.5pt;margin-top:-181.88pt;margin-left:291.76pt;position:absolute;z-index:251714560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12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第三产业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3" type="#_x0000_t202" style="width:54.85pt;height:12.5pt;margin-top:-181.88pt;margin-left:63.93pt;position:absolute;z-index:251725824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6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国内生产总值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4" type="#_x0000_t202" style="width:35.85pt;height:19pt;margin-top:-162.02pt;margin-left:10.65pt;position:absolute;z-index:251722752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84" w:lineRule="auto"/>
                          <w:ind w:left="20" w:right="20" w:firstLine="24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3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（%）</w:t>
                        </w:r>
                        <w:r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SimSun" w:eastAsia="SimSun" w:hAnsi="SimSun" w:cs="SimSun"/>
                            <w:spacing w:val="-5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5" type="#_x0000_t202" style="width:9.7pt;height:28.85pt;margin-top:-135.41pt;margin-left:10.64pt;position:absolute;z-index:251720704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-5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14</w:t>
                        </w:r>
                      </w:p>
                      <w:p>
                        <w:pPr>
                          <w:spacing w:before="192" w:line="18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-5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6" type="#_x0000_t202" style="width:9.75pt;height:28.85pt;margin-top:-98.92pt;margin-left:10.64pt;position:absolute;z-index:251719680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-5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</w:p>
                      <w:p>
                        <w:pPr>
                          <w:spacing w:before="192" w:line="187" w:lineRule="auto"/>
                          <w:ind w:left="94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7" type="#_x0000_t202" style="width:5.95pt;height:10.6pt;margin-top:-62.4pt;margin-left:14.42pt;position:absolute;z-index:251724800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86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8" type="#_x0000_t202" style="width:6.05pt;height:28.85pt;margin-top:-44.18pt;margin-left:14.31pt;position:absolute;z-index:251721728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86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z w:val="17"/>
                            <w:szCs w:val="17"/>
                            <w14:textOutline w14:w="3214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</w:p>
                      <w:p>
                        <w:pPr>
                          <w:spacing w:before="193" w:line="186" w:lineRule="auto"/>
                          <w:ind w:left="22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9" type="#_x0000_t202" style="width:51.4pt;height:21.95pt;margin-top:-7.67pt;margin-left:8.47pt;position:absolute;z-index:251723776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86" w:lineRule="auto"/>
                          <w:ind w:left="138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</w:p>
                      <w:p>
                        <w:pPr>
                          <w:spacing w:before="17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5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2021年Q1-Q2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0" type="#_x0000_t202" style="width:332.6pt;height:175.3pt;margin-top:-178.32pt;margin-left:17.95pt;position:absolute;z-index:251716608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1"/>
                          <w:tblW w:w="6611" w:type="dxa"/>
                          <w:tblInd w:w="20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  <w:insideH w:val="nil"/>
                            <w:insideV w:val="nil"/>
                          </w:tblBorders>
                          <w:tblLayout w:type="fixed"/>
                        </w:tblPr>
                        <w:tblGrid>
                          <w:gridCol w:w="6611"/>
                        </w:tblGrid>
                        <w:tr>
                          <w:tblPrEx>
                            <w:tblW w:w="6611" w:type="dxa"/>
                            <w:tblInd w:w="20" w:type="dxa"/>
                            <w:tbl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blBorders>
                            <w:tblLayout w:type="fixed"/>
                          </w:tblPrEx>
                          <w:trPr>
                            <w:trHeight w:val="549"/>
                          </w:trPr>
                          <w:tc>
                            <w:tcPr>
                              <w:tcW w:w="6611" w:type="dxa"/>
                              <w:tcBorders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56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56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56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41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56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56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56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868686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rPr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1" w:type="dxa"/>
                            <w:tblInd w:w="20" w:type="dxa"/>
                            <w:tblLayout w:type="fixed"/>
                          </w:tblPrEx>
                          <w:trPr>
                            <w:trHeight w:val="349"/>
                          </w:trPr>
                          <w:tc>
                            <w:tcPr>
                              <w:tcW w:w="6611" w:type="dxa"/>
                              <w:tcBorders>
                                <w:top w:val="single" w:sz="4" w:space="0" w:color="868686"/>
                                <w:bottom w:val="single" w:sz="4" w:space="0" w:color="000000"/>
                              </w:tcBorders>
                              <w:vAlign w:val="top"/>
                            </w:tcPr>
                            <w:p>
                              <w:pPr>
                                <w:pStyle w:val="TableText"/>
                                <w:spacing w:line="306" w:lineRule="auto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31" w:lineRule="exact"/>
                                <w:ind w:firstLine="604"/>
                              </w:pPr>
                              <w:r>
                                <w:drawing>
                                  <wp:inline distT="0" distB="0" distL="0" distR="0">
                                    <wp:extent cx="3430161" cy="19663"/>
                                    <wp:effectExtent l="0" t="0" r="0" b="0"/>
                                    <wp:docPr id="116" name="IM 11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6" name="IM 116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7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430161" cy="196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>
                        <w:pPr>
                          <w:pStyle w:val="TableTex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71" type="#_x0000_t202" style="width:51.35pt;height:12.45pt;margin-top:1.8pt;margin-left:188.78pt;position:absolute;z-index:251715584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5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2022年Q1-Q4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2" type="#_x0000_t202" style="width:51.4pt;height:12.45pt;margin-top:1.8pt;margin-left:248.86pt;position:absolute;z-index:25171763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5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2023年Q1-Q2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3" type="#_x0000_t202" style="width:51.4pt;height:12.45pt;margin-top:1.8pt;margin-left:308.95pt;position:absolute;z-index:251718656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227" w:lineRule="auto"/>
                          <w:ind w:left="20"/>
                          <w:rPr>
                            <w:rFonts w:ascii="SimSun" w:eastAsia="SimSun" w:hAnsi="SimSun" w:cs="SimSu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5"/>
                            <w:sz w:val="17"/>
                            <w:szCs w:val="17"/>
                            <w14:textOutline w14:w="3205" w14:cap="rnd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2023年Q1-Q4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  <w14:textOutline w14:w="3205" w14:cap="rnd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2021年Q1-Q4</w:t>
            </w: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  <w14:textOutline w14:w="3205" w14:cap="rnd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2022年Q1-Q2</w:t>
            </w:r>
          </w:p>
        </w:tc>
      </w:tr>
    </w:tbl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59" w:line="220" w:lineRule="auto"/>
        <w:ind w:left="397"/>
        <w:rPr>
          <w:sz w:val="18"/>
          <w:szCs w:val="18"/>
        </w:rPr>
      </w:pPr>
      <w:r>
        <w:rPr>
          <w:spacing w:val="-1"/>
          <w:sz w:val="18"/>
          <w:szCs w:val="18"/>
        </w:rPr>
        <w:t>数据来源：国家统计局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70" w:line="343" w:lineRule="auto"/>
        <w:ind w:left="36" w:firstLine="425"/>
        <w:jc w:val="both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工业生产稳步回升，</w:t>
      </w:r>
      <w:r>
        <w:rPr>
          <w:spacing w:val="53"/>
        </w:rPr>
        <w:t xml:space="preserve"> 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装备制造业增长较快</w:t>
      </w:r>
      <w:r>
        <w:rPr>
          <w:spacing w:val="-4"/>
        </w:rPr>
        <w:t>。2023 年全年，全国规模以上</w:t>
      </w:r>
      <w:r>
        <w:rPr>
          <w:spacing w:val="-5"/>
        </w:rPr>
        <w:t xml:space="preserve">工业增加值比 </w:t>
      </w:r>
      <w:r>
        <w:rPr>
          <w:spacing w:val="-4"/>
        </w:rPr>
        <w:t>上年增长</w:t>
      </w:r>
      <w:r>
        <w:rPr>
          <w:spacing w:val="-26"/>
        </w:rPr>
        <w:t xml:space="preserve"> </w:t>
      </w:r>
      <w:r>
        <w:rPr>
          <w:spacing w:val="-4"/>
        </w:rPr>
        <w:t>4.6%。分三大门类看， 采矿业增加值增长</w:t>
      </w:r>
      <w:r>
        <w:rPr>
          <w:spacing w:val="-22"/>
        </w:rPr>
        <w:t xml:space="preserve"> </w:t>
      </w:r>
      <w:r>
        <w:rPr>
          <w:spacing w:val="-4"/>
        </w:rPr>
        <w:t>2.3%，制造业增长 5.0%，电力、热力、</w:t>
      </w:r>
      <w:r>
        <w:t xml:space="preserve"> </w:t>
      </w:r>
      <w:r>
        <w:rPr>
          <w:spacing w:val="-3"/>
        </w:rPr>
        <w:t>燃气及水生产和供应业增长</w:t>
      </w:r>
      <w:r>
        <w:rPr>
          <w:spacing w:val="-25"/>
        </w:rPr>
        <w:t xml:space="preserve"> </w:t>
      </w:r>
      <w:r>
        <w:rPr>
          <w:spacing w:val="-3"/>
        </w:rPr>
        <w:t>4.3%。其中，</w:t>
      </w:r>
      <w:r>
        <w:rPr>
          <w:spacing w:val="-23"/>
        </w:rPr>
        <w:t xml:space="preserve"> </w:t>
      </w:r>
      <w:r>
        <w:rPr>
          <w:spacing w:val="-3"/>
        </w:rPr>
        <w:t>装备制造业增加值增长</w:t>
      </w:r>
      <w:r>
        <w:rPr>
          <w:spacing w:val="-37"/>
        </w:rPr>
        <w:t xml:space="preserve"> </w:t>
      </w:r>
      <w:r>
        <w:rPr>
          <w:spacing w:val="-3"/>
        </w:rPr>
        <w:t xml:space="preserve">6.8%，增速比规模以上工 </w:t>
      </w:r>
      <w:r>
        <w:rPr>
          <w:spacing w:val="-5"/>
        </w:rPr>
        <w:t>业快</w:t>
      </w:r>
      <w:r>
        <w:rPr>
          <w:spacing w:val="-42"/>
        </w:rPr>
        <w:t xml:space="preserve"> </w:t>
      </w:r>
      <w:r>
        <w:rPr>
          <w:spacing w:val="-5"/>
        </w:rPr>
        <w:t>2.2</w:t>
      </w:r>
      <w:r>
        <w:rPr>
          <w:spacing w:val="-44"/>
        </w:rPr>
        <w:t xml:space="preserve"> </w:t>
      </w:r>
      <w:r>
        <w:rPr>
          <w:spacing w:val="-5"/>
        </w:rPr>
        <w:t>个百分点。分产品看，</w:t>
      </w:r>
      <w:r>
        <w:rPr>
          <w:spacing w:val="-21"/>
        </w:rPr>
        <w:t xml:space="preserve"> </w:t>
      </w:r>
      <w:r>
        <w:rPr>
          <w:spacing w:val="-5"/>
        </w:rPr>
        <w:t xml:space="preserve">太阳能电池、新能源汽车、发电机组(发电设备)产品产量分 </w:t>
      </w:r>
      <w:r>
        <w:rPr>
          <w:spacing w:val="-2"/>
        </w:rPr>
        <w:t>别增长 54.0%、30.3%、28.5%。2023 年 1—</w:t>
      </w:r>
      <w:r>
        <w:rPr>
          <w:spacing w:val="-81"/>
        </w:rPr>
        <w:t xml:space="preserve"> </w:t>
      </w:r>
      <w:r>
        <w:rPr>
          <w:spacing w:val="-2"/>
        </w:rPr>
        <w:t>12 月份，全国规</w:t>
      </w:r>
      <w:r>
        <w:rPr>
          <w:spacing w:val="-3"/>
        </w:rPr>
        <w:t>模以上工业企业实现利润总额</w:t>
      </w:r>
    </w:p>
    <w:p>
      <w:pPr>
        <w:pStyle w:val="BodyText"/>
        <w:spacing w:line="219" w:lineRule="auto"/>
        <w:ind w:left="42"/>
      </w:pPr>
      <w:r>
        <w:rPr>
          <w:spacing w:val="-5"/>
        </w:rPr>
        <w:t>76858.3</w:t>
      </w:r>
      <w:r>
        <w:rPr>
          <w:spacing w:val="-34"/>
        </w:rPr>
        <w:t xml:space="preserve"> </w:t>
      </w:r>
      <w:r>
        <w:rPr>
          <w:spacing w:val="-5"/>
        </w:rPr>
        <w:t>亿元， 同比下降</w:t>
      </w:r>
      <w:r>
        <w:rPr>
          <w:spacing w:val="-44"/>
        </w:rPr>
        <w:t xml:space="preserve"> </w:t>
      </w:r>
      <w:r>
        <w:rPr>
          <w:spacing w:val="-5"/>
        </w:rPr>
        <w:t>2.3%，降幅较上年收窄</w:t>
      </w:r>
      <w:r>
        <w:rPr>
          <w:spacing w:val="-28"/>
        </w:rPr>
        <w:t xml:space="preserve"> </w:t>
      </w:r>
      <w:r>
        <w:rPr>
          <w:spacing w:val="-5"/>
        </w:rPr>
        <w:t>1.7</w:t>
      </w:r>
      <w:r>
        <w:rPr>
          <w:spacing w:val="-47"/>
        </w:rPr>
        <w:t xml:space="preserve"> </w:t>
      </w:r>
      <w:r>
        <w:rPr>
          <w:spacing w:val="-5"/>
        </w:rPr>
        <w:t>个百分点。</w:t>
      </w:r>
    </w:p>
    <w:p>
      <w:pPr>
        <w:spacing w:line="219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https://d.book118.com/475130220130011114</w:t>
        </w:r>
      </w:hyperlink>
    </w:p>
    <w:p>
      <w:pPr>
        <w:spacing w:line="219" w:lineRule="auto"/>
      </w:pPr>
    </w:p>
    <w:sectPr>
      <w:headerReference w:type="default" r:id="rId72"/>
      <w:footerReference w:type="default" r:id="rId73"/>
      <w:type w:val="nextPage"/>
      <w:pgSz w:w="11907" w:h="16839"/>
      <w:pgMar w:top="1118" w:right="1723" w:bottom="1156" w:left="1771" w:header="877" w:footer="995" w:gutter="0"/>
      <w:pgNumType w:start="12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02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  <w:r>
      <w:rPr>
        <w:rFonts w:ascii="Times New Roman" w:eastAsia="Times New Roman" w:hAnsi="Times New Roman" w:cs="Times New Roman"/>
        <w:spacing w:val="22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1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14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8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02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  <w:r>
      <w:rPr>
        <w:rFonts w:ascii="Times New Roman" w:eastAsia="Times New Roman" w:hAnsi="Times New Roman" w:cs="Times New Roman"/>
        <w:spacing w:val="22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1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02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  <w:r>
      <w:rPr>
        <w:rFonts w:ascii="Times New Roman" w:eastAsia="Times New Roman" w:hAnsi="Times New Roman" w:cs="Times New Roman"/>
        <w:spacing w:val="4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2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3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3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14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14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63"/>
      <w:rPr>
        <w:sz w:val="18"/>
        <w:szCs w:val="18"/>
      </w:rPr>
    </w:pPr>
    <w:r>
      <w:pict>
        <v:shape id="_x0000_s2049" style="width:418.3pt;height:0.75pt;margin-top:55.2pt;margin-left:88.58pt;mso-position-horizontal-relative:page;mso-position-vertical-relative:page;position:absolute;z-index:251658240" coordorigin="0,0" coordsize="8365,15" o:allowincell="f" path="m,14l8365,14l8365,l,l,14xe" filled="t" fillcolor="black" stroked="f"/>
      </w:pict>
    </w:r>
    <w:r>
      <w:rPr>
        <w:spacing w:val="-1"/>
        <w:sz w:val="18"/>
        <w:szCs w:val="18"/>
      </w:rPr>
      <w:t>国研网</w:t>
    </w:r>
    <w:r>
      <w:rPr>
        <w:spacing w:val="-35"/>
        <w:sz w:val="18"/>
        <w:szCs w:val="18"/>
      </w:rPr>
      <w:t xml:space="preserve"> </w:t>
    </w:r>
    <w:r>
      <w:rPr>
        <w:spacing w:val="-1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1"/>
        <w:sz w:val="18"/>
        <w:szCs w:val="18"/>
      </w:rPr>
      <w:t>年四季度中国通信行业分析</w:t>
    </w:r>
    <w:r>
      <w:rPr>
        <w:spacing w:val="-2"/>
        <w:sz w:val="18"/>
        <w:szCs w:val="18"/>
      </w:rPr>
      <w:t>报告                                                  目录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63"/>
      <w:rPr>
        <w:sz w:val="18"/>
        <w:szCs w:val="18"/>
      </w:rPr>
    </w:pPr>
    <w:r>
      <w:pict>
        <v:shape id="_x0000_s2050" style="width:418.3pt;height:0.75pt;margin-top:55.2pt;margin-left:88.58pt;mso-position-horizontal-relative:page;mso-position-vertical-relative:page;position:absolute;z-index:251659264" coordorigin="0,0" coordsize="8365,15" o:allowincell="f" path="m,14l8365,14l8365,l,l,14xe" filled="t" fillcolor="black" stroked="f"/>
      </w:pict>
    </w:r>
    <w:r>
      <w:rPr>
        <w:spacing w:val="-1"/>
        <w:sz w:val="18"/>
        <w:szCs w:val="18"/>
      </w:rPr>
      <w:t>国研网</w:t>
    </w:r>
    <w:r>
      <w:rPr>
        <w:spacing w:val="-35"/>
        <w:sz w:val="18"/>
        <w:szCs w:val="18"/>
      </w:rPr>
      <w:t xml:space="preserve"> </w:t>
    </w:r>
    <w:r>
      <w:rPr>
        <w:spacing w:val="-1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1"/>
        <w:sz w:val="18"/>
        <w:szCs w:val="18"/>
      </w:rPr>
      <w:t>年四季度中国通信行业分析</w:t>
    </w:r>
    <w:r>
      <w:rPr>
        <w:spacing w:val="-2"/>
        <w:sz w:val="18"/>
        <w:szCs w:val="18"/>
      </w:rPr>
      <w:t>报告                                                  目录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63"/>
      <w:rPr>
        <w:sz w:val="18"/>
        <w:szCs w:val="18"/>
      </w:rPr>
    </w:pPr>
    <w:r>
      <w:pict>
        <v:shape id="_x0000_s2051" style="width:418.3pt;height:0.75pt;margin-top:55.2pt;margin-left:88.58pt;mso-position-horizontal-relative:page;mso-position-vertical-relative:page;position:absolute;z-index:251660288" coordorigin="0,0" coordsize="8365,15" o:allowincell="f" path="m,14l8365,14l8365,l,l,14xe" filled="t" fillcolor="black" stroked="f"/>
      </w:pict>
    </w:r>
    <w:r>
      <w:rPr>
        <w:spacing w:val="-1"/>
        <w:sz w:val="18"/>
        <w:szCs w:val="18"/>
      </w:rPr>
      <w:t>国研网</w:t>
    </w:r>
    <w:r>
      <w:rPr>
        <w:spacing w:val="-35"/>
        <w:sz w:val="18"/>
        <w:szCs w:val="18"/>
      </w:rPr>
      <w:t xml:space="preserve"> </w:t>
    </w:r>
    <w:r>
      <w:rPr>
        <w:spacing w:val="-1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1"/>
        <w:sz w:val="18"/>
        <w:szCs w:val="18"/>
      </w:rPr>
      <w:t>年四季度中国通信行业分析</w:t>
    </w:r>
    <w:r>
      <w:rPr>
        <w:spacing w:val="-2"/>
        <w:sz w:val="18"/>
        <w:szCs w:val="18"/>
      </w:rPr>
      <w:t>报告                                                  目录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2" style="width:418.3pt;height:0.75pt;margin-top:55.2pt;margin-left:88.58pt;mso-position-horizontal-relative:page;mso-position-vertical-relative:page;position:absolute;z-index:251661312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年四季度中国通信行业分析报告      </w:t>
    </w:r>
    <w:r>
      <w:rPr>
        <w:spacing w:val="-1"/>
        <w:sz w:val="18"/>
        <w:szCs w:val="18"/>
      </w:rPr>
      <w:t xml:space="preserve">                                   发展环境分析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3" style="width:418.3pt;height:0.75pt;margin-top:55.2pt;margin-left:88.58pt;mso-position-horizontal-relative:page;mso-position-vertical-relative:page;position:absolute;z-index:251662336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年四季度中国通信行业分析报告      </w:t>
    </w:r>
    <w:r>
      <w:rPr>
        <w:spacing w:val="-1"/>
        <w:sz w:val="18"/>
        <w:szCs w:val="18"/>
      </w:rPr>
      <w:t xml:space="preserve">                                   发展环境分析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4" style="width:418.3pt;height:0.75pt;margin-top:55.2pt;margin-left:88.58pt;mso-position-horizontal-relative:page;mso-position-vertical-relative:page;position:absolute;z-index:251663360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年四季度中国通信行业分析报告      </w:t>
    </w:r>
    <w:r>
      <w:rPr>
        <w:spacing w:val="-1"/>
        <w:sz w:val="18"/>
        <w:szCs w:val="18"/>
      </w:rPr>
      <w:t xml:space="preserve">                                   发展环境分析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5" style="width:418.3pt;height:0.75pt;margin-top:55.2pt;margin-left:88.58pt;mso-position-horizontal-relative:page;mso-position-vertical-relative:page;position:absolute;z-index:251664384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年四季度中国通信行业分析报告      </w:t>
    </w:r>
    <w:r>
      <w:rPr>
        <w:spacing w:val="-1"/>
        <w:sz w:val="18"/>
        <w:szCs w:val="18"/>
      </w:rPr>
      <w:t xml:space="preserve">                                   发展环境分析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6" style="width:418.3pt;height:0.75pt;margin-top:55.2pt;margin-left:88.58pt;mso-position-horizontal-relative:page;mso-position-vertical-relative:page;position:absolute;z-index:251665408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年四季度中国通信行业分析报告      </w:t>
    </w:r>
    <w:r>
      <w:rPr>
        <w:spacing w:val="-1"/>
        <w:sz w:val="18"/>
        <w:szCs w:val="18"/>
      </w:rPr>
      <w:t xml:space="preserve">                                   发展环境分析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7" style="width:418.3pt;height:0.75pt;margin-top:55.2pt;margin-left:88.58pt;mso-position-horizontal-relative:page;mso-position-vertical-relative:page;position:absolute;z-index:251666432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年四季度中国通信行业分析报告      </w:t>
    </w:r>
    <w:r>
      <w:rPr>
        <w:spacing w:val="-1"/>
        <w:sz w:val="18"/>
        <w:szCs w:val="18"/>
      </w:rPr>
      <w:t xml:space="preserve">                                   发展环境分析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8"/>
      <w:szCs w:val="18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5.xml" /><Relationship Id="rId12" Type="http://schemas.openxmlformats.org/officeDocument/2006/relationships/header" Target="header3.xml" /><Relationship Id="rId13" Type="http://schemas.openxmlformats.org/officeDocument/2006/relationships/footer" Target="footer6.xml" /><Relationship Id="rId14" Type="http://schemas.openxmlformats.org/officeDocument/2006/relationships/header" Target="header4.xml" /><Relationship Id="rId15" Type="http://schemas.openxmlformats.org/officeDocument/2006/relationships/footer" Target="footer7.xml" /><Relationship Id="rId16" Type="http://schemas.openxmlformats.org/officeDocument/2006/relationships/header" Target="header5.xml" /><Relationship Id="rId17" Type="http://schemas.openxmlformats.org/officeDocument/2006/relationships/footer" Target="footer8.xml" /><Relationship Id="rId18" Type="http://schemas.openxmlformats.org/officeDocument/2006/relationships/header" Target="header6.xml" /><Relationship Id="rId19" Type="http://schemas.openxmlformats.org/officeDocument/2006/relationships/footer" Target="footer9.xml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footer" Target="footer10.xml" /><Relationship Id="rId22" Type="http://schemas.openxmlformats.org/officeDocument/2006/relationships/image" Target="media/image2.jpeg" /><Relationship Id="rId23" Type="http://schemas.openxmlformats.org/officeDocument/2006/relationships/image" Target="media/image3.jpeg" /><Relationship Id="rId24" Type="http://schemas.openxmlformats.org/officeDocument/2006/relationships/image" Target="media/image4.jpeg" /><Relationship Id="rId25" Type="http://schemas.openxmlformats.org/officeDocument/2006/relationships/image" Target="media/image5.jpeg" /><Relationship Id="rId26" Type="http://schemas.openxmlformats.org/officeDocument/2006/relationships/image" Target="media/image6.png" /><Relationship Id="rId27" Type="http://schemas.openxmlformats.org/officeDocument/2006/relationships/image" Target="media/image7.jpeg" /><Relationship Id="rId28" Type="http://schemas.openxmlformats.org/officeDocument/2006/relationships/image" Target="media/image8.png" /><Relationship Id="rId29" Type="http://schemas.openxmlformats.org/officeDocument/2006/relationships/image" Target="media/image9.jpeg" /><Relationship Id="rId3" Type="http://schemas.openxmlformats.org/officeDocument/2006/relationships/fontTable" Target="fontTable.xml" /><Relationship Id="rId30" Type="http://schemas.openxmlformats.org/officeDocument/2006/relationships/image" Target="media/image10.png" /><Relationship Id="rId31" Type="http://schemas.openxmlformats.org/officeDocument/2006/relationships/image" Target="media/image11.jpeg" /><Relationship Id="rId32" Type="http://schemas.openxmlformats.org/officeDocument/2006/relationships/image" Target="media/image12.png" /><Relationship Id="rId33" Type="http://schemas.openxmlformats.org/officeDocument/2006/relationships/image" Target="media/image13.jpeg" /><Relationship Id="rId34" Type="http://schemas.openxmlformats.org/officeDocument/2006/relationships/image" Target="media/image14.jpeg" /><Relationship Id="rId35" Type="http://schemas.openxmlformats.org/officeDocument/2006/relationships/image" Target="media/image15.jpeg" /><Relationship Id="rId36" Type="http://schemas.openxmlformats.org/officeDocument/2006/relationships/image" Target="media/image16.jpeg" /><Relationship Id="rId37" Type="http://schemas.openxmlformats.org/officeDocument/2006/relationships/image" Target="media/image17.jpeg" /><Relationship Id="rId38" Type="http://schemas.openxmlformats.org/officeDocument/2006/relationships/image" Target="media/image18.png" /><Relationship Id="rId39" Type="http://schemas.openxmlformats.org/officeDocument/2006/relationships/image" Target="media/image19.jpeg" /><Relationship Id="rId4" Type="http://schemas.openxmlformats.org/officeDocument/2006/relationships/image" Target="media/image1.jpeg" /><Relationship Id="rId40" Type="http://schemas.openxmlformats.org/officeDocument/2006/relationships/image" Target="media/image20.jpeg" /><Relationship Id="rId41" Type="http://schemas.openxmlformats.org/officeDocument/2006/relationships/image" Target="media/image21.jpeg" /><Relationship Id="rId42" Type="http://schemas.openxmlformats.org/officeDocument/2006/relationships/image" Target="media/image22.jpeg" /><Relationship Id="rId43" Type="http://schemas.openxmlformats.org/officeDocument/2006/relationships/image" Target="media/image23.jpeg" /><Relationship Id="rId44" Type="http://schemas.openxmlformats.org/officeDocument/2006/relationships/image" Target="media/image24.jpeg" /><Relationship Id="rId45" Type="http://schemas.openxmlformats.org/officeDocument/2006/relationships/image" Target="media/image25.jpeg" /><Relationship Id="rId46" Type="http://schemas.openxmlformats.org/officeDocument/2006/relationships/image" Target="media/image26.jpeg" /><Relationship Id="rId47" Type="http://schemas.openxmlformats.org/officeDocument/2006/relationships/image" Target="media/image27.jpeg" /><Relationship Id="rId48" Type="http://schemas.openxmlformats.org/officeDocument/2006/relationships/image" Target="media/image28.jpeg" /><Relationship Id="rId49" Type="http://schemas.openxmlformats.org/officeDocument/2006/relationships/image" Target="media/image29.png" /><Relationship Id="rId5" Type="http://schemas.openxmlformats.org/officeDocument/2006/relationships/footer" Target="footer1.xml" /><Relationship Id="rId50" Type="http://schemas.openxmlformats.org/officeDocument/2006/relationships/image" Target="media/image30.jpeg" /><Relationship Id="rId51" Type="http://schemas.openxmlformats.org/officeDocument/2006/relationships/image" Target="media/image31.png" /><Relationship Id="rId52" Type="http://schemas.openxmlformats.org/officeDocument/2006/relationships/image" Target="media/image32.jpeg" /><Relationship Id="rId53" Type="http://schemas.openxmlformats.org/officeDocument/2006/relationships/image" Target="media/image33.jpeg" /><Relationship Id="rId54" Type="http://schemas.openxmlformats.org/officeDocument/2006/relationships/image" Target="media/image34.jpeg" /><Relationship Id="rId55" Type="http://schemas.openxmlformats.org/officeDocument/2006/relationships/image" Target="media/image35.jpeg" /><Relationship Id="rId56" Type="http://schemas.openxmlformats.org/officeDocument/2006/relationships/image" Target="media/image36.jpeg" /><Relationship Id="rId57" Type="http://schemas.openxmlformats.org/officeDocument/2006/relationships/image" Target="media/image37.jpeg" /><Relationship Id="rId58" Type="http://schemas.openxmlformats.org/officeDocument/2006/relationships/image" Target="media/image38.jpeg" /><Relationship Id="rId59" Type="http://schemas.openxmlformats.org/officeDocument/2006/relationships/image" Target="media/image39.jpeg" /><Relationship Id="rId6" Type="http://schemas.openxmlformats.org/officeDocument/2006/relationships/footer" Target="footer2.xml" /><Relationship Id="rId60" Type="http://schemas.openxmlformats.org/officeDocument/2006/relationships/image" Target="media/image40.jpeg" /><Relationship Id="rId61" Type="http://schemas.openxmlformats.org/officeDocument/2006/relationships/image" Target="media/image41.jpeg" /><Relationship Id="rId62" Type="http://schemas.openxmlformats.org/officeDocument/2006/relationships/image" Target="media/image42.jpeg" /><Relationship Id="rId63" Type="http://schemas.openxmlformats.org/officeDocument/2006/relationships/image" Target="media/image43.jpeg" /><Relationship Id="rId64" Type="http://schemas.openxmlformats.org/officeDocument/2006/relationships/image" Target="media/image44.png" /><Relationship Id="rId65" Type="http://schemas.openxmlformats.org/officeDocument/2006/relationships/image" Target="media/image45.jpeg" /><Relationship Id="rId66" Type="http://schemas.openxmlformats.org/officeDocument/2006/relationships/image" Target="media/image46.jpeg" /><Relationship Id="rId67" Type="http://schemas.openxmlformats.org/officeDocument/2006/relationships/image" Target="media/image47.jpeg" /><Relationship Id="rId68" Type="http://schemas.openxmlformats.org/officeDocument/2006/relationships/header" Target="header8.xml" /><Relationship Id="rId69" Type="http://schemas.openxmlformats.org/officeDocument/2006/relationships/footer" Target="footer11.xml" /><Relationship Id="rId7" Type="http://schemas.openxmlformats.org/officeDocument/2006/relationships/footer" Target="footer3.xml" /><Relationship Id="rId70" Type="http://schemas.openxmlformats.org/officeDocument/2006/relationships/image" Target="media/image48.png" /><Relationship Id="rId71" Type="http://schemas.openxmlformats.org/officeDocument/2006/relationships/hyperlink" Target="https://d.book118.com/475130220130011114" TargetMode="External" /><Relationship Id="rId72" Type="http://schemas.openxmlformats.org/officeDocument/2006/relationships/header" Target="header9.xml" /><Relationship Id="rId73" Type="http://schemas.openxmlformats.org/officeDocument/2006/relationships/footer" Target="footer12.xml" /><Relationship Id="rId74" Type="http://schemas.openxmlformats.org/officeDocument/2006/relationships/theme" Target="theme/theme1.xml" /><Relationship Id="rId75" Type="http://schemas.openxmlformats.org/officeDocument/2006/relationships/styles" Target="styles.xml" /><Relationship Id="rId8" Type="http://schemas.openxmlformats.org/officeDocument/2006/relationships/header" Target="header1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行业季度分析报告</dc:title>
  <dc:creator>AC-02</dc:creator>
  <cp:revision>0</cp:revision>
  <dcterms:created xsi:type="dcterms:W3CDTF">2024-03-04T20:18:43Z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2024-03-04T20:27:43Z</vt:filetime>
  </property>
  <property fmtid="{D5CDD505-2E9C-101B-9397-08002B2CF9AE}" pid="3" name="CRO">
    <vt:lpwstr>wqlLaW5nc29mdCBQREYgdG8gV1BTIDkw</vt:lpwstr>
  </property>
</Properties>
</file>