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激光转速测量仪项目计划设计方案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61" w:history="1">
        <w:r>
          <w:rPr>
            <w:rFonts w:ascii="仿宋" w:eastAsia="仿宋" w:hAnsi="仿宋" w:cs="仿宋" w:hint="eastAsia"/>
            <w:lang w:eastAsia="zh-CN"/>
          </w:rPr>
          <w:t>序言</w:t>
        </w:r>
        <w:r>
          <w:tab/>
        </w:r>
        <w:r>
          <w:fldChar w:fldCharType="begin"/>
        </w:r>
        <w:r>
          <w:instrText xml:space="preserve"> PAGEREF _Toc3761 \h </w:instrText>
        </w:r>
        <w:r>
          <w:fldChar w:fldCharType="separate"/>
        </w:r>
        <w:r>
          <w:t>3</w:t>
        </w:r>
        <w:r>
          <w:fldChar w:fldCharType="end"/>
        </w:r>
      </w:hyperlink>
    </w:p>
    <w:p>
      <w:pPr>
        <w:pStyle w:val="TOC1"/>
        <w:tabs>
          <w:tab w:val="right" w:leader="dot" w:pos="8306"/>
        </w:tabs>
      </w:pPr>
      <w:hyperlink w:anchor="_Toc14797" w:history="1">
        <w:r>
          <w:rPr>
            <w:rFonts w:ascii="仿宋" w:eastAsia="仿宋" w:hAnsi="仿宋" w:cs="仿宋" w:hint="eastAsia"/>
            <w:lang w:eastAsia="zh-CN"/>
          </w:rPr>
          <w:t>一、激光转速测量仪项目可持续发展</w:t>
        </w:r>
        <w:r>
          <w:tab/>
        </w:r>
        <w:r>
          <w:fldChar w:fldCharType="begin"/>
        </w:r>
        <w:r>
          <w:instrText xml:space="preserve"> PAGEREF _Toc14797 \h </w:instrText>
        </w:r>
        <w:r>
          <w:fldChar w:fldCharType="separate"/>
        </w:r>
        <w:r>
          <w:t>3</w:t>
        </w:r>
        <w:r>
          <w:fldChar w:fldCharType="end"/>
        </w:r>
      </w:hyperlink>
    </w:p>
    <w:p>
      <w:pPr>
        <w:pStyle w:val="TOC2"/>
        <w:tabs>
          <w:tab w:val="right" w:leader="dot" w:pos="8306"/>
        </w:tabs>
      </w:pPr>
      <w:hyperlink w:anchor="_Toc6283" w:history="1">
        <w:r>
          <w:rPr>
            <w:rFonts w:ascii="仿宋" w:eastAsia="仿宋" w:hAnsi="仿宋" w:cs="仿宋" w:hint="eastAsia"/>
            <w:lang w:eastAsia="zh-CN"/>
          </w:rPr>
          <w:t>(一)、可持续战略与实践</w:t>
        </w:r>
        <w:r>
          <w:tab/>
        </w:r>
        <w:r>
          <w:fldChar w:fldCharType="begin"/>
        </w:r>
        <w:r>
          <w:instrText xml:space="preserve"> PAGEREF _Toc6283 \h </w:instrText>
        </w:r>
        <w:r>
          <w:fldChar w:fldCharType="separate"/>
        </w:r>
        <w:r>
          <w:t>3</w:t>
        </w:r>
        <w:r>
          <w:fldChar w:fldCharType="end"/>
        </w:r>
      </w:hyperlink>
    </w:p>
    <w:p>
      <w:pPr>
        <w:pStyle w:val="TOC2"/>
        <w:tabs>
          <w:tab w:val="right" w:leader="dot" w:pos="8306"/>
        </w:tabs>
      </w:pPr>
      <w:hyperlink w:anchor="_Toc9231" w:history="1">
        <w:r>
          <w:rPr>
            <w:rFonts w:ascii="仿宋" w:eastAsia="仿宋" w:hAnsi="仿宋" w:cs="仿宋" w:hint="eastAsia"/>
            <w:lang w:eastAsia="zh-CN"/>
          </w:rPr>
          <w:t>(二)、环保与社会责任</w:t>
        </w:r>
        <w:r>
          <w:tab/>
        </w:r>
        <w:r>
          <w:fldChar w:fldCharType="begin"/>
        </w:r>
        <w:r>
          <w:instrText xml:space="preserve"> PAGEREF _Toc9231 \h </w:instrText>
        </w:r>
        <w:r>
          <w:fldChar w:fldCharType="separate"/>
        </w:r>
        <w:r>
          <w:t>4</w:t>
        </w:r>
        <w:r>
          <w:fldChar w:fldCharType="end"/>
        </w:r>
      </w:hyperlink>
    </w:p>
    <w:p>
      <w:pPr>
        <w:pStyle w:val="TOC1"/>
        <w:tabs>
          <w:tab w:val="right" w:leader="dot" w:pos="8306"/>
        </w:tabs>
      </w:pPr>
      <w:hyperlink w:anchor="_Toc29309" w:history="1">
        <w:r>
          <w:rPr>
            <w:rFonts w:ascii="仿宋" w:eastAsia="仿宋" w:hAnsi="仿宋" w:cs="仿宋" w:hint="eastAsia"/>
            <w:lang w:eastAsia="zh-CN"/>
          </w:rPr>
          <w:t>二、激光转速测量仪项目建设背景及必要性分析</w:t>
        </w:r>
        <w:r>
          <w:tab/>
        </w:r>
        <w:r>
          <w:fldChar w:fldCharType="begin"/>
        </w:r>
        <w:r>
          <w:instrText xml:space="preserve"> PAGEREF _Toc29309 \h </w:instrText>
        </w:r>
        <w:r>
          <w:fldChar w:fldCharType="separate"/>
        </w:r>
        <w:r>
          <w:t>5</w:t>
        </w:r>
        <w:r>
          <w:fldChar w:fldCharType="end"/>
        </w:r>
      </w:hyperlink>
    </w:p>
    <w:p>
      <w:pPr>
        <w:pStyle w:val="TOC2"/>
        <w:tabs>
          <w:tab w:val="right" w:leader="dot" w:pos="8306"/>
        </w:tabs>
      </w:pPr>
      <w:hyperlink w:anchor="_Toc15282" w:history="1">
        <w:r>
          <w:rPr>
            <w:rFonts w:ascii="仿宋" w:eastAsia="仿宋" w:hAnsi="仿宋" w:cs="仿宋" w:hint="eastAsia"/>
            <w:lang w:eastAsia="zh-CN"/>
          </w:rPr>
          <w:t>(一)、激光转速测量仪项目背景分析</w:t>
        </w:r>
        <w:r>
          <w:tab/>
        </w:r>
        <w:r>
          <w:fldChar w:fldCharType="begin"/>
        </w:r>
        <w:r>
          <w:instrText xml:space="preserve"> PAGEREF _Toc15282 \h </w:instrText>
        </w:r>
        <w:r>
          <w:fldChar w:fldCharType="separate"/>
        </w:r>
        <w:r>
          <w:t>5</w:t>
        </w:r>
        <w:r>
          <w:fldChar w:fldCharType="end"/>
        </w:r>
      </w:hyperlink>
    </w:p>
    <w:p>
      <w:pPr>
        <w:pStyle w:val="TOC2"/>
        <w:tabs>
          <w:tab w:val="right" w:leader="dot" w:pos="8306"/>
        </w:tabs>
      </w:pPr>
      <w:hyperlink w:anchor="_Toc27719" w:history="1">
        <w:r>
          <w:rPr>
            <w:rFonts w:ascii="仿宋" w:eastAsia="仿宋" w:hAnsi="仿宋" w:cs="仿宋" w:hint="eastAsia"/>
            <w:lang w:eastAsia="zh-CN"/>
          </w:rPr>
          <w:t>(二)、激光转速测量仪项目建设必要性分析</w:t>
        </w:r>
        <w:r>
          <w:tab/>
        </w:r>
        <w:r>
          <w:fldChar w:fldCharType="begin"/>
        </w:r>
        <w:r>
          <w:instrText xml:space="preserve"> PAGEREF _Toc27719 \h </w:instrText>
        </w:r>
        <w:r>
          <w:fldChar w:fldCharType="separate"/>
        </w:r>
        <w:r>
          <w:t>6</w:t>
        </w:r>
        <w:r>
          <w:fldChar w:fldCharType="end"/>
        </w:r>
      </w:hyperlink>
    </w:p>
    <w:p>
      <w:pPr>
        <w:pStyle w:val="TOC1"/>
        <w:tabs>
          <w:tab w:val="right" w:leader="dot" w:pos="8306"/>
        </w:tabs>
      </w:pPr>
      <w:hyperlink w:anchor="_Toc30941" w:history="1">
        <w:r>
          <w:rPr>
            <w:rFonts w:ascii="仿宋" w:eastAsia="仿宋" w:hAnsi="仿宋" w:cs="仿宋" w:hint="eastAsia"/>
            <w:lang w:eastAsia="zh-CN"/>
          </w:rPr>
          <w:t>三、激光转速测量仪项目绩效评估</w:t>
        </w:r>
        <w:r>
          <w:tab/>
        </w:r>
        <w:r>
          <w:fldChar w:fldCharType="begin"/>
        </w:r>
        <w:r>
          <w:instrText xml:space="preserve"> PAGEREF _Toc30941 \h </w:instrText>
        </w:r>
        <w:r>
          <w:fldChar w:fldCharType="separate"/>
        </w:r>
        <w:r>
          <w:t>8</w:t>
        </w:r>
        <w:r>
          <w:fldChar w:fldCharType="end"/>
        </w:r>
      </w:hyperlink>
    </w:p>
    <w:p>
      <w:pPr>
        <w:pStyle w:val="TOC2"/>
        <w:tabs>
          <w:tab w:val="right" w:leader="dot" w:pos="8306"/>
        </w:tabs>
      </w:pPr>
      <w:hyperlink w:anchor="_Toc28494" w:history="1">
        <w:r>
          <w:rPr>
            <w:rFonts w:ascii="仿宋" w:eastAsia="仿宋" w:hAnsi="仿宋" w:cs="仿宋" w:hint="eastAsia"/>
            <w:lang w:eastAsia="zh-CN"/>
          </w:rPr>
          <w:t>(一)、绩效评估指标</w:t>
        </w:r>
        <w:r>
          <w:tab/>
        </w:r>
        <w:r>
          <w:fldChar w:fldCharType="begin"/>
        </w:r>
        <w:r>
          <w:instrText xml:space="preserve"> PAGEREF _Toc28494 \h </w:instrText>
        </w:r>
        <w:r>
          <w:fldChar w:fldCharType="separate"/>
        </w:r>
        <w:r>
          <w:t>8</w:t>
        </w:r>
        <w:r>
          <w:fldChar w:fldCharType="end"/>
        </w:r>
      </w:hyperlink>
    </w:p>
    <w:p>
      <w:pPr>
        <w:pStyle w:val="TOC2"/>
        <w:tabs>
          <w:tab w:val="right" w:leader="dot" w:pos="8306"/>
        </w:tabs>
      </w:pPr>
      <w:hyperlink w:anchor="_Toc4560" w:history="1">
        <w:r>
          <w:rPr>
            <w:rFonts w:ascii="仿宋" w:eastAsia="仿宋" w:hAnsi="仿宋" w:cs="仿宋" w:hint="eastAsia"/>
            <w:lang w:eastAsia="zh-CN"/>
          </w:rPr>
          <w:t>(二)、绩效评估方法</w:t>
        </w:r>
        <w:r>
          <w:tab/>
        </w:r>
        <w:r>
          <w:fldChar w:fldCharType="begin"/>
        </w:r>
        <w:r>
          <w:instrText xml:space="preserve"> PAGEREF _Toc4560 \h </w:instrText>
        </w:r>
        <w:r>
          <w:fldChar w:fldCharType="separate"/>
        </w:r>
        <w:r>
          <w:t>9</w:t>
        </w:r>
        <w:r>
          <w:fldChar w:fldCharType="end"/>
        </w:r>
      </w:hyperlink>
    </w:p>
    <w:p>
      <w:pPr>
        <w:pStyle w:val="TOC2"/>
        <w:tabs>
          <w:tab w:val="right" w:leader="dot" w:pos="8306"/>
        </w:tabs>
      </w:pPr>
      <w:hyperlink w:anchor="_Toc18812" w:history="1">
        <w:r>
          <w:rPr>
            <w:rFonts w:ascii="仿宋" w:eastAsia="仿宋" w:hAnsi="仿宋" w:cs="仿宋" w:hint="eastAsia"/>
            <w:lang w:eastAsia="zh-CN"/>
          </w:rPr>
          <w:t>(三)、绩效评估周期</w:t>
        </w:r>
        <w:r>
          <w:tab/>
        </w:r>
        <w:r>
          <w:fldChar w:fldCharType="begin"/>
        </w:r>
        <w:r>
          <w:instrText xml:space="preserve"> PAGEREF _Toc18812 \h </w:instrText>
        </w:r>
        <w:r>
          <w:fldChar w:fldCharType="separate"/>
        </w:r>
        <w:r>
          <w:t>10</w:t>
        </w:r>
        <w:r>
          <w:fldChar w:fldCharType="end"/>
        </w:r>
      </w:hyperlink>
    </w:p>
    <w:p>
      <w:pPr>
        <w:pStyle w:val="TOC1"/>
        <w:tabs>
          <w:tab w:val="right" w:leader="dot" w:pos="8306"/>
        </w:tabs>
      </w:pPr>
      <w:hyperlink w:anchor="_Toc29392" w:history="1">
        <w:r>
          <w:rPr>
            <w:rFonts w:ascii="仿宋" w:eastAsia="仿宋" w:hAnsi="仿宋" w:cs="仿宋" w:hint="eastAsia"/>
            <w:lang w:eastAsia="zh-CN"/>
          </w:rPr>
          <w:t>四、产品规划分析</w:t>
        </w:r>
        <w:r>
          <w:tab/>
        </w:r>
        <w:r>
          <w:fldChar w:fldCharType="begin"/>
        </w:r>
        <w:r>
          <w:instrText xml:space="preserve"> PAGEREF _Toc29392 \h </w:instrText>
        </w:r>
        <w:r>
          <w:fldChar w:fldCharType="separate"/>
        </w:r>
        <w:r>
          <w:t>11</w:t>
        </w:r>
        <w:r>
          <w:fldChar w:fldCharType="end"/>
        </w:r>
      </w:hyperlink>
    </w:p>
    <w:p>
      <w:pPr>
        <w:pStyle w:val="TOC2"/>
        <w:tabs>
          <w:tab w:val="right" w:leader="dot" w:pos="8306"/>
        </w:tabs>
      </w:pPr>
      <w:hyperlink w:anchor="_Toc15355" w:history="1">
        <w:r>
          <w:rPr>
            <w:rFonts w:ascii="仿宋" w:eastAsia="仿宋" w:hAnsi="仿宋" w:cs="仿宋" w:hint="eastAsia"/>
            <w:lang w:eastAsia="zh-CN"/>
          </w:rPr>
          <w:t>(一)、产品规划</w:t>
        </w:r>
        <w:r>
          <w:tab/>
        </w:r>
        <w:r>
          <w:fldChar w:fldCharType="begin"/>
        </w:r>
        <w:r>
          <w:instrText xml:space="preserve"> PAGEREF _Toc15355 \h </w:instrText>
        </w:r>
        <w:r>
          <w:fldChar w:fldCharType="separate"/>
        </w:r>
        <w:r>
          <w:t>11</w:t>
        </w:r>
        <w:r>
          <w:fldChar w:fldCharType="end"/>
        </w:r>
      </w:hyperlink>
    </w:p>
    <w:p>
      <w:pPr>
        <w:pStyle w:val="TOC2"/>
        <w:tabs>
          <w:tab w:val="right" w:leader="dot" w:pos="8306"/>
        </w:tabs>
      </w:pPr>
      <w:hyperlink w:anchor="_Toc11889" w:history="1">
        <w:r>
          <w:rPr>
            <w:rFonts w:ascii="仿宋" w:eastAsia="仿宋" w:hAnsi="仿宋" w:cs="仿宋" w:hint="eastAsia"/>
            <w:lang w:eastAsia="zh-CN"/>
          </w:rPr>
          <w:t>(二)、建设规模</w:t>
        </w:r>
        <w:r>
          <w:tab/>
        </w:r>
        <w:r>
          <w:fldChar w:fldCharType="begin"/>
        </w:r>
        <w:r>
          <w:instrText xml:space="preserve"> PAGEREF _Toc11889 \h </w:instrText>
        </w:r>
        <w:r>
          <w:fldChar w:fldCharType="separate"/>
        </w:r>
        <w:r>
          <w:t>12</w:t>
        </w:r>
        <w:r>
          <w:fldChar w:fldCharType="end"/>
        </w:r>
      </w:hyperlink>
    </w:p>
    <w:p>
      <w:pPr>
        <w:pStyle w:val="TOC1"/>
        <w:tabs>
          <w:tab w:val="right" w:leader="dot" w:pos="8306"/>
        </w:tabs>
      </w:pPr>
      <w:hyperlink w:anchor="_Toc21725" w:history="1">
        <w:r>
          <w:rPr>
            <w:rFonts w:ascii="仿宋" w:eastAsia="仿宋" w:hAnsi="仿宋" w:cs="仿宋" w:hint="eastAsia"/>
            <w:lang w:eastAsia="zh-CN"/>
          </w:rPr>
          <w:t>五、激光转速测量仪项目危机管理</w:t>
        </w:r>
        <w:r>
          <w:tab/>
        </w:r>
        <w:r>
          <w:fldChar w:fldCharType="begin"/>
        </w:r>
        <w:r>
          <w:instrText xml:space="preserve"> PAGEREF _Toc21725 \h </w:instrText>
        </w:r>
        <w:r>
          <w:fldChar w:fldCharType="separate"/>
        </w:r>
        <w:r>
          <w:t>13</w:t>
        </w:r>
        <w:r>
          <w:fldChar w:fldCharType="end"/>
        </w:r>
      </w:hyperlink>
    </w:p>
    <w:p>
      <w:pPr>
        <w:pStyle w:val="TOC2"/>
        <w:tabs>
          <w:tab w:val="right" w:leader="dot" w:pos="8306"/>
        </w:tabs>
      </w:pPr>
      <w:hyperlink w:anchor="_Toc28960" w:history="1">
        <w:r>
          <w:rPr>
            <w:rFonts w:ascii="仿宋" w:eastAsia="仿宋" w:hAnsi="仿宋" w:cs="仿宋" w:hint="eastAsia"/>
            <w:lang w:eastAsia="zh-CN"/>
          </w:rPr>
          <w:t>(一)、危机预警与识别</w:t>
        </w:r>
        <w:r>
          <w:tab/>
        </w:r>
        <w:r>
          <w:fldChar w:fldCharType="begin"/>
        </w:r>
        <w:r>
          <w:instrText xml:space="preserve"> PAGEREF _Toc28960 \h </w:instrText>
        </w:r>
        <w:r>
          <w:fldChar w:fldCharType="separate"/>
        </w:r>
        <w:r>
          <w:t>13</w:t>
        </w:r>
        <w:r>
          <w:fldChar w:fldCharType="end"/>
        </w:r>
      </w:hyperlink>
    </w:p>
    <w:p>
      <w:pPr>
        <w:pStyle w:val="TOC2"/>
        <w:tabs>
          <w:tab w:val="right" w:leader="dot" w:pos="8306"/>
        </w:tabs>
      </w:pPr>
      <w:hyperlink w:anchor="_Toc4849" w:history="1">
        <w:r>
          <w:rPr>
            <w:rFonts w:ascii="仿宋" w:eastAsia="仿宋" w:hAnsi="仿宋" w:cs="仿宋" w:hint="eastAsia"/>
            <w:lang w:eastAsia="zh-CN"/>
          </w:rPr>
          <w:t>(二)、危机应对与恢复</w:t>
        </w:r>
        <w:r>
          <w:tab/>
        </w:r>
        <w:r>
          <w:fldChar w:fldCharType="begin"/>
        </w:r>
        <w:r>
          <w:instrText xml:space="preserve"> PAGEREF _Toc4849 \h </w:instrText>
        </w:r>
        <w:r>
          <w:fldChar w:fldCharType="separate"/>
        </w:r>
        <w:r>
          <w:t>14</w:t>
        </w:r>
        <w:r>
          <w:fldChar w:fldCharType="end"/>
        </w:r>
      </w:hyperlink>
    </w:p>
    <w:p>
      <w:pPr>
        <w:pStyle w:val="TOC1"/>
        <w:tabs>
          <w:tab w:val="right" w:leader="dot" w:pos="8306"/>
        </w:tabs>
      </w:pPr>
      <w:hyperlink w:anchor="_Toc6690" w:history="1">
        <w:r>
          <w:rPr>
            <w:rFonts w:ascii="仿宋" w:eastAsia="仿宋" w:hAnsi="仿宋" w:cs="仿宋" w:hint="eastAsia"/>
            <w:lang w:eastAsia="zh-CN"/>
          </w:rPr>
          <w:t>六、激光转速测量仪项目文档管理</w:t>
        </w:r>
        <w:r>
          <w:tab/>
        </w:r>
        <w:r>
          <w:fldChar w:fldCharType="begin"/>
        </w:r>
        <w:r>
          <w:instrText xml:space="preserve"> PAGEREF _Toc6690 \h </w:instrText>
        </w:r>
        <w:r>
          <w:fldChar w:fldCharType="separate"/>
        </w:r>
        <w:r>
          <w:t>16</w:t>
        </w:r>
        <w:r>
          <w:fldChar w:fldCharType="end"/>
        </w:r>
      </w:hyperlink>
    </w:p>
    <w:p>
      <w:pPr>
        <w:pStyle w:val="TOC2"/>
        <w:tabs>
          <w:tab w:val="right" w:leader="dot" w:pos="8306"/>
        </w:tabs>
      </w:pPr>
      <w:hyperlink w:anchor="_Toc3412" w:history="1">
        <w:r>
          <w:rPr>
            <w:rFonts w:ascii="仿宋" w:eastAsia="仿宋" w:hAnsi="仿宋" w:cs="仿宋" w:hint="eastAsia"/>
            <w:lang w:eastAsia="zh-CN"/>
          </w:rPr>
          <w:t>(一)、文档编制与审查</w:t>
        </w:r>
        <w:r>
          <w:tab/>
        </w:r>
        <w:r>
          <w:fldChar w:fldCharType="begin"/>
        </w:r>
        <w:r>
          <w:instrText xml:space="preserve"> PAGEREF _Toc3412 \h </w:instrText>
        </w:r>
        <w:r>
          <w:fldChar w:fldCharType="separate"/>
        </w:r>
        <w:r>
          <w:t>16</w:t>
        </w:r>
        <w:r>
          <w:fldChar w:fldCharType="end"/>
        </w:r>
      </w:hyperlink>
    </w:p>
    <w:p>
      <w:pPr>
        <w:pStyle w:val="TOC2"/>
        <w:tabs>
          <w:tab w:val="right" w:leader="dot" w:pos="8306"/>
        </w:tabs>
      </w:pPr>
      <w:hyperlink w:anchor="_Toc28000" w:history="1">
        <w:r>
          <w:rPr>
            <w:rFonts w:ascii="仿宋" w:eastAsia="仿宋" w:hAnsi="仿宋" w:cs="仿宋" w:hint="eastAsia"/>
            <w:lang w:eastAsia="zh-CN"/>
          </w:rPr>
          <w:t>(二)、文档发布与分发</w:t>
        </w:r>
        <w:r>
          <w:tab/>
        </w:r>
        <w:r>
          <w:fldChar w:fldCharType="begin"/>
        </w:r>
        <w:r>
          <w:instrText xml:space="preserve"> PAGEREF _Toc28000 \h </w:instrText>
        </w:r>
        <w:r>
          <w:fldChar w:fldCharType="separate"/>
        </w:r>
        <w:r>
          <w:t>17</w:t>
        </w:r>
        <w:r>
          <w:fldChar w:fldCharType="end"/>
        </w:r>
      </w:hyperlink>
    </w:p>
    <w:p>
      <w:pPr>
        <w:pStyle w:val="TOC2"/>
        <w:tabs>
          <w:tab w:val="right" w:leader="dot" w:pos="8306"/>
        </w:tabs>
      </w:pPr>
      <w:hyperlink w:anchor="_Toc25731" w:history="1">
        <w:r>
          <w:rPr>
            <w:rFonts w:ascii="仿宋" w:eastAsia="仿宋" w:hAnsi="仿宋" w:cs="仿宋" w:hint="eastAsia"/>
            <w:lang w:eastAsia="zh-CN"/>
          </w:rPr>
          <w:t>(三)、文档存档与归档</w:t>
        </w:r>
        <w:r>
          <w:tab/>
        </w:r>
        <w:r>
          <w:fldChar w:fldCharType="begin"/>
        </w:r>
        <w:r>
          <w:instrText xml:space="preserve"> PAGEREF _Toc25731 \h </w:instrText>
        </w:r>
        <w:r>
          <w:fldChar w:fldCharType="separate"/>
        </w:r>
        <w:r>
          <w:t>18</w:t>
        </w:r>
        <w:r>
          <w:fldChar w:fldCharType="end"/>
        </w:r>
      </w:hyperlink>
    </w:p>
    <w:p>
      <w:pPr>
        <w:pStyle w:val="TOC1"/>
        <w:tabs>
          <w:tab w:val="right" w:leader="dot" w:pos="8306"/>
        </w:tabs>
      </w:pPr>
      <w:hyperlink w:anchor="_Toc11446" w:history="1">
        <w:r>
          <w:rPr>
            <w:rFonts w:ascii="仿宋" w:eastAsia="仿宋" w:hAnsi="仿宋" w:cs="仿宋" w:hint="eastAsia"/>
            <w:lang w:eastAsia="zh-CN"/>
          </w:rPr>
          <w:t>七、激光转速测量仪项目人力资源培养与发展</w:t>
        </w:r>
        <w:r>
          <w:tab/>
        </w:r>
        <w:r>
          <w:fldChar w:fldCharType="begin"/>
        </w:r>
        <w:r>
          <w:instrText xml:space="preserve"> PAGEREF _Toc11446 \h </w:instrText>
        </w:r>
        <w:r>
          <w:fldChar w:fldCharType="separate"/>
        </w:r>
        <w:r>
          <w:t>19</w:t>
        </w:r>
        <w:r>
          <w:fldChar w:fldCharType="end"/>
        </w:r>
      </w:hyperlink>
    </w:p>
    <w:p>
      <w:pPr>
        <w:pStyle w:val="TOC2"/>
        <w:tabs>
          <w:tab w:val="right" w:leader="dot" w:pos="8306"/>
        </w:tabs>
      </w:pPr>
      <w:hyperlink w:anchor="_Toc12532" w:history="1">
        <w:r>
          <w:rPr>
            <w:rFonts w:ascii="仿宋" w:eastAsia="仿宋" w:hAnsi="仿宋" w:cs="仿宋" w:hint="eastAsia"/>
            <w:lang w:eastAsia="zh-CN"/>
          </w:rPr>
          <w:t>(一)、人才需求与规划</w:t>
        </w:r>
        <w:r>
          <w:tab/>
        </w:r>
        <w:r>
          <w:fldChar w:fldCharType="begin"/>
        </w:r>
        <w:r>
          <w:instrText xml:space="preserve"> PAGEREF _Toc12532 \h </w:instrText>
        </w:r>
        <w:r>
          <w:fldChar w:fldCharType="separate"/>
        </w:r>
        <w:r>
          <w:t>19</w:t>
        </w:r>
        <w:r>
          <w:fldChar w:fldCharType="end"/>
        </w:r>
      </w:hyperlink>
    </w:p>
    <w:p>
      <w:pPr>
        <w:pStyle w:val="TOC2"/>
        <w:tabs>
          <w:tab w:val="right" w:leader="dot" w:pos="8306"/>
        </w:tabs>
      </w:pPr>
      <w:hyperlink w:anchor="_Toc7333" w:history="1">
        <w:r>
          <w:rPr>
            <w:rFonts w:ascii="仿宋" w:eastAsia="仿宋" w:hAnsi="仿宋" w:cs="仿宋" w:hint="eastAsia"/>
            <w:lang w:eastAsia="zh-CN"/>
          </w:rPr>
          <w:t>(二)、培训与发展计划</w:t>
        </w:r>
        <w:r>
          <w:tab/>
        </w:r>
        <w:r>
          <w:fldChar w:fldCharType="begin"/>
        </w:r>
        <w:r>
          <w:instrText xml:space="preserve"> PAGEREF _Toc7333 \h </w:instrText>
        </w:r>
        <w:r>
          <w:fldChar w:fldCharType="separate"/>
        </w:r>
        <w:r>
          <w:t>20</w:t>
        </w:r>
        <w:r>
          <w:fldChar w:fldCharType="end"/>
        </w:r>
      </w:hyperlink>
    </w:p>
    <w:p>
      <w:pPr>
        <w:pStyle w:val="TOC1"/>
        <w:tabs>
          <w:tab w:val="right" w:leader="dot" w:pos="8306"/>
        </w:tabs>
      </w:pPr>
      <w:hyperlink w:anchor="_Toc898" w:history="1">
        <w:r>
          <w:rPr>
            <w:rFonts w:ascii="仿宋" w:eastAsia="仿宋" w:hAnsi="仿宋" w:cs="仿宋" w:hint="eastAsia"/>
            <w:lang w:eastAsia="zh-CN"/>
          </w:rPr>
          <w:t>八、激光转速测量仪项目创新与研发</w:t>
        </w:r>
        <w:r>
          <w:tab/>
        </w:r>
        <w:r>
          <w:fldChar w:fldCharType="begin"/>
        </w:r>
        <w:r>
          <w:instrText xml:space="preserve"> PAGEREF _Toc898 \h </w:instrText>
        </w:r>
        <w:r>
          <w:fldChar w:fldCharType="separate"/>
        </w:r>
        <w:r>
          <w:t>20</w:t>
        </w:r>
        <w:r>
          <w:fldChar w:fldCharType="end"/>
        </w:r>
      </w:hyperlink>
    </w:p>
    <w:p>
      <w:pPr>
        <w:pStyle w:val="TOC2"/>
        <w:tabs>
          <w:tab w:val="right" w:leader="dot" w:pos="8306"/>
        </w:tabs>
      </w:pPr>
      <w:hyperlink w:anchor="_Toc22414" w:history="1">
        <w:r>
          <w:rPr>
            <w:rFonts w:ascii="仿宋" w:eastAsia="仿宋" w:hAnsi="仿宋" w:cs="仿宋" w:hint="eastAsia"/>
            <w:lang w:eastAsia="zh-CN"/>
          </w:rPr>
          <w:t>(一)、创新策略与方向</w:t>
        </w:r>
        <w:r>
          <w:tab/>
        </w:r>
        <w:r>
          <w:fldChar w:fldCharType="begin"/>
        </w:r>
        <w:r>
          <w:instrText xml:space="preserve"> PAGEREF _Toc22414 \h </w:instrText>
        </w:r>
        <w:r>
          <w:fldChar w:fldCharType="separate"/>
        </w:r>
        <w:r>
          <w:t>20</w:t>
        </w:r>
        <w:r>
          <w:fldChar w:fldCharType="end"/>
        </w:r>
      </w:hyperlink>
    </w:p>
    <w:p>
      <w:pPr>
        <w:pStyle w:val="TOC2"/>
        <w:tabs>
          <w:tab w:val="right" w:leader="dot" w:pos="8306"/>
        </w:tabs>
      </w:pPr>
      <w:hyperlink w:anchor="_Toc28208" w:history="1">
        <w:r>
          <w:rPr>
            <w:rFonts w:ascii="仿宋" w:eastAsia="仿宋" w:hAnsi="仿宋" w:cs="仿宋" w:hint="eastAsia"/>
            <w:lang w:eastAsia="zh-CN"/>
          </w:rPr>
          <w:t>(二)、研发规划与投入</w:t>
        </w:r>
        <w:r>
          <w:tab/>
        </w:r>
        <w:r>
          <w:fldChar w:fldCharType="begin"/>
        </w:r>
        <w:r>
          <w:instrText xml:space="preserve"> PAGEREF _Toc28208 \h </w:instrText>
        </w:r>
        <w:r>
          <w:fldChar w:fldCharType="separate"/>
        </w:r>
        <w:r>
          <w:t>22</w:t>
        </w:r>
        <w:r>
          <w:fldChar w:fldCharType="end"/>
        </w:r>
      </w:hyperlink>
    </w:p>
    <w:p>
      <w:pPr>
        <w:pStyle w:val="TOC1"/>
        <w:tabs>
          <w:tab w:val="right" w:leader="dot" w:pos="8306"/>
        </w:tabs>
      </w:pPr>
      <w:hyperlink w:anchor="_Toc11242" w:history="1">
        <w:r>
          <w:rPr>
            <w:rFonts w:ascii="仿宋" w:eastAsia="仿宋" w:hAnsi="仿宋" w:cs="仿宋" w:hint="eastAsia"/>
            <w:lang w:eastAsia="zh-CN"/>
          </w:rPr>
          <w:t>九、激光转速测量仪项目经营效益</w:t>
        </w:r>
        <w:r>
          <w:tab/>
        </w:r>
        <w:r>
          <w:fldChar w:fldCharType="begin"/>
        </w:r>
        <w:r>
          <w:instrText xml:space="preserve"> PAGEREF _Toc11242 \h </w:instrText>
        </w:r>
        <w:r>
          <w:fldChar w:fldCharType="separate"/>
        </w:r>
        <w:r>
          <w:t>23</w:t>
        </w:r>
        <w:r>
          <w:fldChar w:fldCharType="end"/>
        </w:r>
      </w:hyperlink>
    </w:p>
    <w:p>
      <w:pPr>
        <w:pStyle w:val="TOC2"/>
        <w:tabs>
          <w:tab w:val="right" w:leader="dot" w:pos="8306"/>
        </w:tabs>
      </w:pPr>
      <w:hyperlink w:anchor="_Toc14" w:history="1">
        <w:r>
          <w:rPr>
            <w:rFonts w:ascii="仿宋" w:eastAsia="仿宋" w:hAnsi="仿宋" w:cs="仿宋" w:hint="eastAsia"/>
            <w:lang w:eastAsia="zh-CN"/>
          </w:rPr>
          <w:t>(一)、经济评价财务测算</w:t>
        </w:r>
        <w:r>
          <w:tab/>
        </w:r>
        <w:r>
          <w:fldChar w:fldCharType="begin"/>
        </w:r>
        <w:r>
          <w:instrText xml:space="preserve"> PAGEREF _Toc14 \h </w:instrText>
        </w:r>
        <w:r>
          <w:fldChar w:fldCharType="separate"/>
        </w:r>
        <w:r>
          <w:t>23</w:t>
        </w:r>
        <w:r>
          <w:fldChar w:fldCharType="end"/>
        </w:r>
      </w:hyperlink>
    </w:p>
    <w:p>
      <w:pPr>
        <w:pStyle w:val="TOC2"/>
        <w:tabs>
          <w:tab w:val="right" w:leader="dot" w:pos="8306"/>
        </w:tabs>
      </w:pPr>
      <w:hyperlink w:anchor="_Toc25880" w:history="1">
        <w:r>
          <w:rPr>
            <w:rFonts w:ascii="仿宋" w:eastAsia="仿宋" w:hAnsi="仿宋" w:cs="仿宋" w:hint="eastAsia"/>
            <w:lang w:eastAsia="zh-CN"/>
          </w:rPr>
          <w:t>(二)、激光转速测量仪项目盈利能力分析</w:t>
        </w:r>
        <w:r>
          <w:tab/>
        </w:r>
        <w:r>
          <w:fldChar w:fldCharType="begin"/>
        </w:r>
        <w:r>
          <w:instrText xml:space="preserve"> PAGEREF _Toc25880 \h </w:instrText>
        </w:r>
        <w:r>
          <w:fldChar w:fldCharType="separate"/>
        </w:r>
        <w:r>
          <w:t>25</w:t>
        </w:r>
        <w:r>
          <w:fldChar w:fldCharType="end"/>
        </w:r>
      </w:hyperlink>
    </w:p>
    <w:p>
      <w:pPr>
        <w:pStyle w:val="TOC1"/>
        <w:tabs>
          <w:tab w:val="right" w:leader="dot" w:pos="8306"/>
        </w:tabs>
      </w:pPr>
      <w:hyperlink w:anchor="_Toc13642" w:history="1">
        <w:r>
          <w:rPr>
            <w:rFonts w:ascii="仿宋" w:eastAsia="仿宋" w:hAnsi="仿宋" w:cs="仿宋" w:hint="eastAsia"/>
            <w:lang w:eastAsia="zh-CN"/>
          </w:rPr>
          <w:t>十、激光转速测量仪项目计划安排</w:t>
        </w:r>
        <w:r>
          <w:tab/>
        </w:r>
        <w:r>
          <w:fldChar w:fldCharType="begin"/>
        </w:r>
        <w:r>
          <w:instrText xml:space="preserve"> PAGEREF _Toc13642 \h </w:instrText>
        </w:r>
        <w:r>
          <w:fldChar w:fldCharType="separate"/>
        </w:r>
        <w:r>
          <w:t>25</w:t>
        </w:r>
        <w:r>
          <w:fldChar w:fldCharType="end"/>
        </w:r>
      </w:hyperlink>
    </w:p>
    <w:p>
      <w:pPr>
        <w:pStyle w:val="TOC2"/>
        <w:tabs>
          <w:tab w:val="right" w:leader="dot" w:pos="8306"/>
        </w:tabs>
      </w:pPr>
      <w:hyperlink w:anchor="_Toc7091" w:history="1">
        <w:r>
          <w:rPr>
            <w:rFonts w:ascii="仿宋" w:eastAsia="仿宋" w:hAnsi="仿宋" w:cs="仿宋" w:hint="eastAsia"/>
            <w:lang w:eastAsia="zh-CN"/>
          </w:rPr>
          <w:t>(一)、建设周期</w:t>
        </w:r>
        <w:r>
          <w:tab/>
        </w:r>
        <w:r>
          <w:fldChar w:fldCharType="begin"/>
        </w:r>
        <w:r>
          <w:instrText xml:space="preserve"> PAGEREF _Toc7091 \h </w:instrText>
        </w:r>
        <w:r>
          <w:fldChar w:fldCharType="separate"/>
        </w:r>
        <w:r>
          <w:t>25</w:t>
        </w:r>
        <w:r>
          <w:fldChar w:fldCharType="end"/>
        </w:r>
      </w:hyperlink>
    </w:p>
    <w:p>
      <w:pPr>
        <w:pStyle w:val="TOC2"/>
        <w:tabs>
          <w:tab w:val="right" w:leader="dot" w:pos="8306"/>
        </w:tabs>
      </w:pPr>
      <w:hyperlink w:anchor="_Toc9387" w:history="1">
        <w:r>
          <w:rPr>
            <w:rFonts w:ascii="仿宋" w:eastAsia="仿宋" w:hAnsi="仿宋" w:cs="仿宋" w:hint="eastAsia"/>
            <w:lang w:eastAsia="zh-CN"/>
          </w:rPr>
          <w:t>(二)、建设进度</w:t>
        </w:r>
        <w:r>
          <w:tab/>
        </w:r>
        <w:r>
          <w:fldChar w:fldCharType="begin"/>
        </w:r>
        <w:r>
          <w:instrText xml:space="preserve"> PAGEREF _Toc9387 \h </w:instrText>
        </w:r>
        <w:r>
          <w:fldChar w:fldCharType="separate"/>
        </w:r>
        <w:r>
          <w:t>26</w:t>
        </w:r>
        <w:r>
          <w:fldChar w:fldCharType="end"/>
        </w:r>
      </w:hyperlink>
    </w:p>
    <w:p>
      <w:pPr>
        <w:pStyle w:val="TOC2"/>
        <w:tabs>
          <w:tab w:val="right" w:leader="dot" w:pos="8306"/>
        </w:tabs>
      </w:pPr>
      <w:hyperlink w:anchor="_Toc20886" w:history="1">
        <w:r>
          <w:rPr>
            <w:rFonts w:ascii="仿宋" w:eastAsia="仿宋" w:hAnsi="仿宋" w:cs="仿宋" w:hint="eastAsia"/>
            <w:lang w:eastAsia="zh-CN"/>
          </w:rPr>
          <w:t>(三)、进度安排注意事项</w:t>
        </w:r>
        <w:r>
          <w:tab/>
        </w:r>
        <w:r>
          <w:fldChar w:fldCharType="begin"/>
        </w:r>
        <w:r>
          <w:instrText xml:space="preserve"> PAGEREF _Toc20886 \h </w:instrText>
        </w:r>
        <w:r>
          <w:fldChar w:fldCharType="separate"/>
        </w:r>
        <w:r>
          <w:t>27</w:t>
        </w:r>
        <w:r>
          <w:fldChar w:fldCharType="end"/>
        </w:r>
      </w:hyperlink>
    </w:p>
    <w:p>
      <w:pPr>
        <w:pStyle w:val="TOC2"/>
        <w:tabs>
          <w:tab w:val="right" w:leader="dot" w:pos="8306"/>
        </w:tabs>
      </w:pPr>
      <w:hyperlink w:anchor="_Toc15886" w:history="1">
        <w:r>
          <w:rPr>
            <w:rFonts w:ascii="仿宋" w:eastAsia="仿宋" w:hAnsi="仿宋" w:cs="仿宋" w:hint="eastAsia"/>
            <w:lang w:eastAsia="zh-CN"/>
          </w:rPr>
          <w:t>(四)、人力资源配置</w:t>
        </w:r>
        <w:r>
          <w:tab/>
        </w:r>
        <w:r>
          <w:fldChar w:fldCharType="begin"/>
        </w:r>
        <w:r>
          <w:instrText xml:space="preserve"> PAGEREF _Toc15886 \h </w:instrText>
        </w:r>
        <w:r>
          <w:fldChar w:fldCharType="separate"/>
        </w:r>
        <w:r>
          <w:t>29</w:t>
        </w:r>
        <w:r>
          <w:fldChar w:fldCharType="end"/>
        </w:r>
      </w:hyperlink>
    </w:p>
    <w:p>
      <w:pPr>
        <w:pStyle w:val="TOC1"/>
        <w:tabs>
          <w:tab w:val="right" w:leader="dot" w:pos="8306"/>
        </w:tabs>
      </w:pPr>
      <w:hyperlink w:anchor="_Toc32497" w:history="1">
        <w:r>
          <w:rPr>
            <w:rFonts w:ascii="仿宋" w:eastAsia="仿宋" w:hAnsi="仿宋" w:cs="仿宋" w:hint="eastAsia"/>
            <w:lang w:eastAsia="zh-CN"/>
          </w:rPr>
          <w:t>十一、激光转速测量仪项目投资规划</w:t>
        </w:r>
        <w:r>
          <w:tab/>
        </w:r>
        <w:r>
          <w:fldChar w:fldCharType="begin"/>
        </w:r>
        <w:r>
          <w:instrText xml:space="preserve"> PAGEREF _Toc32497 \h </w:instrText>
        </w:r>
        <w:r>
          <w:fldChar w:fldCharType="separate"/>
        </w:r>
        <w:r>
          <w:t>30</w:t>
        </w:r>
        <w:r>
          <w:fldChar w:fldCharType="end"/>
        </w:r>
      </w:hyperlink>
    </w:p>
    <w:p>
      <w:pPr>
        <w:pStyle w:val="TOC2"/>
        <w:tabs>
          <w:tab w:val="right" w:leader="dot" w:pos="8306"/>
        </w:tabs>
      </w:pPr>
      <w:hyperlink w:anchor="_Toc18840" w:history="1">
        <w:r>
          <w:rPr>
            <w:rFonts w:ascii="仿宋" w:eastAsia="仿宋" w:hAnsi="仿宋" w:cs="仿宋" w:hint="eastAsia"/>
            <w:lang w:eastAsia="zh-CN"/>
          </w:rPr>
          <w:t>(一)、激光转速测量仪项目总投资估算</w:t>
        </w:r>
        <w:r>
          <w:tab/>
        </w:r>
        <w:r>
          <w:fldChar w:fldCharType="begin"/>
        </w:r>
        <w:r>
          <w:instrText xml:space="preserve"> PAGEREF _Toc18840 \h </w:instrText>
        </w:r>
        <w:r>
          <w:fldChar w:fldCharType="separate"/>
        </w:r>
        <w:r>
          <w:t>30</w:t>
        </w:r>
        <w:r>
          <w:fldChar w:fldCharType="end"/>
        </w:r>
      </w:hyperlink>
    </w:p>
    <w:p>
      <w:pPr>
        <w:pStyle w:val="TOC2"/>
        <w:tabs>
          <w:tab w:val="right" w:leader="dot" w:pos="8306"/>
        </w:tabs>
      </w:pPr>
      <w:hyperlink w:anchor="_Toc8481" w:history="1">
        <w:r>
          <w:rPr>
            <w:rFonts w:ascii="仿宋" w:eastAsia="仿宋" w:hAnsi="仿宋" w:cs="仿宋" w:hint="eastAsia"/>
            <w:lang w:eastAsia="zh-CN"/>
          </w:rPr>
          <w:t>(二)、资金筹措</w:t>
        </w:r>
        <w:r>
          <w:tab/>
        </w:r>
        <w:r>
          <w:fldChar w:fldCharType="begin"/>
        </w:r>
        <w:r>
          <w:instrText xml:space="preserve"> PAGEREF _Toc8481 \h </w:instrText>
        </w:r>
        <w:r>
          <w:fldChar w:fldCharType="separate"/>
        </w:r>
        <w:r>
          <w:t>31</w:t>
        </w:r>
        <w:r>
          <w:fldChar w:fldCharType="end"/>
        </w:r>
      </w:hyperlink>
    </w:p>
    <w:p>
      <w:pPr>
        <w:pStyle w:val="TOC1"/>
        <w:tabs>
          <w:tab w:val="right" w:leader="dot" w:pos="8306"/>
        </w:tabs>
      </w:pPr>
      <w:hyperlink w:anchor="_Toc5567" w:history="1">
        <w:r>
          <w:rPr>
            <w:rFonts w:ascii="仿宋" w:eastAsia="仿宋" w:hAnsi="仿宋" w:cs="仿宋" w:hint="eastAsia"/>
            <w:lang w:eastAsia="zh-CN"/>
          </w:rPr>
          <w:t>十二、激光转速测量仪项目人力资源管理</w:t>
        </w:r>
        <w:r>
          <w:tab/>
        </w:r>
        <w:r>
          <w:fldChar w:fldCharType="begin"/>
        </w:r>
        <w:r>
          <w:instrText xml:space="preserve"> PAGEREF _Toc5567 \h </w:instrText>
        </w:r>
        <w:r>
          <w:fldChar w:fldCharType="separate"/>
        </w:r>
        <w:r>
          <w:t>32</w:t>
        </w:r>
        <w:r>
          <w:fldChar w:fldCharType="end"/>
        </w:r>
      </w:hyperlink>
    </w:p>
    <w:p>
      <w:pPr>
        <w:pStyle w:val="TOC2"/>
        <w:tabs>
          <w:tab w:val="right" w:leader="dot" w:pos="8306"/>
        </w:tabs>
      </w:pPr>
      <w:hyperlink w:anchor="_Toc8486" w:history="1">
        <w:r>
          <w:rPr>
            <w:rFonts w:ascii="仿宋" w:eastAsia="仿宋" w:hAnsi="仿宋" w:cs="仿宋" w:hint="eastAsia"/>
            <w:lang w:eastAsia="zh-CN"/>
          </w:rPr>
          <w:t>(一)、建立健全的预算管理制度</w:t>
        </w:r>
        <w:r>
          <w:tab/>
        </w:r>
        <w:r>
          <w:fldChar w:fldCharType="begin"/>
        </w:r>
        <w:r>
          <w:instrText xml:space="preserve"> PAGEREF _Toc8486 \h </w:instrText>
        </w:r>
        <w:r>
          <w:fldChar w:fldCharType="separate"/>
        </w:r>
        <w:r>
          <w:t>32</w:t>
        </w:r>
        <w:r>
          <w:fldChar w:fldCharType="end"/>
        </w:r>
      </w:hyperlink>
    </w:p>
    <w:p>
      <w:pPr>
        <w:pStyle w:val="TOC2"/>
        <w:tabs>
          <w:tab w:val="right" w:leader="dot" w:pos="8306"/>
        </w:tabs>
      </w:pPr>
      <w:hyperlink w:anchor="_Toc29276" w:history="1">
        <w:r>
          <w:rPr>
            <w:rFonts w:ascii="仿宋" w:eastAsia="仿宋" w:hAnsi="仿宋" w:cs="仿宋" w:hint="eastAsia"/>
            <w:lang w:eastAsia="zh-CN"/>
          </w:rPr>
          <w:t>(二)、加强资金流动监控</w:t>
        </w:r>
        <w:r>
          <w:tab/>
        </w:r>
        <w:r>
          <w:fldChar w:fldCharType="begin"/>
        </w:r>
        <w:r>
          <w:instrText xml:space="preserve"> PAGEREF _Toc29276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53" w:history="1">
        <w:r>
          <w:rPr>
            <w:rFonts w:ascii="仿宋" w:eastAsia="仿宋" w:hAnsi="仿宋" w:cs="仿宋" w:hint="eastAsia"/>
            <w:lang w:eastAsia="zh-CN"/>
          </w:rPr>
          <w:t>(三)、制定完善的风险控制机制</w:t>
        </w:r>
        <w:r>
          <w:tab/>
        </w:r>
        <w:r>
          <w:fldChar w:fldCharType="begin"/>
        </w:r>
        <w:r>
          <w:instrText xml:space="preserve"> PAGEREF _Toc22253 \h </w:instrText>
        </w:r>
        <w:r>
          <w:fldChar w:fldCharType="separate"/>
        </w:r>
        <w:r>
          <w:t>35</w:t>
        </w:r>
        <w:r>
          <w:fldChar w:fldCharType="end"/>
        </w:r>
      </w:hyperlink>
    </w:p>
    <w:p>
      <w:pPr>
        <w:pStyle w:val="TOC2"/>
        <w:tabs>
          <w:tab w:val="right" w:leader="dot" w:pos="8306"/>
        </w:tabs>
      </w:pPr>
      <w:hyperlink w:anchor="_Toc18770" w:history="1">
        <w:r>
          <w:rPr>
            <w:rFonts w:ascii="仿宋" w:eastAsia="仿宋" w:hAnsi="仿宋" w:cs="仿宋" w:hint="eastAsia"/>
            <w:lang w:eastAsia="zh-CN"/>
          </w:rPr>
          <w:t>(四)、优化成本管理</w:t>
        </w:r>
        <w:r>
          <w:tab/>
        </w:r>
        <w:r>
          <w:fldChar w:fldCharType="begin"/>
        </w:r>
        <w:r>
          <w:instrText xml:space="preserve"> PAGEREF _Toc18770 \h </w:instrText>
        </w:r>
        <w:r>
          <w:fldChar w:fldCharType="separate"/>
        </w:r>
        <w:r>
          <w:t>36</w:t>
        </w:r>
        <w:r>
          <w:fldChar w:fldCharType="end"/>
        </w:r>
      </w:hyperlink>
    </w:p>
    <w:p>
      <w:pPr>
        <w:pStyle w:val="TOC1"/>
        <w:tabs>
          <w:tab w:val="right" w:leader="dot" w:pos="8306"/>
        </w:tabs>
      </w:pPr>
      <w:hyperlink w:anchor="_Toc22473" w:history="1">
        <w:r>
          <w:rPr>
            <w:rFonts w:ascii="仿宋" w:eastAsia="仿宋" w:hAnsi="仿宋" w:cs="仿宋" w:hint="eastAsia"/>
            <w:lang w:eastAsia="zh-CN"/>
          </w:rPr>
          <w:t>十三、激光转速测量仪项目治理与监督</w:t>
        </w:r>
        <w:r>
          <w:tab/>
        </w:r>
        <w:r>
          <w:fldChar w:fldCharType="begin"/>
        </w:r>
        <w:r>
          <w:instrText xml:space="preserve"> PAGEREF _Toc22473 \h </w:instrText>
        </w:r>
        <w:r>
          <w:fldChar w:fldCharType="separate"/>
        </w:r>
        <w:r>
          <w:t>37</w:t>
        </w:r>
        <w:r>
          <w:fldChar w:fldCharType="end"/>
        </w:r>
      </w:hyperlink>
    </w:p>
    <w:p>
      <w:pPr>
        <w:pStyle w:val="TOC2"/>
        <w:tabs>
          <w:tab w:val="right" w:leader="dot" w:pos="8306"/>
        </w:tabs>
      </w:pPr>
      <w:hyperlink w:anchor="_Toc27041" w:history="1">
        <w:r>
          <w:rPr>
            <w:rFonts w:ascii="仿宋" w:eastAsia="仿宋" w:hAnsi="仿宋" w:cs="仿宋" w:hint="eastAsia"/>
            <w:lang w:eastAsia="zh-CN"/>
          </w:rPr>
          <w:t>(一)、激光转速测量仪项目治理结构</w:t>
        </w:r>
        <w:r>
          <w:tab/>
        </w:r>
        <w:r>
          <w:fldChar w:fldCharType="begin"/>
        </w:r>
        <w:r>
          <w:instrText xml:space="preserve"> PAGEREF _Toc27041 \h </w:instrText>
        </w:r>
        <w:r>
          <w:fldChar w:fldCharType="separate"/>
        </w:r>
        <w:r>
          <w:t>37</w:t>
        </w:r>
        <w:r>
          <w:fldChar w:fldCharType="end"/>
        </w:r>
      </w:hyperlink>
    </w:p>
    <w:p>
      <w:pPr>
        <w:pStyle w:val="TOC2"/>
        <w:tabs>
          <w:tab w:val="right" w:leader="dot" w:pos="8306"/>
        </w:tabs>
      </w:pPr>
      <w:hyperlink w:anchor="_Toc29134" w:history="1">
        <w:r>
          <w:rPr>
            <w:rFonts w:ascii="仿宋" w:eastAsia="仿宋" w:hAnsi="仿宋" w:cs="仿宋" w:hint="eastAsia"/>
            <w:lang w:eastAsia="zh-CN"/>
          </w:rPr>
          <w:t>(二)、监督与审计</w:t>
        </w:r>
        <w:r>
          <w:tab/>
        </w:r>
        <w:r>
          <w:fldChar w:fldCharType="begin"/>
        </w:r>
        <w:r>
          <w:instrText xml:space="preserve"> PAGEREF _Toc29134 \h </w:instrText>
        </w:r>
        <w:r>
          <w:fldChar w:fldCharType="separate"/>
        </w:r>
        <w:r>
          <w:t>39</w:t>
        </w:r>
        <w:r>
          <w:fldChar w:fldCharType="end"/>
        </w:r>
      </w:hyperlink>
    </w:p>
    <w:p>
      <w:pPr>
        <w:pStyle w:val="TOC1"/>
        <w:tabs>
          <w:tab w:val="right" w:leader="dot" w:pos="8306"/>
        </w:tabs>
      </w:pPr>
      <w:hyperlink w:anchor="_Toc32730" w:history="1">
        <w:r>
          <w:rPr>
            <w:rFonts w:ascii="仿宋" w:eastAsia="仿宋" w:hAnsi="仿宋" w:cs="仿宋" w:hint="eastAsia"/>
            <w:lang w:eastAsia="zh-CN"/>
          </w:rPr>
          <w:t>十四、风险识别与分类</w:t>
        </w:r>
        <w:r>
          <w:tab/>
        </w:r>
        <w:r>
          <w:fldChar w:fldCharType="begin"/>
        </w:r>
        <w:r>
          <w:instrText xml:space="preserve"> PAGEREF _Toc32730 \h </w:instrText>
        </w:r>
        <w:r>
          <w:fldChar w:fldCharType="separate"/>
        </w:r>
        <w:r>
          <w:t>40</w:t>
        </w:r>
        <w:r>
          <w:fldChar w:fldCharType="end"/>
        </w:r>
      </w:hyperlink>
    </w:p>
    <w:p>
      <w:pPr>
        <w:pStyle w:val="TOC2"/>
        <w:tabs>
          <w:tab w:val="right" w:leader="dot" w:pos="8306"/>
        </w:tabs>
      </w:pPr>
      <w:hyperlink w:anchor="_Toc748" w:history="1">
        <w:r>
          <w:rPr>
            <w:rFonts w:ascii="仿宋" w:eastAsia="仿宋" w:hAnsi="仿宋" w:cs="仿宋" w:hint="eastAsia"/>
            <w:lang w:eastAsia="zh-CN"/>
          </w:rPr>
          <w:t>(一)、风险识别</w:t>
        </w:r>
        <w:r>
          <w:tab/>
        </w:r>
        <w:r>
          <w:fldChar w:fldCharType="begin"/>
        </w:r>
        <w:r>
          <w:instrText xml:space="preserve"> PAGEREF _Toc748 \h </w:instrText>
        </w:r>
        <w:r>
          <w:fldChar w:fldCharType="separate"/>
        </w:r>
        <w:r>
          <w:t>40</w:t>
        </w:r>
        <w:r>
          <w:fldChar w:fldCharType="end"/>
        </w:r>
      </w:hyperlink>
    </w:p>
    <w:p>
      <w:pPr>
        <w:pStyle w:val="TOC2"/>
        <w:tabs>
          <w:tab w:val="right" w:leader="dot" w:pos="8306"/>
        </w:tabs>
      </w:pPr>
      <w:hyperlink w:anchor="_Toc20293" w:history="1">
        <w:r>
          <w:rPr>
            <w:rFonts w:ascii="仿宋" w:eastAsia="仿宋" w:hAnsi="仿宋" w:cs="仿宋" w:hint="eastAsia"/>
            <w:lang w:eastAsia="zh-CN"/>
          </w:rPr>
          <w:t>(二)、风险分类</w:t>
        </w:r>
        <w:r>
          <w:tab/>
        </w:r>
        <w:r>
          <w:fldChar w:fldCharType="begin"/>
        </w:r>
        <w:r>
          <w:instrText xml:space="preserve"> PAGEREF _Toc20293 \h </w:instrText>
        </w:r>
        <w:r>
          <w:fldChar w:fldCharType="separate"/>
        </w:r>
        <w:r>
          <w:t>42</w:t>
        </w:r>
        <w:r>
          <w:fldChar w:fldCharType="end"/>
        </w:r>
      </w:hyperlink>
    </w:p>
    <w:p>
      <w:pPr>
        <w:pStyle w:val="TOC1"/>
        <w:tabs>
          <w:tab w:val="right" w:leader="dot" w:pos="8306"/>
        </w:tabs>
      </w:pPr>
      <w:hyperlink w:anchor="_Toc4603" w:history="1">
        <w:r>
          <w:rPr>
            <w:rFonts w:ascii="仿宋" w:eastAsia="仿宋" w:hAnsi="仿宋" w:cs="仿宋" w:hint="eastAsia"/>
            <w:lang w:eastAsia="zh-CN"/>
          </w:rPr>
          <w:t>十五、激光转速测量仪项目实施保障措施</w:t>
        </w:r>
        <w:r>
          <w:tab/>
        </w:r>
        <w:r>
          <w:fldChar w:fldCharType="begin"/>
        </w:r>
        <w:r>
          <w:instrText xml:space="preserve"> PAGEREF _Toc4603 \h </w:instrText>
        </w:r>
        <w:r>
          <w:fldChar w:fldCharType="separate"/>
        </w:r>
        <w:r>
          <w:t>44</w:t>
        </w:r>
        <w:r>
          <w:fldChar w:fldCharType="end"/>
        </w:r>
      </w:hyperlink>
    </w:p>
    <w:p>
      <w:pPr>
        <w:pStyle w:val="TOC2"/>
        <w:tabs>
          <w:tab w:val="right" w:leader="dot" w:pos="8306"/>
        </w:tabs>
      </w:pPr>
      <w:hyperlink w:anchor="_Toc6468" w:history="1">
        <w:r>
          <w:rPr>
            <w:rFonts w:ascii="仿宋" w:eastAsia="仿宋" w:hAnsi="仿宋" w:cs="仿宋" w:hint="eastAsia"/>
            <w:lang w:eastAsia="zh-CN"/>
          </w:rPr>
          <w:t>(一)、激光转速测量仪项目实施保障机制</w:t>
        </w:r>
        <w:r>
          <w:tab/>
        </w:r>
        <w:r>
          <w:fldChar w:fldCharType="begin"/>
        </w:r>
        <w:r>
          <w:instrText xml:space="preserve"> PAGEREF _Toc6468 \h </w:instrText>
        </w:r>
        <w:r>
          <w:fldChar w:fldCharType="separate"/>
        </w:r>
        <w:r>
          <w:t>44</w:t>
        </w:r>
        <w:r>
          <w:fldChar w:fldCharType="end"/>
        </w:r>
      </w:hyperlink>
    </w:p>
    <w:p>
      <w:pPr>
        <w:pStyle w:val="TOC2"/>
        <w:tabs>
          <w:tab w:val="right" w:leader="dot" w:pos="8306"/>
        </w:tabs>
      </w:pPr>
      <w:hyperlink w:anchor="_Toc284" w:history="1">
        <w:r>
          <w:rPr>
            <w:rFonts w:ascii="仿宋" w:eastAsia="仿宋" w:hAnsi="仿宋" w:cs="仿宋" w:hint="eastAsia"/>
            <w:lang w:eastAsia="zh-CN"/>
          </w:rPr>
          <w:t>(二)、激光转速测量仪项目法律合规要求</w:t>
        </w:r>
        <w:r>
          <w:tab/>
        </w:r>
        <w:r>
          <w:fldChar w:fldCharType="begin"/>
        </w:r>
        <w:r>
          <w:instrText xml:space="preserve"> PAGEREF _Toc284 \h </w:instrText>
        </w:r>
        <w:r>
          <w:fldChar w:fldCharType="separate"/>
        </w:r>
        <w:r>
          <w:t>47</w:t>
        </w:r>
        <w:r>
          <w:fldChar w:fldCharType="end"/>
        </w:r>
      </w:hyperlink>
    </w:p>
    <w:p>
      <w:pPr>
        <w:pStyle w:val="TOC2"/>
        <w:tabs>
          <w:tab w:val="right" w:leader="dot" w:pos="8306"/>
        </w:tabs>
      </w:pPr>
      <w:hyperlink w:anchor="_Toc19631" w:history="1">
        <w:r>
          <w:rPr>
            <w:rFonts w:ascii="仿宋" w:eastAsia="仿宋" w:hAnsi="仿宋" w:cs="仿宋" w:hint="eastAsia"/>
            <w:lang w:eastAsia="zh-CN"/>
          </w:rPr>
          <w:t>(三)、激光转速测量仪项目合同管理与法律事务</w:t>
        </w:r>
        <w:r>
          <w:tab/>
        </w:r>
        <w:r>
          <w:fldChar w:fldCharType="begin"/>
        </w:r>
        <w:r>
          <w:instrText xml:space="preserve"> PAGEREF _Toc19631 \h </w:instrText>
        </w:r>
        <w:r>
          <w:fldChar w:fldCharType="separate"/>
        </w:r>
        <w:r>
          <w:t>52</w:t>
        </w:r>
        <w:r>
          <w:fldChar w:fldCharType="end"/>
        </w:r>
      </w:hyperlink>
    </w:p>
    <w:p>
      <w:pPr>
        <w:pStyle w:val="TOC2"/>
        <w:tabs>
          <w:tab w:val="right" w:leader="dot" w:pos="8306"/>
        </w:tabs>
      </w:pPr>
      <w:hyperlink w:anchor="_Toc11283" w:history="1">
        <w:r>
          <w:rPr>
            <w:rFonts w:ascii="仿宋" w:eastAsia="仿宋" w:hAnsi="仿宋" w:cs="仿宋" w:hint="eastAsia"/>
            <w:lang w:eastAsia="zh-CN"/>
          </w:rPr>
          <w:t>(四)、激光转速测量仪项目知识产权保护策略</w:t>
        </w:r>
        <w:r>
          <w:tab/>
        </w:r>
        <w:r>
          <w:fldChar w:fldCharType="begin"/>
        </w:r>
        <w:r>
          <w:instrText xml:space="preserve"> PAGEREF _Toc11283 \h </w:instrText>
        </w:r>
        <w:r>
          <w:fldChar w:fldCharType="separate"/>
        </w:r>
        <w:r>
          <w:t>58</w:t>
        </w:r>
        <w:r>
          <w:fldChar w:fldCharType="end"/>
        </w:r>
      </w:hyperlink>
    </w:p>
    <w:p>
      <w:pPr>
        <w:pStyle w:val="TOC1"/>
        <w:tabs>
          <w:tab w:val="right" w:leader="dot" w:pos="8306"/>
        </w:tabs>
      </w:pPr>
      <w:hyperlink w:anchor="_Toc9540" w:history="1">
        <w:r>
          <w:rPr>
            <w:rFonts w:ascii="仿宋" w:eastAsia="仿宋" w:hAnsi="仿宋" w:cs="仿宋" w:hint="eastAsia"/>
            <w:lang w:eastAsia="zh-CN"/>
          </w:rPr>
          <w:t>十六、激光转速测量仪项目变更管理</w:t>
        </w:r>
        <w:r>
          <w:tab/>
        </w:r>
        <w:r>
          <w:fldChar w:fldCharType="begin"/>
        </w:r>
        <w:r>
          <w:instrText xml:space="preserve"> PAGEREF _Toc9540 \h </w:instrText>
        </w:r>
        <w:r>
          <w:fldChar w:fldCharType="separate"/>
        </w:r>
        <w:r>
          <w:t>61</w:t>
        </w:r>
        <w:r>
          <w:fldChar w:fldCharType="end"/>
        </w:r>
      </w:hyperlink>
    </w:p>
    <w:p>
      <w:pPr>
        <w:pStyle w:val="TOC2"/>
        <w:tabs>
          <w:tab w:val="right" w:leader="dot" w:pos="8306"/>
        </w:tabs>
      </w:pPr>
      <w:hyperlink w:anchor="_Toc6793" w:history="1">
        <w:r>
          <w:rPr>
            <w:rFonts w:ascii="仿宋" w:eastAsia="仿宋" w:hAnsi="仿宋" w:cs="仿宋" w:hint="eastAsia"/>
            <w:lang w:eastAsia="zh-CN"/>
          </w:rPr>
          <w:t>(一)、变更申请与评估</w:t>
        </w:r>
        <w:r>
          <w:tab/>
        </w:r>
        <w:r>
          <w:fldChar w:fldCharType="begin"/>
        </w:r>
        <w:r>
          <w:instrText xml:space="preserve"> PAGEREF _Toc6793 \h </w:instrText>
        </w:r>
        <w:r>
          <w:fldChar w:fldCharType="separate"/>
        </w:r>
        <w:r>
          <w:t>61</w:t>
        </w:r>
        <w:r>
          <w:fldChar w:fldCharType="end"/>
        </w:r>
      </w:hyperlink>
    </w:p>
    <w:p>
      <w:pPr>
        <w:pStyle w:val="TOC2"/>
        <w:tabs>
          <w:tab w:val="right" w:leader="dot" w:pos="8306"/>
        </w:tabs>
      </w:pPr>
      <w:hyperlink w:anchor="_Toc25439" w:history="1">
        <w:r>
          <w:rPr>
            <w:rFonts w:ascii="仿宋" w:eastAsia="仿宋" w:hAnsi="仿宋" w:cs="仿宋" w:hint="eastAsia"/>
            <w:lang w:eastAsia="zh-CN"/>
          </w:rPr>
          <w:t>(二)、变更实施与控制</w:t>
        </w:r>
        <w:r>
          <w:tab/>
        </w:r>
        <w:r>
          <w:fldChar w:fldCharType="begin"/>
        </w:r>
        <w:r>
          <w:instrText xml:space="preserve"> PAGEREF _Toc25439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797"/>
      <w:r>
        <w:rPr>
          <w:rFonts w:ascii="仿宋" w:eastAsia="仿宋" w:hAnsi="仿宋" w:cs="仿宋" w:hint="eastAsia"/>
          <w:sz w:val="28"/>
          <w:lang w:eastAsia="zh-CN"/>
        </w:rPr>
        <w:t>一、激光转速测量仪项目可持续发展</w:t>
      </w:r>
      <w:bookmarkEnd w:id="2"/>
    </w:p>
    <w:p>
      <w:pPr>
        <w:pStyle w:val="Heading2"/>
        <w:rPr>
          <w:rFonts w:ascii="仿宋" w:eastAsia="仿宋" w:hAnsi="仿宋" w:cs="仿宋" w:hint="eastAsia"/>
          <w:lang w:eastAsia="zh-CN"/>
        </w:rPr>
      </w:pPr>
      <w:bookmarkStart w:id="3" w:name="_Toc628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转速测量仪项目中，激光转速测量仪项目团队着眼于未来，明确了可持续发展的战略方向。制定的具体可持续发展目标包括降低资源使用、采用环保技术、最大化社会效益等。这一步骤不仅有助于激光转速测量仪项目在环保和社会责任方面达到最高标准，也为未来提供了明确的指引，确保激光转速测量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可持续实践的融入激光转速测量仪项目管理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激光转速测量仪项目管理周期。从激光转速测量仪项目规划开始，激光转速测量仪项目团队就考虑了环境和社会的因素。在执行阶段，激光转速测量仪项目团队积极推动绿色技术的应用，优化资源利用。此外，关注员工的社会责任，通过培训和沟通活动提高员工对可持续发展的认知，使他们能够在日常工作中践行可持续实践。这些举措不仅为激光转速测量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923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扎根于激光转速测量仪项目的可持续发展理念，我们深信环保与社会责任是激光转速测量仪项目成功的关键支柱。在激光转速测量仪项目的每一步，我们都致力于通过创新和实践，履行对环境和社会的坚定责任。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团队通过引入先进的环保技术、建立高效的废物处理系统以及推动能源节约措施，积极履行环保责任。定期的环保监测和评估确保激光转速测量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不仅致力于自身可持续发展，还注重对社会的回馈。通过支持社区激光转速测量仪项目、参与慈善事业、提供培训机会等方式，激光转速测量仪项目积极履行社会责任。与当地社区建立积极互动，关注员工的工作与生活平衡，以及员工的身心健康，是激光转速测量仪项目在社会责任层面的关键举措。这样的实践不仅增强了激光转速测量仪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9309"/>
      <w:r>
        <w:rPr>
          <w:rFonts w:ascii="仿宋" w:eastAsia="仿宋" w:hAnsi="仿宋" w:cs="仿宋" w:hint="eastAsia"/>
          <w:sz w:val="28"/>
          <w:lang w:eastAsia="zh-CN"/>
        </w:rPr>
        <w:t>二、激光转速测量仪项目建设背景及必要性分析</w:t>
      </w:r>
      <w:bookmarkEnd w:id="5"/>
    </w:p>
    <w:p>
      <w:pPr>
        <w:pStyle w:val="Heading2"/>
        <w:rPr>
          <w:rFonts w:ascii="仿宋" w:eastAsia="仿宋" w:hAnsi="仿宋" w:cs="仿宋" w:hint="eastAsia"/>
          <w:lang w:eastAsia="zh-CN"/>
        </w:rPr>
      </w:pPr>
      <w:bookmarkStart w:id="6" w:name="_Toc15282"/>
      <w:r>
        <w:rPr>
          <w:rFonts w:ascii="仿宋" w:eastAsia="仿宋" w:hAnsi="仿宋" w:cs="仿宋" w:hint="eastAsia"/>
          <w:lang w:eastAsia="zh-CN"/>
        </w:rPr>
        <w:t>(一)、激光转速测量仪项目背景分析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激光转速测量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激光转速测量仪项目在这个潮流中的定位。同时，我们将关注行业内涌现的新兴机遇，以便激光转速测量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激光转速测量仪项目提供了强大的发展动力。我们将聚焦于行业内最新的技术发展趋势，包括但不限于人工智能、大数据分析、物联网等领域。通过深度的技术研究，我们将确保激光转速测量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激光转速测量仪项目发展的源泉。我们将投入更多的精力对市场需求进行深入剖析，超越表面的需求，深入挖掘潜在的市场痛点和机遇。通过对市场需求的细致了解，激光转速测量仪项目将更有针对性地设计解决方案，满足市场的多样化需求，从而更好地促进激光转速测量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激光转速测量仪项目战略至关重要。我们将对竞争态势进行更为深入的分析，包括但不限于市场份额、产品特点、客户满意度等多个维度。通过深度的竞争分析，激光转速测量仪项目将能够更准确地把握市场脉搏，制定具有竞争力的激光转速测量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激光转速测量仪项目的发展具有直接的影响。我们将进行更为全面的法规和政策分析，了解行业发展中的潜在法律风险和合规挑战。通过充分了解和遵守相关法规，激光转速测量仪项目将确保在法律框架内合法合规运营，为激光转速测量仪项目的稳健发展提供有力支持。</w:t>
      </w:r>
    </w:p>
    <w:p>
      <w:pPr>
        <w:pStyle w:val="Heading2"/>
        <w:ind w:firstLine="560" w:firstLineChars="200"/>
        <w:rPr>
          <w:rFonts w:ascii="仿宋" w:eastAsia="仿宋" w:hAnsi="仿宋" w:cs="仿宋" w:hint="eastAsia"/>
          <w:sz w:val="28"/>
          <w:lang w:eastAsia="zh-CN"/>
        </w:rPr>
      </w:pPr>
      <w:bookmarkStart w:id="7" w:name="_Toc27719"/>
      <w:r>
        <w:rPr>
          <w:rFonts w:ascii="仿宋" w:eastAsia="仿宋" w:hAnsi="仿宋" w:cs="仿宋" w:hint="eastAsia"/>
          <w:sz w:val="28"/>
          <w:lang w:eastAsia="zh-CN"/>
        </w:rPr>
        <w:t>(二)、激光转速测量仪项目建设必要性分析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建设的迫切性源于对行业发展趋势的深刻洞察。我们正处于一个行业变革的时代，科技创新、数字化转型成为企业发展的关键动力。激光转速测量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建设不仅仅是为了跟上潮流，更是为了通过技术创新推动企业的持续发展。通过引入先进的技术和解决方案，激光转速测量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激光转速测量仪项目的建设成为必然选择，通过提高产品质量、拓展服务领域，从而在竞争中获得更多的机会。激光转速测量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激光转速测量仪项目建设的必要性体现在对客户需求更精准的满足。通过激光转速测量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建设的背后是对企业持续创新的追求。只有通过不断创新，企业才能在竞争中立于不败之地。激光转速测量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0941"/>
      <w:r>
        <w:rPr>
          <w:rFonts w:ascii="仿宋" w:eastAsia="仿宋" w:hAnsi="仿宋" w:cs="仿宋" w:hint="eastAsia"/>
          <w:sz w:val="28"/>
          <w:lang w:eastAsia="zh-CN"/>
        </w:rPr>
        <w:t>三、激光转速测量仪项目绩效评估</w:t>
      </w:r>
      <w:bookmarkEnd w:id="8"/>
    </w:p>
    <w:p>
      <w:pPr>
        <w:pStyle w:val="Heading2"/>
        <w:rPr>
          <w:rFonts w:ascii="仿宋" w:eastAsia="仿宋" w:hAnsi="仿宋" w:cs="仿宋" w:hint="eastAsia"/>
          <w:lang w:eastAsia="zh-CN"/>
        </w:rPr>
      </w:pPr>
      <w:bookmarkStart w:id="9" w:name="_Toc2849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激光转速测量仪项目中，我们设计了一套全面的绩效评估指标，以确保激光转速测量仪项目的可控和成功交付。这些指标跨足激光转速测量仪项目目标、成本、进度和质量等多个维度，为我们提供了全面洞察激光转速测量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目标达成率是我们关注的首要指标。我们设定了明确的目标，并通过定期监测和评估，迅速发现并应对潜在的目标偏差。这为激光转速测量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成本绩效是另一个核心关注点。通过实际成本与预算成本的对比分析，我们深入了解成本差异的原因，及时调整资源分配，保持激光转速测量仪项目在经济效益方面的合理水平。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进度作为关键的绩效指标之一，得到了精心的关注。我们制定了详细的激光转速测量仪项目进度计划，并设立了进度符合度指标，确保实际进度与计划进度保持一致。这使我们能够快速发现和解决潜在的进度问题，保持激光转速测量仪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激光转速测量仪项目绩效的不可或缺的一环。我们引入了一系列的质量标准和客户满意度指标，以确保激光转速测量仪项目交付的成果在质量上达到或超越预期水平。通过持续监测这些指标，我们努力提升激光转速测量仪项目整体质量水平，为激光转速测量仪项目的成功交付提供有力保障。通过这些科学且全面的绩效评估，我们能够更好地引导激光转速测量仪项目的持续改进，确保激光转速测量仪项目目标的顺利达成。</w:t>
      </w:r>
    </w:p>
    <w:p>
      <w:pPr>
        <w:pStyle w:val="Heading2"/>
        <w:ind w:firstLine="560" w:firstLineChars="200"/>
        <w:rPr>
          <w:rFonts w:ascii="仿宋" w:eastAsia="仿宋" w:hAnsi="仿宋" w:cs="仿宋" w:hint="eastAsia"/>
          <w:sz w:val="28"/>
          <w:lang w:eastAsia="zh-CN"/>
        </w:rPr>
      </w:pPr>
      <w:bookmarkStart w:id="10" w:name="_Toc456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绩效评估是激光转速测量仪项目中的关键环节，为确保激光转速测量仪项目达到预期目标，我们采用了多层次、多维度的绩效评估方法。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激光转速测量仪项目的战略目标对齐，确保每个决策和行动都与激光转速测量仪项目整体目标保持一致。团队会定期召开战略对齐会议，审视当前工作与激光转速测量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激光转速测量仪项目进度、质量、成本和风险等方面。这些指标通过数据收集和分析，为激光转速测量仪项目管理团队提供了客观的评估依据。例如，我们通过激光转速测量仪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激光转速测量仪项目内部，还考虑了激光转速测量仪项目对外部环境的影响。我们定期进行干系人满意度调查，以了解各利益相关方对激光转速测量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这种多层次、多角度的绩效评估方法，使得我们能够全面了解激光转速测量仪项目的运行状态，及时做出调整，确保激光转速测量仪项目在不断变化的环境中保持稳健前行。</w:t>
      </w:r>
    </w:p>
    <w:p>
      <w:pPr>
        <w:pStyle w:val="Heading2"/>
        <w:ind w:firstLine="560" w:firstLineChars="200"/>
        <w:rPr>
          <w:rFonts w:ascii="仿宋" w:eastAsia="仿宋" w:hAnsi="仿宋" w:cs="仿宋" w:hint="eastAsia"/>
          <w:sz w:val="28"/>
          <w:lang w:eastAsia="zh-CN"/>
        </w:rPr>
      </w:pPr>
      <w:bookmarkStart w:id="11" w:name="_Toc1881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为了确保激光转速测量仪项目的有效管理和不断优化，我们采用了精心设计的绩效评估周期。这个周期旨在实现灵活、实时和全面的评估，以适应激光转速测量仪项目执行中的各种挑战。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激光转速测量仪项目的不同需求，分为短期、中期和长期。短期评估关注每个迭代或工作周期，以及时发现和解决当前任务中的问题。中期评估涵盖几个迭代，深入了解整体激光转速测量仪项目的趋势和性能。长期评估则着眼于整个激光转速测量仪项目阶段，确保激光转速测量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激光转速测量仪项目管理工具和协作平台，团队成员能够随时更新和分享激光转速测量仪项目数据。这种实时性的反馈机制使我们能够及时察觉潜在问题，快速调整，保持激光转速测量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激光转速测量仪项目的决策制定密不可分。每个周期的激光转速测量仪项目回顾会议成为集体总结经验、识别问题深层次原因并找到创新解决方案的平台。这种定期的反思与调整机制使激光转速测量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9392"/>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5355"/>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激光转速测量仪项目的主要产品是XXXX，预计年产值为XXX万元。这一产品在市场中占据着重要的地位，其广泛的应用范围使得该激光转速测量仪项目的市场前景非常广阔。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激光转速测量仪项目的xxx产品作为重要的原材料之一，将在多个领域发挥关键作用。其在建筑、交通、能源等方面的广泛应用将为整个产业链提供强大的支持，形成产业协同效应。激光转速测量仪项目的年产值XXX万XXX万XXX万万元不仅反映了其在市场上的巨大潜力，更预示着它对国民经济的积极贡献。这种关联度高、涉及面广的产业关系，使得该激光转速测量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1889"/>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总征地面积为XXXX平方米，相当于约XX.XX亩，其中净用地面积为XXXX平方米，红线范围内相当于约XX.XX亩。这一用地规模充分考虑了激光转速测量仪项目的建设需求，保障了激光转速测量仪项目在合适的空间内得以充分发展。激光转速测量仪项目规划的总建筑面积为XXXX平方米，其中主体工程建设占XXXX平方米，计容建筑面积达XXXX平方米。预计建筑工程的投资将达到XXXX万元，为激光转速测量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计划购置的设备共计XXXX台（套），设备购置费用为XXXX万元。这一设备购置计划充分考虑到激光转速测量仪项目的生产需求和技术要求，确保了激光转速测量仪项目在生产运营中具备先进的技术装备和高效的生产能力。设备的合理配置将为激光转速测量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计划总投资为XXXX万元，预计年实现营业收入为XXXX万元。这一产能规模的设定旨在确保激光转速测量仪项目能够在投资与回报之间取得平衡，实现长期可持续的发展。激光转速测量仪项目的总投资充分考虑到各个方面的需求，包括用地建设、设备购置等多个环节，以确保激光转速测量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1725"/>
      <w:r>
        <w:rPr>
          <w:rFonts w:ascii="仿宋" w:eastAsia="仿宋" w:hAnsi="仿宋" w:cs="仿宋" w:hint="eastAsia"/>
          <w:sz w:val="28"/>
          <w:lang w:eastAsia="zh-CN"/>
        </w:rPr>
        <w:t>五、激光转速测量仪项目危机管理</w:t>
      </w:r>
      <w:bookmarkEnd w:id="15"/>
    </w:p>
    <w:p>
      <w:pPr>
        <w:pStyle w:val="Heading2"/>
        <w:rPr>
          <w:rFonts w:ascii="仿宋" w:eastAsia="仿宋" w:hAnsi="仿宋" w:cs="仿宋" w:hint="eastAsia"/>
          <w:lang w:eastAsia="zh-CN"/>
        </w:rPr>
      </w:pPr>
      <w:bookmarkStart w:id="16" w:name="_Toc28960"/>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激光转速测量仪项目危机管理中，危机预警与识别是确保激光转速测量仪项目稳健运行的核心步骤。通过建立全面的监测机制，激光转速测量仪项目团队旨在及时发现和理解潜在的风险和危机因素，以便采取及时的预防和应对措施，确保激光转速测量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激光转速测量仪项目团队全面分析了整个激光转速测量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制定敏感指标和预警机制，激光转速测量仪项目团队着重于明确定义激光转速测量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激光转速测量仪项目进展的持续监控，团队能够及时发现潜在问题并作出迅速反应。激光转速测量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在这一阶段，团队的专业素养和反应速度将发挥至关重要的作用，以确保潜在危机能够在初期得到有效的处理，最大程度地减轻负面影响。通过危机预警与识别，激光转速测量仪项目得以更有序、可控地推进。</w:t>
      </w:r>
    </w:p>
    <w:p>
      <w:pPr>
        <w:pStyle w:val="Heading2"/>
        <w:ind w:firstLine="560" w:firstLineChars="200"/>
        <w:rPr>
          <w:rFonts w:ascii="仿宋" w:eastAsia="仿宋" w:hAnsi="仿宋" w:cs="仿宋" w:hint="eastAsia"/>
          <w:sz w:val="28"/>
          <w:lang w:eastAsia="zh-CN"/>
        </w:rPr>
      </w:pPr>
      <w:bookmarkStart w:id="17" w:name="_Toc4849"/>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在危机发生时，激光转速测量仪项目团队立即行动，成立了应急小组。该小组的任务是迅速制定并实施紧急应对措施，以最小化潜在损失。以下是采取的主要措施：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暂停激光转速测量仪项目进度：为遏制危机蔓延，激光转速测量仪项目暂时停止进行，以便全面评估当前状况。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资源重新分配：重新评估激光转速测量仪项目资源的分配，确保最大限度地减小损失。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实时沟通：与关键利益相关者建立实时沟通机制，向他们传递激光转速测量仪项目危机的实际状况，保障激光转速测量仪项目核心利益。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在紧急应对的同时，激光转速测量仪项目团队强调了团队协作和有效沟通的重要性。以下是团队协作的关键举措：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信息共享机制：建立了信息共享平台，确保团队成员能够及时获取激光转速测量仪项目危机的实时信息。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领导者沟通：激光转速测量仪项目领导者通过定期会议和即时沟通工具，指导团队应对危机，保持团队稳定运行。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随着危机得到初步控制，激光转速测量仪项目团队转向制定恢复计划，以确保激光转速测量仪项目能够从中迅速恢复。主要恢复计划包括：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修复受损的进度计划：重新评估激光转速测量仪项目进度，制定修复计划，确保激光转速测量仪项目尽快回归正常进程。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重新调整资源分配：优化资源分配，确保激光转速测量仪项目在有限资源下高效运转。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风险管理机制加强：对激光转速测量仪项目风险进行全面评估，制定更强化的风险管理策略，以预防未来可能的危机。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6690"/>
      <w:r>
        <w:rPr>
          <w:rFonts w:ascii="仿宋" w:eastAsia="仿宋" w:hAnsi="仿宋" w:cs="仿宋" w:hint="eastAsia"/>
          <w:sz w:val="28"/>
          <w:lang w:eastAsia="zh-CN"/>
        </w:rPr>
        <w:t>六、激光转速测量仪项目文档管理</w:t>
      </w:r>
      <w:bookmarkEnd w:id="18"/>
    </w:p>
    <w:p>
      <w:pPr>
        <w:pStyle w:val="Heading2"/>
        <w:rPr>
          <w:rFonts w:ascii="仿宋" w:eastAsia="仿宋" w:hAnsi="仿宋" w:cs="仿宋" w:hint="eastAsia"/>
          <w:lang w:eastAsia="zh-CN"/>
        </w:rPr>
      </w:pPr>
      <w:bookmarkStart w:id="19" w:name="_Toc3412"/>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激光转速测量仪项目高度重视文档的质量和准确性，以支持激光转速测量仪项目的各项活动和决策。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转速测量仪项目文档的编制始于激光转速测量仪项目计划的初期，我们制定了详细的文档编制计划，明确了每个文档的内容、格式和编写责任人。在激光转速测量仪项目启动阶段，我们首先编制了激光转速测量仪项目章程，明确定义了激光转速测量仪项目的目标、范围、风险等关键要素。随后，激光转速测量仪项目团队根据计划陆续编制了需求文档、设计文档、测试文档等各类文档，确保激光转速测量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https://d.book118.com/475131141331011043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激光转速测量仪项目计划设计方案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704AB4"/>
    <w:rsid w:val="20704A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513114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2024-01-18T21:01:00Z</dcterms:created>
  <dcterms:modified xsi:type="dcterms:W3CDTF">2024-01-18T21:01:32Z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AF8B8823CC7C4D05B1B01C0382F0073E_11</vt:lpwstr>
  </property>
  <property fmtid="{D5CDD505-2E9C-101B-9397-08002B2CF9AE}" pid="3" name="KSOProductBuildVer">
    <vt:lpwstr>2052-12.1.0.16120</vt:lpwstr>
  </property>
</Properties>
</file>